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November 24, 2020.</w:t>
      </w:r>
      <w:r>
        <w:t xml:space="preserve"> </w:t>
      </w:r>
    </w:p>
    <w:bookmarkStart w:id="27" w:name="authors"/>
    <w:p>
      <w:pPr>
        <w:pStyle w:val="Heading2"/>
      </w:pPr>
      <w:r>
        <w:t xml:space="preserve">Authors</w:t>
      </w:r>
    </w:p>
    <w:p>
      <w:pPr>
        <w:numPr>
          <w:ilvl w:val="0"/>
          <w:numId w:val="1001"/>
        </w:numPr>
      </w:pPr>
      <w:r>
        <w:rPr>
          <w:b/>
        </w:rPr>
        <w:t xml:space="preserve">Zhixin Cyrillus Tan</w:t>
      </w:r>
      <w:r>
        <w:t xml:space="preserve"> </w:t>
      </w:r>
      <w:r>
        <w:t xml:space="preserve">ORCID</w:t>
      </w:r>
      <w:r>
        <w:t xml:space="preserve"> </w:t>
      </w:r>
      <w:hyperlink r:id="rId20">
        <w:r>
          <w:rPr>
            <w:rStyle w:val="Hyperlink"/>
          </w:rPr>
          <w:t xml:space="preserve">0000-0002-5498-5509</w:t>
        </w:r>
      </w:hyperlink>
      <w:r>
        <w:t xml:space="preserve"> </w:t>
      </w:r>
      <w:r>
        <w:t xml:space="preserve">· Github</w:t>
      </w:r>
      <w:r>
        <w:t xml:space="preserve"> </w:t>
      </w:r>
      <w:hyperlink r:id="rId21">
        <w:r>
          <w:rPr>
            <w:rStyle w:val="Hyperlink"/>
          </w:rPr>
          <w:t xml:space="preserve">cyrillustan</w:t>
        </w:r>
      </w:hyperlink>
      <w:r>
        <w:t xml:space="preserve"> </w:t>
      </w:r>
      <w:r>
        <w:t xml:space="preserve"> </w:t>
      </w:r>
      <w:r>
        <w:t xml:space="preserve">Bioinformatics Interdepartmental Program, University of California, Los Angeles; These authors contributed equally.</w:t>
      </w:r>
      <w:r>
        <w:t xml:space="preserve"> </w:t>
      </w:r>
    </w:p>
    <w:p>
      <w:pPr>
        <w:numPr>
          <w:ilvl w:val="0"/>
          <w:numId w:val="1001"/>
        </w:numPr>
      </w:pPr>
      <w:r>
        <w:rPr>
          <w:b/>
        </w:rPr>
        <w:t xml:space="preserve">Brian Orcutt-Jahns</w:t>
      </w:r>
      <w:r>
        <w:t xml:space="preserve"> </w:t>
      </w:r>
      <w:r>
        <w:t xml:space="preserve">ORCID</w:t>
      </w:r>
      <w:r>
        <w:t xml:space="preserve"> </w:t>
      </w:r>
      <w:hyperlink r:id="rId22">
        <w:r>
          <w:rPr>
            <w:rStyle w:val="Hyperlink"/>
          </w:rPr>
          <w:t xml:space="preserve">0000-0002-1436-1224</w:t>
        </w:r>
      </w:hyperlink>
      <w:r>
        <w:t xml:space="preserve"> </w:t>
      </w:r>
      <w:r>
        <w:t xml:space="preserve">· Github</w:t>
      </w:r>
      <w:r>
        <w:t xml:space="preserve"> </w:t>
      </w:r>
      <w:hyperlink r:id="rId23">
        <w:r>
          <w:rPr>
            <w:rStyle w:val="Hyperlink"/>
          </w:rPr>
          <w:t xml:space="preserve">borcuttjahns</w:t>
        </w:r>
      </w:hyperlink>
      <w:r>
        <w:t xml:space="preserve"> </w:t>
      </w:r>
      <w:r>
        <w:t xml:space="preserve"> </w:t>
      </w:r>
      <w:r>
        <w:t xml:space="preserve">Department of Bioengineering, University of California, Los Angeles; These authors contributed equally.</w:t>
      </w:r>
      <w:r>
        <w:t xml:space="preserve"> </w:t>
      </w:r>
    </w:p>
    <w:p>
      <w:pPr>
        <w:numPr>
          <w:ilvl w:val="0"/>
          <w:numId w:val="1001"/>
        </w:numPr>
      </w:pPr>
      <w:r>
        <w:rPr>
          <w:b/>
        </w:rPr>
        <w:t xml:space="preserve">Aaron S. Meyer</w:t>
      </w:r>
      <w:r>
        <w:t xml:space="preserve"> </w:t>
      </w:r>
      <w:r>
        <w:t xml:space="preserve">ORCID</w:t>
      </w:r>
      <w:r>
        <w:t xml:space="preserve"> </w:t>
      </w:r>
      <w:hyperlink r:id="rId24">
        <w:r>
          <w:rPr>
            <w:rStyle w:val="Hyperlink"/>
          </w:rPr>
          <w:t xml:space="preserve">0000-0003-4513-1840</w:t>
        </w:r>
      </w:hyperlink>
      <w:r>
        <w:t xml:space="preserve"> </w:t>
      </w:r>
      <w:r>
        <w:t xml:space="preserve">· Github</w:t>
      </w:r>
      <w:r>
        <w:t xml:space="preserve"> </w:t>
      </w:r>
      <w:hyperlink r:id="rId25">
        <w:r>
          <w:rPr>
            <w:rStyle w:val="Hyperlink"/>
          </w:rPr>
          <w:t xml:space="preserve">aarmey</w:t>
        </w:r>
      </w:hyperlink>
      <w:r>
        <w:t xml:space="preserve"> </w:t>
      </w:r>
      <w:r>
        <w:t xml:space="preserve">· twitter</w:t>
      </w:r>
      <w:r>
        <w:t xml:space="preserve"> </w:t>
      </w:r>
      <w:hyperlink r:id="rId26">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bookmarkEnd w:id="27"/>
    <w:bookmarkStart w:id="28" w:name="abstract"/>
    <w:p>
      <w:pPr>
        <w:pStyle w:val="Heading2"/>
      </w:pPr>
      <w:r>
        <w:t xml:space="preserve">Abstract</w:t>
      </w:r>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these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bookmarkEnd w:id="28"/>
    <w:bookmarkStart w:id="29" w:name="summary-points"/>
    <w:p>
      <w:pPr>
        <w:pStyle w:val="Heading2"/>
      </w:pPr>
      <w:r>
        <w:t xml:space="preserve">Summary points</w:t>
      </w:r>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bookmarkEnd w:id="29"/>
    <w:bookmarkStart w:id="30" w:name="introduction"/>
    <w:p>
      <w:pPr>
        <w:pStyle w:val="Heading2"/>
      </w:pPr>
      <w:r>
        <w:t xml:space="preserve">Introduction</w:t>
      </w:r>
    </w:p>
    <w:p>
      <w:pPr>
        <w:pStyle w:val="FirstParagraph"/>
      </w:pPr>
      <w:r>
        <w:t xml:space="preserve">Many drugs both derive their therapeutic benefit and avoid toxicity through selective binding to specific cells within the body. Often, target cells can differ from off-target populations only subtly in surface receptor expression, making selective activation of target cells difficult to achieve. Even with a drug of very specific molecular binding, genetic and non-genetic heterogeneity can create a wide distribution of cell responses. This can result in reduced effectiveness and increased toxicity. Specific cell targeting is a universal challenge in protein-based therapies. For example, in cancer, resistance to anti-tumor antibodies,</w:t>
      </w:r>
      <w:hyperlink w:anchor="ref-doi:10.1158/1078-0432.CCR-09-1735">
        <w:r>
          <w:rPr>
            <w:rStyle w:val="Hyperlink"/>
            <w:b/>
            <w:vertAlign w:val="superscript"/>
          </w:rPr>
          <w:t xml:space="preserve">doi:10.1158/1078-0432.CCR-09-1735?</w:t>
        </w:r>
      </w:hyperlink>
      <w:r>
        <w:t xml:space="preserve"> targeted inhibitors,</w:t>
      </w:r>
      <w:hyperlink w:anchor="ref-pmid:20129249">
        <w:r>
          <w:rPr>
            <w:rStyle w:val="Hyperlink"/>
            <w:b/>
            <w:vertAlign w:val="superscript"/>
          </w:rPr>
          <w:t xml:space="preserve">pmid:20129249?</w:t>
        </w:r>
      </w:hyperlink>
      <w:r>
        <w:t xml:space="preserve"> chemotherapies,</w:t>
      </w:r>
      <w:hyperlink w:anchor="ref-doi:10.1016/j.cell.2016.03.025">
        <w:r>
          <w:rPr>
            <w:rStyle w:val="Hyperlink"/>
            <w:b/>
            <w:vertAlign w:val="superscript"/>
          </w:rPr>
          <w:t xml:space="preserve">doi:10.1016/j.cell.2016.03.025?</w:t>
        </w:r>
      </w:hyperlink>
      <w:r>
        <w:t xml:space="preserve"> and chimeric antigen receptor T cells</w:t>
      </w:r>
      <w:hyperlink w:anchor="ref-doi:10.1056/NEJMoa1407222">
        <w:r>
          <w:rPr>
            <w:rStyle w:val="Hyperlink"/>
            <w:b/>
            <w:vertAlign w:val="superscript"/>
          </w:rPr>
          <w:t xml:space="preserve">doi:10.1056/NEJMoa1407222?</w:t>
        </w:r>
      </w:hyperlink>
      <w:r>
        <w:rPr>
          <w:vertAlign w:val="superscript"/>
        </w:rPr>
        <w:t xml:space="preserve">,</w:t>
      </w:r>
      <w:hyperlink w:anchor="ref-doi:10.1126/scitranslmed.aaa0984">
        <w:r>
          <w:rPr>
            <w:rStyle w:val="Hyperlink"/>
            <w:b/>
            <w:vertAlign w:val="superscript"/>
          </w:rPr>
          <w:t xml:space="preserve">doi:10.1126/scitranslmed.aaa0984?</w:t>
        </w:r>
      </w:hyperlink>
      <w:r>
        <w:t xml:space="preserve"> </w:t>
      </w:r>
      <w:r>
        <w:t xml:space="preserve">all can arise through the selection of target cells among heterogeneous cell populations. While the immune system takes advantage of heterogeneity at the single-cell level to translate noisy inflammatory signals into robust yet sensitive responses,</w:t>
      </w:r>
      <w:hyperlink w:anchor="ref-PMID:24919153">
        <w:r>
          <w:rPr>
            <w:rStyle w:val="Hyperlink"/>
            <w:b/>
            <w:vertAlign w:val="superscript"/>
          </w:rPr>
          <w:t xml:space="preserve">PMID:24919153?</w:t>
        </w:r>
      </w:hyperlink>
      <w:r>
        <w:t xml:space="preserve"> this heterogeneity impedes our effort of creating a highly specific drug. The intricacies of both inter-population receptor expression differences and intra-population receptor expression heterogeneity present significant challenges that limit the selectivity of therapies within the body.</w:t>
      </w:r>
    </w:p>
    <w:p>
      <w:pPr>
        <w:pStyle w:val="BodyText"/>
      </w:pPr>
      <w:r>
        <w:t xml:space="preserve">Further improving cell-specific targeting will require new strategies of engineering specificity. Non-cellular therapies such as protein therapies have most extensively been engineered to target specific cell types through mutations that provide high-affinity binding to unique surface antigens.</w:t>
      </w:r>
      <w:hyperlink w:anchor="ref-pmid:25992859">
        <w:r>
          <w:rPr>
            <w:rStyle w:val="Hyperlink"/>
            <w:b/>
            <w:vertAlign w:val="superscript"/>
          </w:rPr>
          <w:t xml:space="preserve">pmid:25992859?</w:t>
        </w:r>
      </w:hyperlink>
      <w:r>
        <w:t xml:space="preserve"> This strategy can enhance specificity, but only to a limited degree, particularly when target cells can only be distinguished by subtle quantitative differences in surface antigen or by combinations of markers. The limitations of single-antigen targeting have led to efforts to program complex logic into cellular therapies to recognize target cells more specifically.</w:t>
      </w:r>
      <w:hyperlink w:anchor="ref-doi:10.1126/science.aay2790">
        <w:r>
          <w:rPr>
            <w:rStyle w:val="Hyperlink"/>
            <w:b/>
            <w:vertAlign w:val="superscript"/>
          </w:rPr>
          <w:t xml:space="preserve">doi:10.1126/science.aay2790?</w:t>
        </w:r>
      </w:hyperlink>
      <w:r>
        <w:rPr>
          <w:vertAlign w:val="superscript"/>
        </w:rPr>
        <w:t xml:space="preserve">,</w:t>
      </w:r>
      <w:hyperlink w:anchor="ref-pmid:30889382">
        <w:r>
          <w:rPr>
            <w:rStyle w:val="Hyperlink"/>
            <w:b/>
            <w:vertAlign w:val="superscript"/>
          </w:rPr>
          <w:t xml:space="preserve">pmid:30889382?</w:t>
        </w:r>
      </w:hyperlink>
      <w:r>
        <w:rPr>
          <w:vertAlign w:val="superscript"/>
        </w:rPr>
        <w:t xml:space="preserve">,</w:t>
      </w:r>
      <w:hyperlink w:anchor="ref-doi:10.1016/j.cell.2018.03.038">
        <w:r>
          <w:rPr>
            <w:rStyle w:val="Hyperlink"/>
            <w:b/>
            <w:vertAlign w:val="superscript"/>
          </w:rPr>
          <w:t xml:space="preserve">doi:10.1016/j.cell.2018.03.038?</w:t>
        </w:r>
      </w:hyperlink>
      <w:r>
        <w:t xml:space="preserve"> However,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of ligand designs make computational tools essential for designing highly selective therapies.</w:t>
      </w:r>
      <w:hyperlink w:anchor="ref-doi:10.1101/812131">
        <w:r>
          <w:rPr>
            <w:rStyle w:val="Hyperlink"/>
            <w:b/>
            <w:vertAlign w:val="superscript"/>
          </w:rPr>
          <w:t xml:space="preserve">doi:10.1101/812131?</w:t>
        </w:r>
      </w:hyperlink>
      <w:r>
        <w:t xml:space="preserve"> Here, we analyze a suite of molecular approaches for engineering cell-specific binding using a multi-valent, multi-receptor, multi-ligand binding model. We show that strategies including affinity, valency, binding competition, ligand mixtures, and hetero-valent complexes provide distinct improvements in cell-specific targeting. Finally, we combine these strategies to target cells through combinatorial methods. In total, our results demonstrate that multi-valent ligands can offer offer effective cell specific targeting without the need to engineer complex cellular therapies, and that their design can be guided using a mechanistic binding model.</w:t>
      </w:r>
    </w:p>
    <w:bookmarkEnd w:id="30"/>
    <w:bookmarkStart w:id="45" w:name="results"/>
    <w:p>
      <w:pPr>
        <w:pStyle w:val="Heading2"/>
      </w:pPr>
      <w:r>
        <w:t xml:space="preserve">Results</w:t>
      </w:r>
    </w:p>
    <w:bookmarkStart w:id="32" w:name="Xa70cdaa3dbe889b14a8f05afb46e79dd8fc01bf"/>
    <w:p>
      <w:pPr>
        <w:pStyle w:val="Heading3"/>
      </w:pPr>
      <w:r>
        <w:t xml:space="preserve">A Model System to Explore the Factors Contributing to Cell Selectivity</w:t>
      </w:r>
    </w:p>
    <w:bookmarkStart w:id="0" w:name="fig:model"/>
    <w:p>
      <w:pPr>
        <w:pStyle w:val="CaptionedFigure"/>
      </w:pPr>
      <w:bookmarkStart w:id="31"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arbitrary theoretical cell populations with various receptor expression profiles.</w:t>
      </w:r>
      <w:bookmarkEnd w:id="31"/>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arbitrary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a necessary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to optimize target cell binding while minimizing their binding to off-target cells is an area of ongoing research, and has inspired a myriad of drug design strategies.</w:t>
      </w:r>
      <w:hyperlink w:anchor="ref-doi:10.1038/sj.bjc.6604700">
        <w:r>
          <w:rPr>
            <w:rStyle w:val="Hyperlink"/>
            <w:b/>
            <w:vertAlign w:val="superscript"/>
          </w:rPr>
          <w:t xml:space="preserve">doi:10.1038/sj.bjc.6604700?</w:t>
        </w:r>
      </w:hyperlink>
      <w:r>
        <w:rPr>
          <w:vertAlign w:val="superscript"/>
        </w:rPr>
        <w:t xml:space="preserve">,</w:t>
      </w:r>
      <w:hyperlink w:anchor="ref-doi:10.1021/cb6003788">
        <w:r>
          <w:rPr>
            <w:rStyle w:val="Hyperlink"/>
            <w:b/>
            <w:vertAlign w:val="superscript"/>
          </w:rPr>
          <w:t xml:space="preserve">doi:10.1021/cb6003788?</w:t>
        </w:r>
      </w:hyperlink>
      <w:r>
        <w:rPr>
          <w:vertAlign w:val="superscript"/>
        </w:rPr>
        <w:t xml:space="preserve">,</w:t>
      </w:r>
      <w:hyperlink w:anchor="ref-doi:10.1038/s41586-018-0830-7">
        <w:r>
          <w:rPr>
            <w:rStyle w:val="Hyperlink"/>
            <w:b/>
            <w:vertAlign w:val="superscript"/>
          </w:rPr>
          <w:t xml:space="preserve">doi:10.1038/s41586-018-0830-7?</w:t>
        </w:r>
      </w:hyperlink>
      <w:r>
        <w:t xml:space="preserve"> In this work, we define cell population selectivity as the ratio of the number of ligands bound to target cell populations divided by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For the binding between monomer ligands and receptors, their affinity can be described by the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crosslinking constant,</w:t>
      </w:r>
      <w:r>
        <w:t xml:space="preserve"> </w:t>
      </w:r>
      <m:oMath>
        <m:sSubSup>
          <m:e>
            <m:r>
              <m:t>K</m:t>
            </m:r>
          </m:e>
          <m:sub>
            <m:r>
              <m:t>x</m:t>
            </m:r>
          </m:sub>
          <m:sup>
            <m:r>
              <m:t>*</m:t>
            </m:r>
          </m:sup>
        </m:sSubSup>
      </m:oMath>
      <w:r>
        <w:t xml:space="preserve">, which describes how easily a multivalent ligand bound to a cell monovalently can attain secondary binding.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t> </m:t>
        </m:r>
        <m:r>
          <m:rPr>
            <m:sty m:val="p"/>
          </m:rPr>
          <m:t>n</m:t>
        </m:r>
        <m:r>
          <m:rPr>
            <m:sty m:val="p"/>
          </m:rPr>
          <m:t>M</m:t>
        </m:r>
      </m:oMath>
      <w:r>
        <w:t xml:space="preserve">, and its dissociation constants to the two receptors to be</w:t>
      </w:r>
      <w:r>
        <w:t xml:space="preserve"> </w:t>
      </w:r>
      <m:oMath>
        <m:r>
          <m:t>10</m:t>
        </m:r>
        <m:r>
          <m:t> </m:t>
        </m:r>
        <m:r>
          <m:rPr>
            <m:sty m:val="p"/>
          </m:rPr>
          <m:t>μ</m:t>
        </m:r>
        <m:r>
          <m:rPr>
            <m:sty m:val="p"/>
          </m:rPr>
          <m:t>M</m:t>
        </m:r>
      </m:oMath>
      <w:r>
        <w:t xml:space="preserve"> </w:t>
      </w:r>
      <w:r>
        <w:t xml:space="preserve">and</w:t>
      </w:r>
      <w:r>
        <w:t xml:space="preserve"> </w:t>
      </w:r>
      <m:oMath>
        <m:r>
          <m:t>100</m:t>
        </m:r>
        <m:r>
          <m:t> </m:t>
        </m:r>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This situation might correspond to some cues inducing expression of a receptor, such as interferon-induced upregulation of MHC and regulatory T cell upregulation of IL-2R⍺.</w:t>
      </w:r>
      <w:hyperlink w:anchor="ref-DOI:10.1073/pnas.0812851107">
        <w:r>
          <w:rPr>
            <w:rStyle w:val="Hyperlink"/>
            <w:b/>
            <w:vertAlign w:val="superscript"/>
          </w:rPr>
          <w:t xml:space="preserve">DOI:10.1073/pnas.0812851107?</w:t>
        </w:r>
      </w:hyperlink>
      <w:r>
        <w:t xml:space="preserve"> When the amount of receptor 1 (</w:t>
      </w:r>
      <m:oMath>
        <m:sSub>
          <m:e>
            <m:r>
              <m:t>R</m:t>
            </m:r>
          </m:e>
          <m:sub>
            <m:r>
              <m:t>1</m:t>
            </m:r>
          </m:sub>
        </m:sSub>
      </m:oMath>
      <w:r>
        <w:t xml:space="preserve">) 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binding varying more strongly with changes to</w:t>
      </w:r>
      <w:r>
        <w:t xml:space="preserve"> </w:t>
      </w:r>
      <m:oMath>
        <m:sSub>
          <m:e>
            <m:r>
              <m:t>R</m:t>
            </m:r>
          </m:e>
          <m:sub>
            <m:r>
              <m:t>2</m:t>
            </m:r>
          </m:sub>
        </m:sSub>
      </m:oMath>
      <w:r>
        <w:t xml:space="preserve"> </w:t>
      </w:r>
      <w:r>
        <w:t xml:space="preserve">expression than</w:t>
      </w:r>
      <w:r>
        <w:t xml:space="preserve"> </w:t>
      </w:r>
      <m:oMath>
        <m:sSub>
          <m:e>
            <m:r>
              <m:t>R</m:t>
            </m:r>
          </m:e>
          <m:sub>
            <m:r>
              <m:t>1</m:t>
            </m:r>
          </m:sub>
        </m:sSub>
      </m:oMath>
      <w:r>
        <w:t xml:space="preserve">.</w:t>
      </w:r>
    </w:p>
    <w:p>
      <w:pPr>
        <w:pStyle w:val="BodyText"/>
      </w:pPr>
      <w:r>
        <w:t xml:space="preserve">To analyze more general cases, we arbitrarily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The receptor expression profile within each cell population can also vary widely. To demonstrate cell-to-cell heterogeneity, we also defined intrapopulation variability of each population arbitrarily.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The intrapopulation variance will be accounted for using sigma point filters.</w:t>
      </w:r>
      <w:hyperlink w:anchor="ref-wikidata:Q99353631">
        <w:r>
          <w:rPr>
            <w:rStyle w:val="Hyperlink"/>
            <w:b/>
            <w:vertAlign w:val="superscript"/>
          </w:rPr>
          <w:t xml:space="preserve">wikidata:Q99353631?</w:t>
        </w:r>
      </w:hyperlink>
      <w:r>
        <w:t xml:space="preserve"> We will use this binding model to examine how engineering a ligand using various strategies can improve cell-specific targeting. Although we will only consider two receptor and ligand subunit types respectively, the principles we present can generalize to more complex cases.</w:t>
      </w:r>
    </w:p>
    <w:bookmarkEnd w:id="32"/>
    <w:bookmarkStart w:id="34" w:name="X3f454457126066982ffeefe0ffacd278d4d7c10"/>
    <w:p>
      <w:pPr>
        <w:pStyle w:val="Heading3"/>
      </w:pPr>
      <w:r>
        <w:t xml:space="preserve">Affinity Provides Selectivity Toward Cell Populations with Divergent Receptor Expression</w:t>
      </w:r>
    </w:p>
    <w:bookmarkStart w:id="0" w:name="fig:affinity"/>
    <w:p>
      <w:pPr>
        <w:pStyle w:val="CaptionedFigure"/>
      </w:pPr>
      <w:bookmarkStart w:id="33"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3"/>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ligand binding affinity as an engineering strategy to enhance its cell population specificity. Here, we showed the binding pattern of monovalent ligands with various affinities ranging from</w:t>
      </w:r>
      <w:r>
        <w:t xml:space="preserve"> </w:t>
      </w:r>
      <m:oMath>
        <m:r>
          <m:t>10</m:t>
        </m:r>
        <m:r>
          <m:t> </m:t>
        </m:r>
        <m:r>
          <m:rPr>
            <m:sty m:val="p"/>
          </m:rPr>
          <m:t>μ</m:t>
        </m:r>
        <m:r>
          <m:rPr>
            <m:sty m:val="p"/>
          </m:rPr>
          <m:t>M</m:t>
        </m:r>
      </m:oMath>
      <w:r>
        <w:t xml:space="preserve"> </w:t>
      </w:r>
      <w:r>
        <w:t xml:space="preserve">to</w:t>
      </w:r>
      <w:r>
        <w:t xml:space="preserve"> </w:t>
      </w:r>
      <m:oMath>
        <m:r>
          <m:t>100</m:t>
        </m:r>
        <m:r>
          <m:t> </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We found that when a target cell population expresses a receptor not expressed by off-target cell populations, enhancing the affinity of the drug to this receptor is a clear and effective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differ only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by the relative discrepancy in receptor abundances (Fig.</w:t>
      </w:r>
      <w:r>
        <w:t xml:space="preserve"> </w:t>
      </w:r>
      <w:hyperlink w:anchor="fig:affinity">
        <w:r>
          <w:rPr>
            <w:rStyle w:val="Hyperlink"/>
          </w:rPr>
          <w:t xml:space="preserve">2</w:t>
        </w:r>
      </w:hyperlink>
      <w:r>
        <w:t xml:space="preserve">c,d). Since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fails to modulate binding selectivity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as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bookmarkEnd w:id="34"/>
    <w:bookmarkStart w:id="36" w:name="Xbf61cf771d8dee967b9caf4848bd57facde9c74"/>
    <w:p>
      <w:pPr>
        <w:pStyle w:val="Heading3"/>
      </w:pPr>
      <w:r>
        <w:t xml:space="preserve">Valency Enables Selectivity Based on Quantitative Differences in Receptor Abundance</w:t>
      </w:r>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Our previous work has shown that this binding model can accurately predict the multivalent binding between IgG antibodies and Fcγ receptors.</w:t>
      </w:r>
      <w:hyperlink w:anchor="ref-pmid:29960887">
        <w:r>
          <w:rPr>
            <w:rStyle w:val="Hyperlink"/>
            <w:b/>
            <w:vertAlign w:val="superscript"/>
          </w:rPr>
          <w:t xml:space="preserve">pmid:29960887?</w:t>
        </w:r>
      </w:hyperlink>
      <w:r>
        <w:t xml:space="preserve"> To further demonstrate our model’s capacity to predict multivalent binding activity, we fit our model to a set of published experimental measurements wherein fluorescently labeled nanorings were assembled with specific numbers of binding units.</w:t>
      </w:r>
      <w:hyperlink w:anchor="ref-doi:10.1021/jacs.8b09198">
        <w:r>
          <w:rPr>
            <w:rStyle w:val="Hyperlink"/>
            <w:b/>
            <w:vertAlign w:val="superscript"/>
          </w:rPr>
          <w:t xml:space="preserve">doi:10.1021/jacs.8b09198?</w:t>
        </w:r>
      </w:hyperlink>
      <w:r>
        <w:t xml:space="preserve"> After fitting to determine the crosslinking coefficient of multivalent nanorings (</w:t>
      </w:r>
      <m:oMath>
        <m:sSubSup>
          <m:e>
            <m:r>
              <m:t>K</m:t>
            </m:r>
          </m:e>
          <m:sub>
            <m:r>
              <m:t>x</m:t>
            </m:r>
          </m:sub>
          <m:sup>
            <m:r>
              <m:t>*</m:t>
            </m:r>
          </m:sup>
        </m:sSubSup>
      </m:oMath>
      <w:r>
        <w:t xml:space="preserve">) and receptor affinity values (</w:t>
      </w:r>
      <m:oMath>
        <m:sSub>
          <m:e>
            <m:r>
              <m:t>K</m:t>
            </m:r>
          </m:e>
          <m:sub>
            <m:r>
              <m:t>a</m:t>
            </m:r>
          </m:sub>
        </m:sSub>
      </m:oMath>
      <w:r>
        <w:t xml:space="preserve">), our model was able to accurately match the binding of nanorings with four or eight subunits to cells expressing a known abundance of receptor partners (Fig. S1a).</w:t>
      </w:r>
    </w:p>
    <w:p>
      <w:pPr>
        <w:pStyle w:val="BodyText"/>
      </w:pPr>
      <w:r>
        <w:t xml:space="preserve">Multivalent ligand binding differs from monovalent binding in its nonlinear relationship with receptor density, allowing multivalent ligands to potentially selectively target cells based on receptor abundance.</w:t>
      </w:r>
      <w:hyperlink w:anchor="ref-doi:10.1038/srep40098">
        <w:r>
          <w:rPr>
            <w:rStyle w:val="Hyperlink"/>
            <w:b/>
            <w:vertAlign w:val="superscript"/>
          </w:rPr>
          <w:t xml:space="preserve">doi:10.1038/srep40098?</w:t>
        </w:r>
      </w:hyperlink>
      <w:r>
        <w:t xml:space="preserve"> 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not receptor</w:t>
      </w:r>
      <w:r>
        <w:t xml:space="preserve"> </w:t>
      </w:r>
      <m:oMath>
        <m:sSub>
          <m:e>
            <m:r>
              <m:t>R</m:t>
            </m:r>
          </m:e>
          <m:sub>
            <m:r>
              <m:t>2</m:t>
            </m:r>
          </m:sub>
        </m:sSub>
      </m:oMath>
      <w:r>
        <w:t xml:space="preserve">, and the valency of the ligand is varied across subplots.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when considering multivalent binding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many previous studies have suggested, multi-valent ligands can demonstrate particular selectivity to target populations with high receptor abundances when their subunits have low affinity to the receptors.</w:t>
      </w:r>
      <w:hyperlink w:anchor="ref-doi:10.1021/cb6003788">
        <w:r>
          <w:rPr>
            <w:rStyle w:val="Hyperlink"/>
            <w:b/>
            <w:vertAlign w:val="superscript"/>
          </w:rPr>
          <w:t xml:space="preserve">doi:10.1021/cb6003788?</w:t>
        </w:r>
      </w:hyperlink>
      <w:r>
        <w:rPr>
          <w:vertAlign w:val="superscript"/>
        </w:rPr>
        <w:t xml:space="preserve">,</w:t>
      </w:r>
      <w:hyperlink w:anchor="ref-doi:10.1021/jacs.8b09198">
        <w:r>
          <w:rPr>
            <w:rStyle w:val="Hyperlink"/>
            <w:b/>
            <w:vertAlign w:val="superscript"/>
          </w:rPr>
          <w:t xml:space="preserve">doi:10.1021/jacs.8b09198?</w:t>
        </w:r>
      </w:hyperlink>
      <w:r>
        <w:t xml:space="preserve"> Comparing binding between cell populations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and the shaded areas indicate the variance caused by intrapopulation heterogeneity, determined by sigma point filters.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For any specific multivalent ligand at equilibrium, it may bind to any number of receptors up to its valency, which we will refer to as its binding degree. Our model allowed us to identify the mechanism of valency-mediated receptor abundance selectivity by examining the distribution of ligands bound at each degree to different cells for octavalent ligands (valency = 8). A cell expressing</w:t>
      </w:r>
      <w:r>
        <w:t xml:space="preserve"> </w:t>
      </w:r>
      <m:oMath>
        <m:sSup>
          <m:e>
            <m:r>
              <m:t>10</m:t>
            </m:r>
          </m:e>
          <m:sup>
            <m:r>
              <m:t>4</m:t>
            </m:r>
          </m:sup>
        </m:sSup>
      </m:oMath>
      <w:r>
        <w:t xml:space="preserve"> </w:t>
      </w:r>
      <w:r>
        <w:t xml:space="preserve">receptors displays similar amounts of binding at each degree for ligands with dissociation constants of</w:t>
      </w:r>
      <w:r>
        <w:t xml:space="preserve"> </w:t>
      </w:r>
      <m:oMath>
        <m:r>
          <m:t>1000</m:t>
        </m:r>
      </m:oMath>
      <w:r>
        <w:t xml:space="preserve">,</w:t>
      </w:r>
      <w:r>
        <w:t xml:space="preserve"> </w:t>
      </w:r>
      <m:oMath>
        <m:r>
          <m:t>100</m:t>
        </m:r>
      </m:oMath>
      <w:r>
        <w:t xml:space="preserve">, and</w:t>
      </w:r>
      <w:r>
        <w:t xml:space="preserve"> </w:t>
      </w:r>
      <m:oMath>
        <m:r>
          <m:t>10</m:t>
        </m:r>
        <m:r>
          <m:t> </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higher-degree binding for ligand complexes of low binding affinity (Fig.</w:t>
      </w:r>
      <w:r>
        <w:t xml:space="preserve"> </w:t>
      </w:r>
      <w:hyperlink w:anchor="fig:valency">
        <w:r>
          <w:rPr>
            <w:rStyle w:val="Hyperlink"/>
          </w:rPr>
          <w:t xml:space="preserve">3</w:t>
        </w:r>
      </w:hyperlink>
      <w:r>
        <w:t xml:space="preserve">f). This effect arises due to the ligand’s rate of dissociation being larger than its multivalent binding association rate at low receptor abundances (Fig.</w:t>
      </w:r>
      <w:r>
        <w:t xml:space="preserve"> </w:t>
      </w:r>
      <w:hyperlink w:anchor="fig:valency">
        <w:r>
          <w:rPr>
            <w:rStyle w:val="Hyperlink"/>
          </w:rPr>
          <w:t xml:space="preserve">3</w:t>
        </w:r>
      </w:hyperlink>
      <w:r>
        <w:t xml:space="preserve">g). Multivalent ligands undergo initial binding events at rates unaffected by steric effects and changes in local concentration, but low affinity and receptor density severely limit the possibility of secondary binding events. In contrast, cells with a higher abundance of receptors accumulate ligand bound by having them bind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5"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t> </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The shaded areas indicate the variance of binding ratios caused by the intrapopulation heterogeneity and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t> </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5"/>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t> </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The shaded areas indicate the variance of binding ratios caused by the intrapopulation heterogeneity and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t> </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bookmarkEnd w:id="36"/>
    <w:bookmarkStart w:id="38" w:name="X7f819264ae88ea78993615f064bd20b2428e55e"/>
    <w:p>
      <w:pPr>
        <w:pStyle w:val="Heading3"/>
      </w:pPr>
      <w:r>
        <w:t xml:space="preserve">Non-Overlapping Ligand Targeting Drives a Limited Selectivity Enhancement of Mixtures</w:t>
      </w:r>
    </w:p>
    <w:p>
      <w:pPr>
        <w:pStyle w:val="FirstParagraph"/>
      </w:pPr>
      <w:r>
        <w:t xml:space="preserve">While most therapies rely on the action of a single molecular species, mixtures may enhance selectivity through combinations of actions.</w:t>
      </w:r>
      <w:hyperlink w:anchor="ref-doi:10.1038/nbt.1549">
        <w:r>
          <w:rPr>
            <w:rStyle w:val="Hyperlink"/>
            <w:b/>
            <w:vertAlign w:val="superscript"/>
          </w:rPr>
          <w:t xml:space="preserve">doi:10.1038/nbt.1549?</w:t>
        </w:r>
      </w:hyperlink>
      <w:r>
        <w:t xml:space="preserve"> Furthermore, some biologics inevitably act as mixtures of species through heterogeneity in glycosylation and the presence of endogenous ligands.</w:t>
      </w:r>
      <w:hyperlink w:anchor="ref-DOI:10.1002/rcm.3330">
        <w:r>
          <w:rPr>
            <w:rStyle w:val="Hyperlink"/>
            <w:b/>
            <w:vertAlign w:val="superscript"/>
          </w:rPr>
          <w:t xml:space="preserve">DOI:10.1002/rcm.3330?</w:t>
        </w:r>
      </w:hyperlink>
      <w:r>
        <w:t xml:space="preserve"> Therefore, it is important to understand how mixtures of complexes influence overall response.</w:t>
      </w:r>
    </w:p>
    <w:p>
      <w:pPr>
        <w:pStyle w:val="BodyText"/>
      </w:pPr>
      <w:r>
        <w:t xml:space="preserve">To evaluate the contribution of mixtures, we evaluated model-predicted binding while varying the composition between two distinct monovalent ligands, each exhibiting preferential binding to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pmid:28886385">
        <w:r>
          <w:rPr>
            <w:rStyle w:val="Hyperlink"/>
            <w:b/>
            <w:vertAlign w:val="superscript"/>
          </w:rPr>
          <w:t xml:space="preserve">pmid:28886385?</w:t>
        </w:r>
      </w:hyperlink>
      <w:r>
        <w:rPr>
          <w:vertAlign w:val="superscript"/>
        </w:rPr>
        <w:t xml:space="preserve">,</w:t>
      </w:r>
      <w:hyperlink w:anchor="ref-pmid:29960887">
        <w:r>
          <w:rPr>
            <w:rStyle w:val="Hyperlink"/>
            <w:b/>
            <w:vertAlign w:val="superscript"/>
          </w:rPr>
          <w:t xml:space="preserve">pmid:29960887?</w:t>
        </w:r>
      </w:hyperlink>
    </w:p>
    <w:bookmarkStart w:id="0" w:name="fig:mixture"/>
    <w:p>
      <w:pPr>
        <w:pStyle w:val="CaptionedFigure"/>
      </w:pPr>
      <w:bookmarkStart w:id="37"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t> </m:t>
        </m:r>
        <m:r>
          <m:rPr>
            <m:sty m:val="p"/>
          </m:rPr>
          <m:t>μ</m:t>
        </m:r>
        <m:r>
          <m:rPr>
            <m:sty m:val="p"/>
          </m:rPr>
          <m:t>M</m:t>
        </m:r>
      </m:oMath>
      <w:r>
        <w:t xml:space="preserve"> </w:t>
      </w:r>
      <w:r>
        <w:t xml:space="preserve">and</w:t>
      </w:r>
      <w:r>
        <w:t xml:space="preserve"> </w:t>
      </w:r>
      <m:oMath>
        <m:r>
          <m:t>10</m:t>
        </m:r>
        <m:r>
          <m:t> </m:t>
        </m:r>
        <m:r>
          <m:rPr>
            <m:sty m:val="p"/>
          </m:rPr>
          <m:t>μ</m:t>
        </m:r>
        <m:r>
          <m:rPr>
            <m:sty m:val="p"/>
          </m:rPr>
          <m:t>M</m:t>
        </m:r>
      </m:oMath>
      <w:r>
        <w:t xml:space="preserve"> </w:t>
      </w:r>
      <w:r>
        <w:t xml:space="preserve">respectively, and ligand 2 binding to receptors 1 and 2 with dissociation constants of</w:t>
      </w:r>
      <w:r>
        <w:t xml:space="preserve"> </w:t>
      </w:r>
      <m:oMath>
        <m:r>
          <m:t>10</m:t>
        </m:r>
        <m:r>
          <m:t> </m:t>
        </m:r>
        <m:r>
          <m:rPr>
            <m:sty m:val="p"/>
          </m:rPr>
          <m:t>μ</m:t>
        </m:r>
        <m:r>
          <m:rPr>
            <m:sty m:val="p"/>
          </m:rPr>
          <m:t>M</m:t>
        </m:r>
      </m:oMath>
      <w:r>
        <w:t xml:space="preserve"> </w:t>
      </w:r>
      <w:r>
        <w:t xml:space="preserve">and</w:t>
      </w:r>
      <w:r>
        <w:t xml:space="preserve"> </w:t>
      </w:r>
      <m:oMath>
        <m:r>
          <m:t>1</m:t>
        </m:r>
        <m:r>
          <m:t> </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b,c) Ratio of ligand bound to cell populations exposed to monovalent mixtures of ligand 1 and 2. The ratio of the target population to the single off target population with the greatest ligand bound is plotted. The shaded areas indicate the variance caused by intrapopulation heterogeneity,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bookmarkEnd w:id="37"/>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t> </m:t>
        </m:r>
        <m:r>
          <m:rPr>
            <m:sty m:val="p"/>
          </m:rPr>
          <m:t>μ</m:t>
        </m:r>
        <m:r>
          <m:rPr>
            <m:sty m:val="p"/>
          </m:rPr>
          <m:t>M</m:t>
        </m:r>
      </m:oMath>
      <w:r>
        <w:t xml:space="preserve"> </w:t>
      </w:r>
      <w:r>
        <w:t xml:space="preserve">and</w:t>
      </w:r>
      <w:r>
        <w:t xml:space="preserve"> </w:t>
      </w:r>
      <m:oMath>
        <m:r>
          <m:t>10</m:t>
        </m:r>
        <m:r>
          <m:t> </m:t>
        </m:r>
        <m:r>
          <m:rPr>
            <m:sty m:val="p"/>
          </m:rPr>
          <m:t>μ</m:t>
        </m:r>
        <m:r>
          <m:rPr>
            <m:sty m:val="p"/>
          </m:rPr>
          <m:t>M</m:t>
        </m:r>
      </m:oMath>
      <w:r>
        <w:t xml:space="preserve"> </w:t>
      </w:r>
      <w:r>
        <w:t xml:space="preserve">respectively, and ligand 2 binding to receptors 1 and 2 with dissociation constants of</w:t>
      </w:r>
      <w:r>
        <w:t xml:space="preserve"> </w:t>
      </w:r>
      <m:oMath>
        <m:r>
          <m:t>10</m:t>
        </m:r>
        <m:r>
          <m:t> </m:t>
        </m:r>
        <m:r>
          <m:rPr>
            <m:sty m:val="p"/>
          </m:rPr>
          <m:t>μ</m:t>
        </m:r>
        <m:r>
          <m:rPr>
            <m:sty m:val="p"/>
          </m:rPr>
          <m:t>M</m:t>
        </m:r>
      </m:oMath>
      <w:r>
        <w:t xml:space="preserve"> </w:t>
      </w:r>
      <w:r>
        <w:t xml:space="preserve">and</w:t>
      </w:r>
      <w:r>
        <w:t xml:space="preserve"> </w:t>
      </w:r>
      <m:oMath>
        <m:r>
          <m:t>1</m:t>
        </m:r>
        <m:r>
          <m:t> </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b,c) Ratio of ligand bound to cell populations exposed to monovalent mixtures of ligand 1 and 2. The ratio of the target population to the single off target population with the greatest ligand bound is plotted. The shaded areas indicate the variance caused by intrapopulation heterogeneity,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bookmarkEnd w:id="38"/>
    <w:bookmarkStart w:id="40" w:name="X6121a27614a240825e6e8895d4acf0ebac196e1"/>
    <w:p>
      <w:pPr>
        <w:pStyle w:val="Heading3"/>
      </w:pPr>
      <w:r>
        <w:t xml:space="preserve">Heterovalent Bispecific Ligands Exhibit Unique Charateristics When Activated Fully Bound</w:t>
      </w:r>
    </w:p>
    <w:p>
      <w:pPr>
        <w:pStyle w:val="FirstParagraph"/>
      </w:pPr>
      <w:r>
        <w:t xml:space="preserve">Constructing multispecific drugs has become a promising new strategy for finer target cell specificity with the advancement of engineering techniques.</w:t>
      </w:r>
      <w:hyperlink w:anchor="ref-doi:10.1038/s41586-020-2168-1">
        <w:r>
          <w:rPr>
            <w:rStyle w:val="Hyperlink"/>
            <w:b/>
            <w:vertAlign w:val="superscript"/>
          </w:rPr>
          <w:t xml:space="preserve">doi:10.1038/s41586-020-2168-1?</w:t>
        </w:r>
      </w:hyperlink>
      <w:r>
        <w:t xml:space="preserve"> However, the number of possible configurations of multispecific drugs is combinatorially large and impossible to enumerate. Here, we use heterovalent bispecific ligands as examples to explore the unique benefit of multispecificity distinct from any strategy analyzed before. Here, we compare bispecificity with a 50%-50% mixture of two monovalent ligands, and a 50%-50% mixture of two different homogeneous bivalent ligands (Fig.</w:t>
      </w:r>
      <w:r>
        <w:t xml:space="preserve"> </w:t>
      </w:r>
      <w:hyperlink w:anchor="fig:bispecific">
        <w:r>
          <w:rPr>
            <w:rStyle w:val="Hyperlink"/>
          </w:rPr>
          <w:t xml:space="preserve">5</w:t>
        </w:r>
      </w:hyperlink>
      <w:r>
        <w:t xml:space="preserve">i).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advantages afforded by heterovalent ligands.</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w:t>
      </w:r>
      <w:hyperlink w:anchor="ref-doi:10.1080/19420862.2015.1062192">
        <w:r>
          <w:rPr>
            <w:rStyle w:val="Hyperlink"/>
            <w:b/>
            <w:vertAlign w:val="superscript"/>
          </w:rPr>
          <w:t xml:space="preserve">doi:10.1080/19420862.2015.1062192?</w:t>
        </w:r>
      </w:hyperlink>
      <w:r>
        <w:rPr>
          <w:vertAlign w:val="superscript"/>
        </w:rPr>
        <w:t xml:space="preserve">,</w:t>
      </w:r>
      <w:hyperlink w:anchor="ref-pmid:30145356">
        <w:r>
          <w:rPr>
            <w:rStyle w:val="Hyperlink"/>
            <w:b/>
            <w:vertAlign w:val="superscript"/>
          </w:rPr>
          <w:t xml:space="preserve">pmid:30145356?</w:t>
        </w:r>
      </w:hyperlink>
      <w:r>
        <w:t xml:space="preserve"> 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 We investigated whether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(Fig.</w:t>
      </w:r>
      <w:r>
        <w:t xml:space="preserve"> </w:t>
      </w:r>
      <w:hyperlink w:anchor="fig:bispecific">
        <w:r>
          <w:rPr>
            <w:rStyle w:val="Hyperlink"/>
          </w:rPr>
          <w:t xml:space="preserve">5</w:t>
        </w:r>
      </w:hyperlink>
      <w:r>
        <w:t xml:space="preserve">i). For the heterovalent bispecific case, ligand fully bound will only account for the amount of ligand with both of their ligand monomers bound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e). The contour plot of fully bound bispecific ligands has more convex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e). This convexity of contour lines indicates that for bispecific complexes, double-positive cells bind more ligands fully than cells only strongly expressing one type of receptors.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is dependent on the ligand’s propensity for crosslinking captured by the constant</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i). Typically in biochemistry, when there is less steric hindrance among the subunits of a multivalent drug molecule (e.g. longer tether and smaller subunit size), or when there is local receptor clustering on the target cell, secondary binding will be easier to achieve, corresponding to larger</w:t>
      </w:r>
      <w:r>
        <w:t xml:space="preserve"> </w:t>
      </w:r>
      <m:oMath>
        <m:sSubSup>
          <m:e>
            <m:r>
              <m:t>K</m:t>
            </m:r>
          </m:e>
          <m:sub>
            <m:r>
              <m:t>x</m:t>
            </m:r>
          </m:sub>
          <m:sup>
            <m:r>
              <m:t>*</m:t>
            </m:r>
          </m:sup>
        </m:sSubSup>
      </m:oMath>
      <w:r>
        <w:t xml:space="preserve">.</w:t>
      </w:r>
      <w:hyperlink w:anchor="ref-doi:10.1016/S0006-3495">
        <w:r>
          <w:rPr>
            <w:rStyle w:val="Hyperlink"/>
            <w:b/>
            <w:vertAlign w:val="superscript"/>
          </w:rPr>
          <w:t xml:space="preserve">doi:10.1016/S0006-3495?</w:t>
        </w:r>
      </w:hyperlink>
      <w:r>
        <w:t xml:space="preserve"> 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hyperlink w:anchor="fig:bispecific">
        <w:r>
          <w:rPr>
            <w:rStyle w:val="Hyperlink"/>
          </w:rPr>
          <w:t xml:space="preserve">5</w:t>
        </w:r>
      </w:hyperlink>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compared the selectivities between some chosen target-to-off-target cell population pairs under bispecific drug versus another drug given a range of</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g,h). These plotted numbers are the selectivities imparted by a bispecific drug divided by the selectivities from a drug mixture of either monovalent (Fig.</w:t>
      </w:r>
      <w:r>
        <w:t xml:space="preserve"> </w:t>
      </w:r>
      <w:hyperlink w:anchor="fig:bispecific">
        <w:r>
          <w:rPr>
            <w:rStyle w:val="Hyperlink"/>
          </w:rPr>
          <w:t xml:space="preserve">5</w:t>
        </w:r>
      </w:hyperlink>
      <w:r>
        <w:t xml:space="preserve">g) or homogeneous bivalent (Fig.</w:t>
      </w:r>
      <w:r>
        <w:t xml:space="preserve"> </w:t>
      </w:r>
      <w:hyperlink w:anchor="fig:bispecific">
        <w:r>
          <w:rPr>
            <w:rStyle w:val="Hyperlink"/>
          </w:rPr>
          <w:t xml:space="preserve">5</w:t>
        </w:r>
      </w:hyperlink>
      <w:r>
        <w:t xml:space="preserve">h). When these quotients are larger, it implies that fully bound bispecific ligand has greater advantages than its counterpart to impart selective binding for the chosen target cell populations. Figure</w:t>
      </w:r>
      <w:r>
        <w:t xml:space="preserve"> </w:t>
      </w:r>
      <w:hyperlink w:anchor="fig:bispecific">
        <w:r>
          <w:rPr>
            <w:rStyle w:val="Hyperlink"/>
          </w:rPr>
          <w:t xml:space="preserve">5</w:t>
        </w:r>
      </w:hyperlink>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we only account for fully bound ligand for both therapeutics, the effect demonstrated in Figure</w:t>
      </w:r>
      <w:r>
        <w:t xml:space="preserve"> </w:t>
      </w:r>
      <w:hyperlink w:anchor="fig:bispecific">
        <w:r>
          <w:rPr>
            <w:rStyle w:val="Hyperlink"/>
          </w:rPr>
          <w:t xml:space="preserve">5</w:t>
        </w:r>
      </w:hyperlink>
      <w:r>
        <w:t xml:space="preserve">g no longer holds. Together, we showed that bispecific ligands only exhibit unique advantages in inducing selective binding when they are only effective when both of their subunits bind and crosslinking is more difficult.</w:t>
      </w:r>
    </w:p>
    <w:bookmarkStart w:id="0" w:name="fig:bispecific"/>
    <w:p>
      <w:pPr>
        <w:pStyle w:val="CaptionedFigure"/>
      </w:pPr>
      <w:bookmarkStart w:id="39"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 i) Cartoons of bispecific ligands and ligand fully bound binding model.</w:t>
      </w:r>
      <w:bookmarkEnd w:id="39"/>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 i) Cartoons of bispecific ligands and ligand fully bound binding model.</w:t>
      </w:r>
    </w:p>
    <w:bookmarkEnd w:id="0"/>
    <w:bookmarkEnd w:id="40"/>
    <w:bookmarkStart w:id="42" w:name="X5a8bba87a1565e1cc47943d74aa22985ccf8689"/>
    <w:p>
      <w:pPr>
        <w:pStyle w:val="Heading3"/>
      </w:pPr>
      <w:r>
        <w:t xml:space="preserve">Combining Strategies For Superior Selectivity</w:t>
      </w:r>
    </w:p>
    <w:p>
      <w:pPr>
        <w:pStyle w:val="FirstParagraph"/>
      </w:pPr>
      <w:r>
        <w:t xml:space="preserve">Each strategy described above provided selectivity benefits in distinct situations, suggesting that they might synergistically improve selectivity when combined. We explored this potential synergy using optimization to determine the ligand specifications which provided optimal selectivity for our theoretical cell populations. More specifically, we optimized the selectivity of a ligand for a particular population, while considering all other populations to be off-target. Our optimization allowed ligand characteristics to vary within biologically plausible bounds; which characteristics we allowed to vary defined our examination of the efficacy of our various ligand engineering strategies. We examined optimizing affinity alone, mixture along with affinity, and valency along with affinity, and finally combined all three strategies (Fig.</w:t>
      </w:r>
      <w:r>
        <w:t xml:space="preserve"> </w:t>
      </w:r>
      <w:hyperlink w:anchor="fig:combination">
        <w:r>
          <w:rPr>
            <w:rStyle w:val="Hyperlink"/>
          </w:rPr>
          <w:t xml:space="preserve">6</w:t>
        </w:r>
      </w:hyperlink>
      <w:r>
        <w:t xml:space="preserve">).</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affinity imparts greater specificity, and optimal selectivity is achieved by combining affinity and valency modulations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engineering is unable to impart some small contributions to enhanced selectivity, significant improvement is only achieved when utilizing valency modulation techniques.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any modulation of affinity, valency or combining it with mixture-based strategies seems ineffective. It should be noted that in all described cases, engineering the composition of a mixture of ligands is generaly ineffective for imparting selectivity when the ligand’s design specifications are flexible, and is likely only efficacious when using ligands with static properties and considering multiple off-target populations.</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pmid:30145356">
        <w:r>
          <w:rPr>
            <w:rStyle w:val="Hyperlink"/>
            <w:b/>
            <w:vertAlign w:val="superscript"/>
          </w:rPr>
          <w:t xml:space="preserve">pmid:30145356?</w:t>
        </w:r>
      </w:hyperlink>
    </w:p>
    <w:bookmarkStart w:id="0" w:name="fig:combination"/>
    <w:p>
      <w:pPr>
        <w:pStyle w:val="CaptionedFigure"/>
      </w:pPr>
      <w:bookmarkStart w:id="41" w:name="fig:combination"/>
      <w:r>
        <w:t xml:space="preserve">Figure 6:</w:t>
      </w:r>
      <w:r>
        <w:t xml:space="preserve"> </w:t>
      </w:r>
      <w:r>
        <w:rPr>
          <w:b/>
        </w:rPr>
        <w:t xml:space="preserve">Combinations of strategies provide superior selectivity.</w:t>
      </w:r>
      <w:r>
        <w:t xml:space="preserve"> </w:t>
      </w:r>
      <w:r>
        <w:t xml:space="preserve">a,g,m) Optimal selectivity levels (ligand bound on target population divided by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Xo ligands are monovalent ligands with affinities of</w:t>
      </w:r>
      <w:r>
        <w:t xml:space="preserve"> </w:t>
      </w:r>
      <m:oMath>
        <m:r>
          <m:t>1</m:t>
        </m:r>
        <m:r>
          <m:t> </m:t>
        </m:r>
        <m:r>
          <m:rPr>
            <m:sty m:val="p"/>
          </m:rPr>
          <m:t>μ</m:t>
        </m:r>
        <m:r>
          <m:rPr>
            <m:sty m:val="p"/>
          </m:rPr>
          <m:t>M</m:t>
        </m:r>
      </m:oMath>
      <w:r>
        <w:t xml:space="preserve"> </w:t>
      </w:r>
      <w:r>
        <w:t xml:space="preserve">for both receptor 1 and 2. The dissociation constant was allowed to vary between</w:t>
      </w:r>
      <w:r>
        <w:t xml:space="preserve"> </w:t>
      </w:r>
      <m:oMath>
        <m:r>
          <m:t>10</m:t>
        </m:r>
        <m:r>
          <m:t> </m:t>
        </m:r>
        <m:r>
          <m:rPr>
            <m:sty m:val="p"/>
          </m:rPr>
          <m:t>m</m:t>
        </m:r>
        <m:r>
          <m:rPr>
            <m:sty m:val="p"/>
          </m:rPr>
          <m:t>M</m:t>
        </m:r>
      </m:oMath>
      <w:r>
        <w:t xml:space="preserve"> </w:t>
      </w:r>
      <w:r>
        <w:t xml:space="preserve">and</w:t>
      </w:r>
      <w:r>
        <w:t xml:space="preserve"> </w:t>
      </w:r>
      <m:oMath>
        <m:r>
          <m:t>0.1</m:t>
        </m:r>
        <m:r>
          <m:t> </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1"/>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(ligand bound on target population divided by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Xo ligands are monovalent ligands with affinities of</w:t>
      </w:r>
      <w:r>
        <w:t xml:space="preserve"> </w:t>
      </w:r>
      <m:oMath>
        <m:r>
          <m:t>1</m:t>
        </m:r>
        <m:r>
          <m:t> </m:t>
        </m:r>
        <m:r>
          <m:rPr>
            <m:sty m:val="p"/>
          </m:rPr>
          <m:t>μ</m:t>
        </m:r>
        <m:r>
          <m:rPr>
            <m:sty m:val="p"/>
          </m:rPr>
          <m:t>M</m:t>
        </m:r>
      </m:oMath>
      <w:r>
        <w:t xml:space="preserve"> </w:t>
      </w:r>
      <w:r>
        <w:t xml:space="preserve">for both receptor 1 and 2. The dissociation constant was allowed to vary between</w:t>
      </w:r>
      <w:r>
        <w:t xml:space="preserve"> </w:t>
      </w:r>
      <m:oMath>
        <m:r>
          <m:t>10</m:t>
        </m:r>
        <m:r>
          <m:t> </m:t>
        </m:r>
        <m:r>
          <m:rPr>
            <m:sty m:val="p"/>
          </m:rPr>
          <m:t>m</m:t>
        </m:r>
        <m:r>
          <m:rPr>
            <m:sty m:val="p"/>
          </m:rPr>
          <m:t>M</m:t>
        </m:r>
      </m:oMath>
      <w:r>
        <w:t xml:space="preserve"> </w:t>
      </w:r>
      <w:r>
        <w:t xml:space="preserve">and</w:t>
      </w:r>
      <w:r>
        <w:t xml:space="preserve"> </w:t>
      </w:r>
      <m:oMath>
        <m:r>
          <m:t>0.1</m:t>
        </m:r>
        <m:r>
          <m:t> </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bookmarkEnd w:id="42"/>
    <w:bookmarkStart w:id="44" w:name="X94d61dc6a943133c806d80032df7da8a7f37fba"/>
    <w:p>
      <w:pPr>
        <w:pStyle w:val="Heading3"/>
      </w:pPr>
      <w:r>
        <w:t xml:space="preserve">Using Binding Competition to Invert Receptor Targeting</w:t>
      </w:r>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w:t>
      </w:r>
      <w:r>
        <w:t xml:space="preserve">could invert this relationship.</w:t>
      </w:r>
    </w:p>
    <w:p>
      <w:pPr>
        <w:pStyle w:val="BodyText"/>
      </w:pPr>
      <w:r>
        <w:t xml:space="preserve">To investigate the effect of ligand competition with an antagonist, we modeled mixtures of ligands, but only quantified the amount of binding for the active ligand. Here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w:t>
      </w:r>
      <w:r>
        <w:t xml:space="preserve"> </w:t>
      </w:r>
      <w:hyperlink w:anchor="fig:valency">
        <w:r>
          <w:rPr>
            <w:rStyle w:val="Hyperlink"/>
          </w:rPr>
          <w:t xml:space="preserve">3</w:t>
        </w:r>
      </w:hyperlink>
      <w:r>
        <w:t xml:space="preserve">e).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3"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Only amount of agonist bound is considered in determination of optimal selectivity. b-d) Heatmap of agonist (b), and antagonist (c) ligand bound for antagonist and agonist ligand combination shown to impart greatest selectivity improvement in (a). d) Heatmap of agonist bound in b,c when no antagonist is present.</w:t>
      </w:r>
      <w:bookmarkEnd w:id="43"/>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Only amount of agonist bound is considered in determination of optimal selectivity. b-d) Heatmap of agonist (b), and antagonist (c) ligand bound for antagonist and agonist ligand combination shown to impart greatest selectivity improvement in (a). d) Heatmap of agonist bound in b,c when no antagonist is present.</w:t>
      </w:r>
    </w:p>
    <w:bookmarkEnd w:id="0"/>
    <w:bookmarkEnd w:id="44"/>
    <w:bookmarkEnd w:id="45"/>
    <w:bookmarkStart w:id="46" w:name="discussion"/>
    <w:p>
      <w:pPr>
        <w:pStyle w:val="Heading2"/>
      </w:pPr>
      <w:r>
        <w:t xml:space="preserve">Discussion</w:t>
      </w:r>
    </w:p>
    <w:p>
      <w:pPr>
        <w:pStyle w:val="FirstParagraph"/>
      </w:pPr>
      <w:r>
        <w:t xml:space="preserve">Here, we developed and employed a multivalent, multi-ligand, multi-receptor binding model and used it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antagonist competition, and these in combination.</w:t>
      </w:r>
    </w:p>
    <w:p>
      <w:pPr>
        <w:pStyle w:val="BodyText"/>
      </w:pPr>
      <w:r>
        <w:t xml:space="preserve">Each strategy’s contribution can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Binding selectivity was enhanced by increasing the affinity of the ligand for those receptors that are more abundantly expressed on the target cells and decreasing its affinity for those that are not. Selectivity depended upon large differences in receptor expression levels between on- and off-target populations. When target and off-target populations expressed the same pattern of receptors and only differed in receptor abundances, modulations in valency, but not affinity, were effective (Fig.</w:t>
      </w:r>
      <w:r>
        <w:t xml:space="preserve"> </w:t>
      </w:r>
      <w:hyperlink w:anchor="fig:valency">
        <w:r>
          <w:rPr>
            <w:rStyle w:val="Hyperlink"/>
          </w:rPr>
          <w:t xml:space="preserve">3</w:t>
        </w:r>
      </w:hyperlink>
      <w:r>
        <w:t xml:space="preserve">). A key determinant of valency’s effectiveness was the secondary binding and unbinding rate which is dependent on both the kinetics of the receptor-ligand interaction and receptor abundance. Ligand mixtures were mostly ineffective for imparting binding selectivity, and only had modest benefits when considering two or more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solely considering fully bound ligand (Fig.</w:t>
      </w:r>
      <w:r>
        <w:t xml:space="preserve"> </w:t>
      </w:r>
      <w:hyperlink w:anchor="fig:bispecific">
        <w:r>
          <w:rPr>
            <w:rStyle w:val="Hyperlink"/>
          </w:rPr>
          <w:t xml:space="preserve">5</w:t>
        </w:r>
      </w:hyperlink>
      <w:r>
        <w:t xml:space="preserve">). These ligands exhibit preferential binding to target populations that have high expression of both receptors over those with high expression of only a single receptor, with the propensity for secondary binding acting as a key determinant for selectivity.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 for the unique selection of target populations expressing relatively fewer receptors than off-target populations (Fig.</w:t>
      </w:r>
      <w:r>
        <w:t xml:space="preserve"> </w:t>
      </w:r>
      <w:hyperlink w:anchor="fig:deadLig">
        <w:r>
          <w:rPr>
            <w:rStyle w:val="Hyperlink"/>
          </w:rPr>
          <w:t xml:space="preserve">7</w:t>
        </w:r>
      </w:hyperlink>
      <w:r>
        <w:t xml:space="preserve">).</w:t>
      </w:r>
    </w:p>
    <w:p>
      <w:pPr>
        <w:pStyle w:val="BodyText"/>
      </w:pPr>
      <w:r>
        <w:t xml:space="preserve">While our multivalent binding model identified strategies for selective targeting in many cases, it also identified situations for which selective binding is challenging. For example, selectively targeting populations based on their absence of receptor expression remains challenging. While we computationally show the potential of using multivalent antagonists with monovalent agonists to selectively target such populations, implementing this may be challenging in practice. In cases where a target population expresses fewer receptors of any kind than an off-target population, our analysis suggests that targeting other receptors should be considered. However, in cases where target populations express more of any type of receptor than an off-target population, we show that one or more of our formulated ligand engineering strategies can be employed to improve binding selectivity. While we expect the same patterns to apply with greater than two receptors, certain emergent behaviors may exist with tri-specific and more complex ligand binding.</w:t>
      </w:r>
    </w:p>
    <w:p>
      <w:pPr>
        <w:pStyle w:val="BodyText"/>
      </w:pPr>
      <w:r>
        <w:t xml:space="preserve">A few of the strategies that we explored have been utilized in existing engineered therapies. For example, affinity changes to the cytokine IL-2 have been used to bias its effects towards either effector or regulatory immune populations.</w:t>
      </w:r>
      <w:hyperlink w:anchor="ref-doi:10.1158/2159-8290.CD-18-1495">
        <w:r>
          <w:rPr>
            <w:rStyle w:val="Hyperlink"/>
            <w:b/>
            <w:vertAlign w:val="superscript"/>
          </w:rPr>
          <w:t xml:space="preserve">doi:10.1158/2159-8290.CD-18-1495?</w:t>
        </w:r>
      </w:hyperlink>
      <w:r>
        <w:rPr>
          <w:vertAlign w:val="superscript"/>
        </w:rPr>
        <w:t xml:space="preserve">,</w:t>
      </w:r>
      <w:hyperlink w:anchor="ref-pmid:30446251">
        <w:r>
          <w:rPr>
            <w:rStyle w:val="Hyperlink"/>
            <w:b/>
            <w:vertAlign w:val="superscript"/>
          </w:rPr>
          <w:t xml:space="preserve">pmid:30446251?</w:t>
        </w:r>
      </w:hyperlink>
      <w:r>
        <w:t xml:space="preserve"> Varying the valency of tumor-targeted antibodies leads to selective cell clearance based upon the levels of expressed antigen.</w:t>
      </w:r>
      <w:hyperlink w:anchor="ref-doi:10.1038/srep40098">
        <w:r>
          <w:rPr>
            <w:rStyle w:val="Hyperlink"/>
            <w:b/>
            <w:vertAlign w:val="superscript"/>
          </w:rPr>
          <w:t xml:space="preserve">doi:10.1038/srep40098?</w:t>
        </w:r>
      </w:hyperlink>
      <w:r>
        <w:t xml:space="preserve"> Manipulating of the affinities of the fibronectin domains on octovalent nanorings was shown to enhance the selectivity of binding to cancerous cells displaying relatively higher densities of fibronectin receptors compared to native tissue.</w:t>
      </w:r>
      <w:hyperlink w:anchor="ref-doi:10.1021/jacs.8b09198">
        <w:r>
          <w:rPr>
            <w:rStyle w:val="Hyperlink"/>
            <w:b/>
            <w:vertAlign w:val="superscript"/>
          </w:rPr>
          <w:t xml:space="preserve">doi:10.1021/jacs.8b09198?</w:t>
        </w:r>
      </w:hyperlink>
      <w:r>
        <w:t xml:space="preserve"> The tendency of low-affinity, multivalent interactions to target cells expressing high receptor abundances was also described in a study describing the selectivity of multivalent antibody binding to tumor cells bound by a bispecific therapeutic ligand.</w:t>
      </w:r>
      <w:hyperlink w:anchor="ref-doi:10.1021/cb6003788">
        <w:r>
          <w:rPr>
            <w:rStyle w:val="Hyperlink"/>
            <w:b/>
            <w:vertAlign w:val="superscript"/>
          </w:rPr>
          <w:t xml:space="preserve">doi:10.1021/cb6003788?</w:t>
        </w:r>
      </w:hyperlink>
      <w:r>
        <w:t xml:space="preserve"> These examples lend support to the accuracy and translational value of our model. At the same time, recognizing these previously described ligand engineering approaches as separable strategies provides clearer guidance for future engineering.</w:t>
      </w:r>
    </w:p>
    <w:p>
      <w:pPr>
        <w:pStyle w:val="BodyText"/>
      </w:pPr>
      <w:r>
        <w:t xml:space="preserve">Some of the optimization strategies described here have not been exploited in part due to the complexity of real biological applications. First, some strategies may not be biochemically practical. For example, the manipulating ligand affinity requires intricate protein engineering. Potential dynamic changes in the receptor expression profile of a target population also complicate the matter. It is well documented that cancer cells can escape therapeutic targeting by upregulating</w:t>
      </w:r>
      <w:hyperlink w:anchor="ref-doi:10.1016/j.devcel.2019.07.010">
        <w:r>
          <w:rPr>
            <w:rStyle w:val="Hyperlink"/>
            <w:b/>
            <w:vertAlign w:val="superscript"/>
          </w:rPr>
          <w:t xml:space="preserve">doi:10.1016/j.devcel.2019.07.010?</w:t>
        </w:r>
      </w:hyperlink>
      <w:r>
        <w:rPr>
          <w:vertAlign w:val="superscript"/>
        </w:rPr>
        <w:t xml:space="preserve">,</w:t>
      </w:r>
      <w:hyperlink w:anchor="ref-doi:10.1158/0008-5472.CAN-13-0602">
        <w:r>
          <w:rPr>
            <w:rStyle w:val="Hyperlink"/>
            <w:b/>
            <w:vertAlign w:val="superscript"/>
          </w:rPr>
          <w:t xml:space="preserve">doi:10.1158/0008-5472.CAN-13-0602?</w:t>
        </w:r>
      </w:hyperlink>
      <w:r>
        <w:t xml:space="preserve"> </w:t>
      </w:r>
      <w:r>
        <w:t xml:space="preserve">or downregulating</w:t>
      </w:r>
      <w:hyperlink w:anchor="ref-pmid:14534734">
        <w:r>
          <w:rPr>
            <w:rStyle w:val="Hyperlink"/>
            <w:b/>
            <w:vertAlign w:val="superscript"/>
          </w:rPr>
          <w:t xml:space="preserve">pmid:14534734?</w:t>
        </w:r>
      </w:hyperlink>
      <w:r>
        <w:t xml:space="preserve"> </w:t>
      </w:r>
      <w:r>
        <w:t xml:space="preserve">the expression of certain receptors. In this case, both the current and potential abundance of each receptor must be considered. While this work does not address many of these issues, we propose that using a computational binding model can analyze these strategies quantitatively and collectively from a mechanistic perspective. Even when the absolute mathematically optimal ligand characteristics cannot be achieved biochemically, our analyses provide guidance within the bounds of what is attainable and how to approach the optimum, accounting for implementation feasibility and facilitating the implementation of strategy combinations.</w:t>
      </w:r>
    </w:p>
    <w:p>
      <w:pPr>
        <w:pStyle w:val="BodyText"/>
      </w:pPr>
      <w:r>
        <w:t xml:space="preserve">In many therapeutic applications where selective engagement of target cell populations is an important performance metric, such as the treatment of cancer, cellular therapies are becoming increasingly popular.</w:t>
      </w:r>
      <w:hyperlink w:anchor="Xeddd29a1d91d18f0470a23d37ad9fb61648bd6d">
        <w:r>
          <w:rPr>
            <w:rStyle w:val="Hyperlink"/>
            <w:b/>
            <w:vertAlign w:val="superscript"/>
          </w:rPr>
          <w:t xml:space="preserve">doi:10.1146/annurev-immunol-042718-041407?</w:t>
        </w:r>
      </w:hyperlink>
      <w:r>
        <w:t xml:space="preserve"> Human engineered chimeric antigen receptor (CAR) T cells have enhanced the potential to selectively recognize and attack malignant tissues.</w:t>
      </w:r>
      <w:hyperlink w:anchor="ref-doi:10.1016/j.ymthe.2017.06.012">
        <w:r>
          <w:rPr>
            <w:rStyle w:val="Hyperlink"/>
            <w:b/>
            <w:vertAlign w:val="superscript"/>
          </w:rPr>
          <w:t xml:space="preserve">doi:10.1016/j.ymthe.2017.06.012?</w:t>
        </w:r>
      </w:hyperlink>
      <w:r>
        <w:t xml:space="preserve"> These technologies bypass ligand-receptor binding restrictions by allowing recognition in signaling response. However, we have shown here that selectivity can often be attained with relatively simple therapeutic ligands. This study lays the framework for how ligand engineering can be directed using computational modeling. It should be noted that the application of this logic is reliant on knowledge of the target and off-target cell population receptor expression levels. Future application of the ligand binding logic described in this study could be guided using high-throughput single-cell profiling techniques, such as RNA-seq or high-parameter flow cytometry. A computational tool that could directly translate such datasets into ligand design criteria, selecting among potential receptor targets, may represent a potential avenue for the translation of our analyses into a more broadly applicable ligand engineering tool.</w:t>
      </w:r>
    </w:p>
    <w:bookmarkEnd w:id="46"/>
    <w:bookmarkStart w:id="54" w:name="materials-and-methods"/>
    <w:p>
      <w:pPr>
        <w:pStyle w:val="Heading2"/>
      </w:pPr>
      <w:r>
        <w:t xml:space="preserve">Materials and Methods</w:t>
      </w:r>
    </w:p>
    <w:bookmarkStart w:id="48" w:name="data-and-software-availability"/>
    <w:p>
      <w:pPr>
        <w:pStyle w:val="Heading3"/>
      </w:pPr>
      <w:r>
        <w:t xml:space="preserve">Data and Software Availability</w:t>
      </w:r>
    </w:p>
    <w:p>
      <w:pPr>
        <w:pStyle w:val="FirstParagraph"/>
      </w:pPr>
      <w:r>
        <w:t xml:space="preserve">All analysis was implemented in Python v3.8, and can be found at</w:t>
      </w:r>
      <w:r>
        <w:t xml:space="preserve"> </w:t>
      </w:r>
      <w:hyperlink r:id="rId47">
        <w:r>
          <w:rPr>
            <w:rStyle w:val="Hyperlink"/>
          </w:rPr>
          <w:t xml:space="preserve">https://github.com/meyer-lab/cell-selective-ligands</w:t>
        </w:r>
      </w:hyperlink>
      <w:r>
        <w:t xml:space="preserve">.</w:t>
      </w:r>
    </w:p>
    <w:bookmarkEnd w:id="48"/>
    <w:bookmarkStart w:id="49" w:name="Xbc4502bc21dcbb32d50a52a1b617accc52dd1c2"/>
    <w:p>
      <w:pPr>
        <w:pStyle w:val="Heading3"/>
      </w:pPr>
      <w:r>
        <w:t xml:space="preserve">Generalized multi-ligand, multi-receptor multivalent binding model</w:t>
      </w:r>
    </w:p>
    <w:p>
      <w:pPr>
        <w:pStyle w:val="FirstParagraph"/>
      </w:pPr>
      <w:r>
        <w:t xml:space="preserve">To model multivalent ligand complexes, we extended our previous binding model to the multi-ligand case.</w:t>
      </w:r>
      <w:hyperlink w:anchor="ref-pmid:29960887">
        <w:r>
          <w:rPr>
            <w:rStyle w:val="Hyperlink"/>
            <w:b/>
            <w:vertAlign w:val="superscript"/>
          </w:rPr>
          <w:t xml:space="preserve">pmid:29960887?</w:t>
        </w:r>
      </w:hyperlink>
      <w:r>
        <w:t xml:space="preserve"> 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according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bound to at least one receptor on the cell is</w:t>
      </w:r>
    </w:p>
    <w:p>
      <w:pPr>
        <w:pStyle w:val="BodyText"/>
      </w:pPr>
      <w:r>
        <w:t xml:space="preserve">$$ L_{\mathrm{bound}} = \frac{L_0}{K_x^* } \left [\left(\sum_{i=1\\ j=0}^{i=N_L\\ j=N_R}{{φ_{ij}}^{q_{ij}}}\right)^f -1 \right] .$$</w:t>
      </w:r>
    </w:p>
    <w:bookmarkEnd w:id="49"/>
    <w:bookmarkStart w:id="50" w:name="X24bd08806ffb8547c5a72680f5305356ed2b829"/>
    <w:p>
      <w:pPr>
        <w:pStyle w:val="Heading3"/>
      </w:pPr>
      <w:r>
        <w:t xml:space="preserve">Generalized multivalent binding model with defined complexes</w:t>
      </w:r>
    </w:p>
    <w:p>
      <w:pPr>
        <w:pStyle w:val="FirstParagraph"/>
      </w:pPr>
      <w:r>
        <w:t xml:space="preserve">When complexes are engineered and ligands are not randomly sorted into multivalent complexes, such as with the Fabs of bispecific antibodies, the proportions of each kind of complex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bookmarkEnd w:id="50"/>
    <w:bookmarkStart w:id="51" w:name="mathematical-optimization"/>
    <w:p>
      <w:pPr>
        <w:pStyle w:val="Heading3"/>
      </w:pPr>
      <w:r>
        <w:t xml:space="preserve">Mathematical optimization</w:t>
      </w:r>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doi:10.1038/s41592-019-0686-2">
        <w:r>
          <w:rPr>
            <w:rStyle w:val="Hyperlink"/>
            <w:b/>
            <w:vertAlign w:val="superscript"/>
          </w:rPr>
          <w:t xml:space="preserve">doi:10.1038/s41592-019-0686-2?</w:t>
        </w:r>
      </w:hyperlink>
      <w:r>
        <w:t xml:space="preserve"> 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t> </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oMath>
      <w:r>
        <w:t xml:space="preserve"> </w:t>
      </w:r>
      <w:r>
        <w:t xml:space="preserve">to</w:t>
      </w:r>
      <w:r>
        <w:t xml:space="preserve"> </w:t>
      </w:r>
      <m:oMath>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t> </m:t>
        </m:r>
        <m:r>
          <m:rPr>
            <m:sty m:val="p"/>
          </m:rPr>
          <m:t>m</m:t>
        </m:r>
        <m:r>
          <m:rPr>
            <m:sty m:val="p"/>
          </m:rPr>
          <m:t>M</m:t>
        </m:r>
      </m:oMath>
      <w:r>
        <w:t xml:space="preserve"> </w:t>
      </w:r>
      <w:r>
        <w:t xml:space="preserve">to</w:t>
      </w:r>
      <w:r>
        <w:t xml:space="preserve"> </w:t>
      </w:r>
      <m:oMath>
        <m:r>
          <m:t>0.1</m:t>
        </m:r>
        <m:r>
          <m:t> </m:t>
        </m:r>
        <m:r>
          <m:rPr>
            <m:sty m:val="p"/>
          </m:rPr>
          <m:t>n</m:t>
        </m:r>
        <m:r>
          <m:rPr>
            <m:sty m:val="p"/>
          </m:rPr>
          <m:t>M</m:t>
        </m:r>
      </m:oMath>
      <w:r>
        <w:t xml:space="preserve"> </w:t>
      </w:r>
      <w:r>
        <w:t xml:space="preserve">for the affinity dissociation constants.</w:t>
      </w:r>
    </w:p>
    <w:bookmarkEnd w:id="51"/>
    <w:bookmarkStart w:id="52" w:name="sigma-point-filter"/>
    <w:p>
      <w:pPr>
        <w:pStyle w:val="Heading3"/>
      </w:pPr>
      <w:r>
        <w:t xml:space="preserve">Sigma point filter</w:t>
      </w:r>
    </w:p>
    <w:p>
      <w:pPr>
        <w:pStyle w:val="FirstParagraph"/>
      </w:pPr>
      <w:r>
        <w:t xml:space="preserve">To consider the intrapopulation variance of a cell population in the optimization, we implemented the sigma point filters,</w:t>
      </w:r>
      <w:hyperlink w:anchor="ref-wikidata:Q99353631">
        <w:r>
          <w:rPr>
            <w:rStyle w:val="Hyperlink"/>
            <w:b/>
            <w:vertAlign w:val="superscript"/>
          </w:rPr>
          <w:t xml:space="preserve">wikidata:Q99353631?</w:t>
        </w:r>
      </w:hyperlink>
      <w:r>
        <w:t xml:space="preserve"> a computationally efficient method to approximate the variance proprogated through an ordinary differential equation-based model.</w:t>
      </w:r>
    </w:p>
    <w:bookmarkEnd w:id="52"/>
    <w:bookmarkStart w:id="53" w:name="reimplementation-of-csizmar-et-al."/>
    <w:p>
      <w:pPr>
        <w:pStyle w:val="Heading3"/>
      </w:pPr>
      <w:r>
        <w:t xml:space="preserve">Reimplementation of Csizmar et al.</w:t>
      </w:r>
    </w:p>
    <w:p>
      <w:pPr>
        <w:pStyle w:val="FirstParagraph"/>
      </w:pPr>
      <w:r>
        <w:t xml:space="preserve">To validate our model, we recapitulated multivalent binding data from Csizmar et al. using our multivalent binding model (Fig. S1).</w:t>
      </w:r>
      <w:hyperlink w:anchor="ref-doi:10.1021/jacs.8b09198">
        <w:r>
          <w:rPr>
            <w:rStyle w:val="Hyperlink"/>
            <w:b/>
            <w:vertAlign w:val="superscript"/>
          </w:rPr>
          <w:t xml:space="preserve">doi:10.1021/jacs.8b09198?</w:t>
        </w:r>
      </w:hyperlink>
      <w:r>
        <w:t xml:space="preserve"> 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bookmarkEnd w:id="53"/>
    <w:bookmarkEnd w:id="54"/>
    <w:bookmarkStart w:id="56" w:name="supplementary-figures"/>
    <w:p>
      <w:pPr>
        <w:pStyle w:val="Heading2"/>
      </w:pPr>
      <w:r>
        <w:t xml:space="preserve">Supplementary Figures</w:t>
      </w:r>
    </w:p>
    <w:bookmarkStart w:id="0" w:name="fig:Csizmar"/>
    <w:p>
      <w:pPr>
        <w:pStyle w:val="CaptionedFigure"/>
      </w:pPr>
      <w:bookmarkStart w:id="55"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w:t>
      </w:r>
      <w:r>
        <w:t xml:space="preserve"> </w:t>
      </w:r>
      <m:oMath>
        <m:r>
          <m:t>0.16</m:t>
        </m:r>
        <m:r>
          <m:t>–</m:t>
        </m:r>
        <m:r>
          <m:t>500</m:t>
        </m:r>
        <m:r>
          <m:t> </m:t>
        </m:r>
        <m:r>
          <m:rPr>
            <m:sty m:val="p"/>
          </m:rPr>
          <m:t>n</m:t>
        </m:r>
        <m:r>
          <m:rPr>
            <m:sty m:val="p"/>
          </m:rPr>
          <m:t>M</m:t>
        </m:r>
      </m:oMath>
      <w:r>
        <w:t xml:space="preserve">. C5 and B22 are high and low affinity fibronectin binding domains respectively. Using nonlinear least-squares regression, the crosslinking coefficient was found to be</w:t>
      </w:r>
      <w:r>
        <w:t xml:space="preserve"> </w:t>
      </w:r>
      <m:oMath>
        <m:r>
          <m:t>1.11</m:t>
        </m:r>
        <m:r>
          <m:t>×</m:t>
        </m:r>
        <m:sSup>
          <m:e>
            <m:r>
              <m:t>10</m:t>
            </m:r>
          </m:e>
          <m:sup>
            <m:r>
              <m:t>−</m:t>
            </m:r>
            <m:r>
              <m:t>12</m:t>
            </m:r>
          </m:sup>
        </m:sSup>
      </m:oMath>
      <w:r>
        <w:t xml:space="preserve">; the dissociation constants for C5 and B22 were found to be</w:t>
      </w:r>
      <w:r>
        <w:t xml:space="preserve"> </w:t>
      </w:r>
      <m:oMath>
        <m:r>
          <m:t>1.73</m:t>
        </m:r>
        <m:r>
          <m:t> </m:t>
        </m:r>
        <m:r>
          <m:rPr>
            <m:sty m:val="p"/>
          </m:rPr>
          <m:t>μ</m:t>
        </m:r>
        <m:r>
          <m:rPr>
            <m:sty m:val="p"/>
          </m:rPr>
          <m:t>M</m:t>
        </m:r>
      </m:oMath>
      <w:r>
        <w:t xml:space="preserve"> </w:t>
      </w:r>
      <w:r>
        <w:t xml:space="preserve">and</w:t>
      </w:r>
      <w:r>
        <w:t xml:space="preserve"> </w:t>
      </w:r>
      <m:oMath>
        <m:r>
          <m:t>3.24</m:t>
        </m:r>
        <m:r>
          <m:t> </m:t>
        </m:r>
        <m:r>
          <m:rPr>
            <m:sty m:val="p"/>
          </m:rPr>
          <m:t>μ</m:t>
        </m:r>
        <m:r>
          <m:rPr>
            <m:sty m:val="p"/>
          </m:rPr>
          <m:t>M</m:t>
        </m:r>
      </m:oMath>
      <w:r>
        <w:t xml:space="preserve"> </w:t>
      </w:r>
      <w:r>
        <w:t xml:space="preserve">respectively, and ligand to fluorescent conversion factor for C5 and B22 were found to be</w:t>
      </w:r>
      <w:r>
        <w:t xml:space="preserve"> </w:t>
      </w:r>
      <m:oMath>
        <m:r>
          <m:t>5.1</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w:t>
      </w:r>
      <w:hyperlink w:anchor="ref-doi:10.1021/jacs.8b09198">
        <w:r>
          <w:rPr>
            <w:rStyle w:val="Hyperlink"/>
            <w:b/>
            <w:vertAlign w:val="superscript"/>
          </w:rPr>
          <w:t xml:space="preserve">doi:10.1021/jacs.8b09198?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5"/>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w:t>
      </w:r>
      <w:r>
        <w:t xml:space="preserve"> </w:t>
      </w:r>
      <m:oMath>
        <m:r>
          <m:t>0.16</m:t>
        </m:r>
        <m:r>
          <m:t>–</m:t>
        </m:r>
        <m:r>
          <m:t>500</m:t>
        </m:r>
        <m:r>
          <m:t> </m:t>
        </m:r>
        <m:r>
          <m:rPr>
            <m:sty m:val="p"/>
          </m:rPr>
          <m:t>n</m:t>
        </m:r>
        <m:r>
          <m:rPr>
            <m:sty m:val="p"/>
          </m:rPr>
          <m:t>M</m:t>
        </m:r>
      </m:oMath>
      <w:r>
        <w:t xml:space="preserve">. C5 and B22 are high and low affinity fibronectin binding domains respectively. Using nonlinear least-squares regression, the crosslinking coefficient was found to be</w:t>
      </w:r>
      <w:r>
        <w:t xml:space="preserve"> </w:t>
      </w:r>
      <m:oMath>
        <m:r>
          <m:t>1.11</m:t>
        </m:r>
        <m:r>
          <m:t>×</m:t>
        </m:r>
        <m:sSup>
          <m:e>
            <m:r>
              <m:t>10</m:t>
            </m:r>
          </m:e>
          <m:sup>
            <m:r>
              <m:t>−</m:t>
            </m:r>
            <m:r>
              <m:t>12</m:t>
            </m:r>
          </m:sup>
        </m:sSup>
      </m:oMath>
      <w:r>
        <w:t xml:space="preserve">; the dissociation constants for C5 and B22 were found to be</w:t>
      </w:r>
      <w:r>
        <w:t xml:space="preserve"> </w:t>
      </w:r>
      <m:oMath>
        <m:r>
          <m:t>1.73</m:t>
        </m:r>
        <m:r>
          <m:t> </m:t>
        </m:r>
        <m:r>
          <m:rPr>
            <m:sty m:val="p"/>
          </m:rPr>
          <m:t>μ</m:t>
        </m:r>
        <m:r>
          <m:rPr>
            <m:sty m:val="p"/>
          </m:rPr>
          <m:t>M</m:t>
        </m:r>
      </m:oMath>
      <w:r>
        <w:t xml:space="preserve"> </w:t>
      </w:r>
      <w:r>
        <w:t xml:space="preserve">and</w:t>
      </w:r>
      <w:r>
        <w:t xml:space="preserve"> </w:t>
      </w:r>
      <m:oMath>
        <m:r>
          <m:t>3.24</m:t>
        </m:r>
        <m:r>
          <m:t> </m:t>
        </m:r>
        <m:r>
          <m:rPr>
            <m:sty m:val="p"/>
          </m:rPr>
          <m:t>μ</m:t>
        </m:r>
        <m:r>
          <m:rPr>
            <m:sty m:val="p"/>
          </m:rPr>
          <m:t>M</m:t>
        </m:r>
      </m:oMath>
      <w:r>
        <w:t xml:space="preserve"> </w:t>
      </w:r>
      <w:r>
        <w:t xml:space="preserve">respectively, and ligand to fluorescent conversion factor for C5 and B22 were found to be</w:t>
      </w:r>
      <w:r>
        <w:t xml:space="preserve"> </w:t>
      </w:r>
      <m:oMath>
        <m:r>
          <m:t>5.1</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w:t>
      </w:r>
      <w:hyperlink w:anchor="ref-doi:10.1021/jacs.8b09198">
        <w:r>
          <w:rPr>
            <w:rStyle w:val="Hyperlink"/>
            <w:b/>
            <w:vertAlign w:val="superscript"/>
          </w:rPr>
          <w:t xml:space="preserve">doi:10.1021/jacs.8b09198?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bookmarkEnd w:id="56"/>
    <w:bookmarkStart w:id="57" w:name="acknowledgements"/>
    <w:p>
      <w:pPr>
        <w:pStyle w:val="Heading2"/>
      </w:pPr>
      <w:r>
        <w:t xml:space="preserve">Acknowledgements</w:t>
      </w:r>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bookmarkEnd w:id="57"/>
    <w:bookmarkStart w:id="58" w:name="author-contributions-statement"/>
    <w:p>
      <w:pPr>
        <w:pStyle w:val="Heading2"/>
      </w:pPr>
      <w:r>
        <w:t xml:space="preserve">Author contributions statement</w:t>
      </w:r>
    </w:p>
    <w:p>
      <w:pPr>
        <w:pStyle w:val="FirstParagraph"/>
      </w:pPr>
      <w:r>
        <w:t xml:space="preserve">A.S.M. concieved of the work. All authors implemented the analysis and wrote the paper.</w:t>
      </w:r>
    </w:p>
    <w:bookmarkEnd w:id="58"/>
    <w:bookmarkStart w:id="60" w:name="references"/>
    <w:p>
      <w:pPr>
        <w:pStyle w:val="Heading2"/>
      </w:pPr>
      <w:r>
        <w:t xml:space="preserve">References</w:t>
      </w:r>
    </w:p>
    <w:bookmarkStart w:id="59" w:name="refs"/>
    <w:bookmarkEnd w:id="59"/>
    <w:bookmarkEnd w:id="60"/>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github.com/aarmey" TargetMode="External" /><Relationship Type="http://schemas.openxmlformats.org/officeDocument/2006/relationships/hyperlink" Id="rId23" Target="https://github.com/borcuttjahns" TargetMode="External" /><Relationship Type="http://schemas.openxmlformats.org/officeDocument/2006/relationships/hyperlink" Id="rId21" Target="https://github.com/cyrillustan" TargetMode="External" /><Relationship Type="http://schemas.openxmlformats.org/officeDocument/2006/relationships/hyperlink" Id="rId47" Target="https://github.com/meyer-lab/cell-selective-ligands" TargetMode="External" /><Relationship Type="http://schemas.openxmlformats.org/officeDocument/2006/relationships/hyperlink" Id="rId22" Target="https://orcid.org/0000-0002-1436-1224" TargetMode="External" /><Relationship Type="http://schemas.openxmlformats.org/officeDocument/2006/relationships/hyperlink" Id="rId20" Target="https://orcid.org/0000-0002-5498-5509" TargetMode="External" /><Relationship Type="http://schemas.openxmlformats.org/officeDocument/2006/relationships/hyperlink" Id="rId24" Target="https://orcid.org/0000-0003-4513-1840" TargetMode="External" /><Relationship Type="http://schemas.openxmlformats.org/officeDocument/2006/relationships/hyperlink" Id="rId26"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25" Target="https://github.com/aarmey" TargetMode="External" /><Relationship Type="http://schemas.openxmlformats.org/officeDocument/2006/relationships/hyperlink" Id="rId23" Target="https://github.com/borcuttjahns" TargetMode="External" /><Relationship Type="http://schemas.openxmlformats.org/officeDocument/2006/relationships/hyperlink" Id="rId21" Target="https://github.com/cyrillustan" TargetMode="External" /><Relationship Type="http://schemas.openxmlformats.org/officeDocument/2006/relationships/hyperlink" Id="rId47" Target="https://github.com/meyer-lab/cell-selective-ligands" TargetMode="External" /><Relationship Type="http://schemas.openxmlformats.org/officeDocument/2006/relationships/hyperlink" Id="rId22" Target="https://orcid.org/0000-0002-1436-1224" TargetMode="External" /><Relationship Type="http://schemas.openxmlformats.org/officeDocument/2006/relationships/hyperlink" Id="rId20" Target="https://orcid.org/0000-0002-5498-5509" TargetMode="External" /><Relationship Type="http://schemas.openxmlformats.org/officeDocument/2006/relationships/hyperlink" Id="rId24" Target="https://orcid.org/0000-0003-4513-1840" TargetMode="External" /><Relationship Type="http://schemas.openxmlformats.org/officeDocument/2006/relationships/hyperlink" Id="rId26"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2020-11-25T06:10:13Z</dcterms:created>
  <dcterms:modified xsi:type="dcterms:W3CDTF">2020-11-25T06:10:13Z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2020-11-24</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