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September 28,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association constants to the two receptors to be</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7</m:t>
            </m:r>
          </m:sup>
        </m:sSup>
        <m:sSup>
          <m:e>
            <m:r>
              <m:rPr>
                <m:sty m:val="p"/>
              </m:rPr>
              <m:t>M</m:t>
            </m:r>
          </m:e>
          <m:sup>
            <m:r>
              <m:rPr>
                <m:sty m:val="p"/>
              </m:rPr>
              <m:t>−</m:t>
            </m:r>
            <m:r>
              <m:rPr>
                <m:sty m:val="p"/>
              </m:rPr>
              <m:t>1</m:t>
            </m:r>
          </m:sup>
        </m:sSup>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a</m:t>
            </m:r>
          </m:sub>
        </m:sSub>
      </m:oMath>
      <w:r>
        <w:t xml:space="preserve"> </w:t>
      </w:r>
      <w:r>
        <w:t xml:space="preserve">of</w:t>
      </w:r>
      <w:r>
        <w:t xml:space="preserve"> </w:t>
      </w:r>
      <m:oMath>
        <m:sSup>
          <m:e>
            <m:r>
              <m:t>10</m:t>
            </m:r>
          </m:e>
          <m:sup>
            <m:r>
              <m:t>6</m:t>
            </m:r>
          </m:sup>
        </m:sSup>
      </m:oMath>
      <w:r>
        <w:t xml:space="preserve">,</w:t>
      </w:r>
      <w:r>
        <w:t xml:space="preserve"> </w:t>
      </w:r>
      <m:oMath>
        <m:sSup>
          <m:e>
            <m:r>
              <m:t>10</m:t>
            </m:r>
          </m:e>
          <m:sup>
            <m:r>
              <m:t>7</m:t>
            </m:r>
          </m:sup>
        </m:sSup>
      </m:oMath>
      <w:r>
        <w:t xml:space="preserve">,</w:t>
      </w:r>
      <w:r>
        <w:t xml:space="preserve"> </w:t>
      </w:r>
      <m:oMath>
        <m:sSup>
          <m:e>
            <m:r>
              <m:t>10</m:t>
            </m:r>
          </m:e>
          <m:sup>
            <m:r>
              <m:t>8</m:t>
            </m:r>
          </m:sup>
        </m:sSup>
      </m:oMath>
      <w:r>
        <w:t xml:space="preserve"> </w:t>
      </w:r>
      <m:oMath>
        <m:sSup>
          <m:e>
            <m:r>
              <m:rPr>
                <m:sty m:val="p"/>
              </m:rPr>
              <m:t>M</m:t>
            </m:r>
          </m:e>
          <m:sup>
            <m:r>
              <m:rPr>
                <m:sty m:val="p"/>
              </m:rPr>
              <m:t>−</m:t>
            </m:r>
            <m:r>
              <m:rPr>
                <m:sty m:val="p"/>
              </m:rPr>
              <m:t>1</m:t>
            </m:r>
          </m:sup>
        </m:sSup>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association constants of</w:t>
      </w:r>
      <w:r>
        <w:t xml:space="preserve"> </w:t>
      </w:r>
      <m:oMath>
        <m:sSup>
          <m:e>
            <m:r>
              <m:t>10</m:t>
            </m:r>
          </m:e>
          <m:sup>
            <m:r>
              <m:t>6</m:t>
            </m:r>
          </m:sup>
        </m:sSup>
      </m:oMath>
      <w:r>
        <w:t xml:space="preserve">,</w:t>
      </w:r>
      <w:r>
        <w:t xml:space="preserve"> </w:t>
      </w:r>
      <m:oMath>
        <m:sSup>
          <m:e>
            <m:r>
              <m:t>10</m:t>
            </m:r>
          </m:e>
          <m:sup>
            <m:r>
              <m:t>7</m:t>
            </m:r>
          </m:sup>
        </m:sSup>
      </m:oMath>
      <w:r>
        <w:t xml:space="preserve">, and</w:t>
      </w:r>
      <w:r>
        <w:t xml:space="preserve"> </w:t>
      </w:r>
      <m:oMath>
        <m:sSup>
          <m:e>
            <m:r>
              <m:t>10</m:t>
            </m:r>
          </m:e>
          <m:sup>
            <m:r>
              <m:t>8</m:t>
            </m:r>
          </m:sup>
        </m:sSup>
      </m:oMath>
      <w:r>
        <w:t xml:space="preserve"> </w:t>
      </w:r>
      <w:r>
        <w:t xml:space="preserve">(Fig.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two other target/off-target cell population combinations where multiple off-target populations are considered (Fig.</w:t>
      </w:r>
      <w:r>
        <w:t xml:space="preserve"> </w:t>
      </w:r>
      <w:hyperlink w:anchor="fig:mixture">
        <w:r>
          <w:rPr>
            <w:rStyle w:val="Hyperlink"/>
          </w:rPr>
          <w:t xml:space="preserve">4</w:t>
        </w:r>
      </w:hyperlink>
      <w:r>
        <w:t xml:space="preserve">d/e).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28th September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2020-09-28T19:20:54Z</dcterms:created>
  <dcterms:modified xsi:type="dcterms:W3CDTF">2020-09-28T19:20:54Z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2020-09-28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