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8,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can result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unique receptor expression, but more commonly target and off-target cells express the same collection of receptors and differ only in their amounts.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over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When a reaction reaches its equilibrium state, the ratio of the concentration of monomeric ligand-receptor complex,</w:t>
      </w:r>
      <w:r>
        <w:t xml:space="preserve"> </w:t>
      </w:r>
      <m:oMath>
        <m:r>
          <m:t>[</m:t>
        </m:r>
        <m:r>
          <m:t>L</m:t>
        </m:r>
        <m:r>
          <m:t>R</m:t>
        </m:r>
        <m:r>
          <m:t>]</m:t>
        </m:r>
      </m:oMath>
      <w:r>
        <w:t xml:space="preserve">, to the product of the concentrations of each,</w:t>
      </w:r>
      <w:r>
        <w:t xml:space="preserve"> </w:t>
      </w:r>
      <m:oMath>
        <m:r>
          <m:t>[</m:t>
        </m:r>
        <m:r>
          <m:t>L</m:t>
        </m:r>
        <m:r>
          <m:t>]</m:t>
        </m:r>
        <m:r>
          <m:t>[</m:t>
        </m:r>
        <m:r>
          <m:t>R</m:t>
        </m:r>
        <m:r>
          <m:t>]</m:t>
        </m:r>
      </m:oMath>
      <w:r>
        <w:t xml:space="preserve">, can be defined as an association constant</w:t>
      </w:r>
      <w:r>
        <w:t xml:space="preserve"> </w:t>
      </w:r>
      <m:oMath>
        <m:sSub>
          <m:e>
            <m:r>
              <m:t>K</m:t>
            </m:r>
          </m:e>
          <m:sub>
            <m:r>
              <m:t>a</m:t>
            </m:r>
          </m:sub>
        </m:sSub>
      </m:oMath>
      <w:r>
        <w:t xml:space="preserve">, and its reciprocal is defined as the dissociation constant</w:t>
      </w:r>
      <w:r>
        <w:t xml:space="preserve"> </w:t>
      </w:r>
      <m:oMath>
        <m:sSub>
          <m:e>
            <m:r>
              <m:t>K</m:t>
            </m:r>
          </m:e>
          <m:sub>
            <m:r>
              <m:t>d</m:t>
            </m:r>
          </m:sub>
        </m:sSub>
      </m:oMath>
      <w:r>
        <w:t xml:space="preserve">. The number of ligands in the solution is usually much greater than that of the receptors, so we assume binding does not deplete the ligand concentration. Binding behavior is more complex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a ligand complex is formed by a random assortment of monomer units or by engineering to produce complexes of defined uniform composition.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have multiple contour lines between and so point 3 has more ligand binding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adding more</w:t>
      </w:r>
      <w:r>
        <w:t xml:space="preserve"> </w:t>
      </w:r>
      <m:oMath>
        <m:sSub>
          <m:e>
            <m:r>
              <m:t>R</m:t>
            </m:r>
          </m:e>
          <m:sub>
            <m:r>
              <m:t>2</m:t>
            </m:r>
          </m:sub>
        </m:sSub>
      </m:oMath>
      <w:r>
        <w:t xml:space="preserve"> </w:t>
      </w:r>
      <w:r>
        <w:t xml:space="preserve">(moving upward, e.g. from 1 to 3) will lead to a great boost on ligand bound. The high affinity of</w:t>
      </w:r>
      <w:r>
        <w:t xml:space="preserve"> </w:t>
      </w:r>
      <m:oMath>
        <m:sSub>
          <m:e>
            <m:r>
              <m:t>R</m:t>
            </m:r>
          </m:e>
          <m:sub>
            <m:r>
              <m:t>2</m:t>
            </m:r>
          </m:sub>
        </m:sSub>
      </m:oMath>
      <w:r>
        <w:t xml:space="preserve"> </w:t>
      </w:r>
      <w:r>
        <w:t xml:space="preserve">leads to a greater binding sensitivity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using affinity, valency, and hetero-valent complexes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affinities of a ligand to the receptors as an engineering strategy to enhance its cell population specificity. Here, we showed the binding pattern of monovalent ligands with various affinities ranging from</w:t>
      </w:r>
      <w:r>
        <w:t xml:space="preserve"> </w:t>
      </w:r>
      <m:oMath>
        <m:r>
          <m:t>10000</m:t>
        </m:r>
        <m:r>
          <m:rPr>
            <m:sty m:val="p"/>
          </m:rPr>
          <m:t>n</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the two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uniquely higher than other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expresses a high amount of</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expresses a high amount of</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the affinity of</w:t>
      </w:r>
      <w:r>
        <w:t xml:space="preserve"> </w:t>
      </w:r>
      <m:oMath>
        <m:sSub>
          <m:e>
            <m:r>
              <m:t>R</m:t>
            </m:r>
          </m:e>
          <m:sub>
            <m:r>
              <m:t>1</m:t>
            </m:r>
          </m:sub>
        </m:sSub>
      </m:oMath>
      <w:r>
        <w:t xml:space="preserve"> </w:t>
      </w:r>
      <w:r>
        <w:t xml:space="preserve">increases, which corresponds to shifting from the left subplots to the right ones, the contour lines of higher values shift inward and cluster more densely,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it is quite often that both on- and off-target cell populations express the same set of receptors and only differ in their magnitude of expression.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to the relative discrepancy in receptor amounts (Fig.</w:t>
      </w:r>
      <w:r>
        <w:t xml:space="preserve"> </w:t>
      </w:r>
      <w:hyperlink w:anchor="fig:affinity">
        <w:r>
          <w:rPr>
            <w:rStyle w:val="Hyperlink"/>
          </w:rPr>
          <w:t xml:space="preserve">2</w:t>
        </w:r>
      </w:hyperlink>
      <w:r>
        <w:t xml:space="preserve">c,d). Since the more highly expressed receptors have only 10-fold difference comparing with the 100-fold difference in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l</m:t>
            </m:r>
            <m:r>
              <m:t>o</m:t>
            </m:r>
          </m:sup>
        </m:sSubSup>
        <m:sSubSup>
          <m:e>
            <m:r>
              <m:t>R</m:t>
            </m:r>
          </m:e>
          <m:sub>
            <m:r>
              <m:t>2</m:t>
            </m:r>
          </m:sub>
          <m:sup>
            <m:r>
              <m:t>h</m:t>
            </m:r>
            <m:r>
              <m:t>i</m:t>
            </m:r>
          </m:sup>
        </m:sSubSup>
      </m:oMath>
      <w:r>
        <w:t xml:space="preserve">, the greatest binding ratios these two pairs can achieve are no more than 10 times instead of 50 times.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doesn’t change selective binding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w:t>
      </w:r>
    </w:p>
    <w:p>
      <w:pPr>
        <w:pStyle w:val="BodyText"/>
      </w:pPr>
      <w:r>
        <w:t xml:space="preserve">Through reading the contour plots, we can also ponder how affinity changes affect the intrapopulation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 </w:t>
      </w:r>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such as shown in the subplots in the upper left corner and bottom right corner of Figure</w:t>
      </w:r>
      <w:r>
        <w:t xml:space="preserve"> </w:t>
      </w:r>
      <w:hyperlink w:anchor="fig:affinity">
        <w:r>
          <w:rPr>
            <w:rStyle w:val="Hyperlink"/>
          </w:rPr>
          <w:t xml:space="preserve">2</w:t>
        </w:r>
      </w:hyperlink>
      <w:r>
        <w:t xml:space="preserve"> </w:t>
      </w:r>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When designing a therapeutic for cell populations with broader or more dynamic expression profile, such as tumor cells, the consideration in intrapopulation heterogeneity when using affinity engineering is worthwhile.</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16</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amount of ligand bound by cells expressing different abundances of receptor</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is quantified. The ligand only binds to receptor</w:t>
      </w:r>
      <w:r>
        <w:t xml:space="preserve"> </w:t>
      </w:r>
      <m:oMath>
        <m:sSub>
          <m:e>
            <m:r>
              <m:t>R</m:t>
            </m:r>
          </m:e>
          <m:sub>
            <m:r>
              <m:t>1</m:t>
            </m:r>
          </m:sub>
        </m:sSub>
      </m:oMath>
      <w:r>
        <w:t xml:space="preserve"> </w:t>
      </w:r>
      <w:r>
        <w:t xml:space="preserve">and the valency of the ligand is varied across subplots. The most notable effect of changing valency is observed as variable density of lines in the binding contour plot. For example, in the monovalent case, there are roughly the same amount of contour lines between $ R_1</w:t>
      </w:r>
      <w:r>
        <w:rPr>
          <w:vertAlign w:val="superscript"/>
        </w:rPr>
        <w:t xml:space="preserve">{lo}R_2</w:t>
      </w:r>
      <w:r>
        <w:t xml:space="preserve">{lo}$ 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and between</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h</m:t>
            </m:r>
            <m:r>
              <m:t>i</m:t>
            </m:r>
          </m:sup>
        </m:sSubSup>
        <m:sSubSup>
          <m:e>
            <m:r>
              <m:t>R</m:t>
            </m:r>
          </m:e>
          <m:sub>
            <m:r>
              <m:t>2</m:t>
            </m:r>
          </m:sub>
          <m:sup>
            <m:r>
              <m:t>h</m:t>
            </m:r>
            <m:r>
              <m:t>i</m:t>
            </m:r>
          </m:sup>
        </m:sSubSup>
      </m:oMath>
      <w:r>
        <w:t xml:space="preserve">, but in the tetravalent case, there are more contour lines between</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h</m:t>
            </m:r>
            <m:r>
              <m:t>i</m:t>
            </m:r>
          </m:sup>
        </m:sSubSup>
        <m:sSubSup>
          <m:e>
            <m:r>
              <m:t>R</m:t>
            </m:r>
          </m:e>
          <m:sub>
            <m:r>
              <m:t>2</m:t>
            </m:r>
          </m:sub>
          <m:sup>
            <m:r>
              <m:t>h</m:t>
            </m:r>
            <m:r>
              <m:t>i</m:t>
            </m:r>
          </m:sup>
        </m:sSubSup>
      </m:oMath>
      <w:r>
        <w:t xml:space="preserve">, suggesting a sharper increase in ligand bound (Fig.</w:t>
      </w:r>
      <w:r>
        <w:t xml:space="preserve"> </w:t>
      </w:r>
      <w:hyperlink w:anchor="fig:valency">
        <w:r>
          <w:rPr>
            <w:rStyle w:val="Hyperlink"/>
          </w:rPr>
          <w:t xml:space="preserve">3</w:t>
        </w:r>
      </w:hyperlink>
      <w:r>
        <w:t xml:space="preserve">a).</w:t>
      </w:r>
    </w:p>
    <w:p>
      <w:pPr>
        <w:pStyle w:val="BodyText"/>
      </w:pPr>
      <w:r>
        <w:t xml:space="preserve">Previous work has shown that our binding model can accurately predict the complicated multivalent binding process between IgG antibodies and Fcγ receptors.</w:t>
      </w:r>
      <w:hyperlink w:anchor="ref-11gk5tUo7">
        <w:r>
          <w:rPr>
            <w:rStyle w:val="Hyperlink"/>
            <w:vertAlign w:val="superscript"/>
          </w:rPr>
          <w:t xml:space="preserve">17</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18</w:t>
        </w:r>
      </w:hyperlink>
      <w:r>
        <w:t xml:space="preserve"> </w:t>
      </w:r>
      <w:r>
        <w:t xml:space="preserve">After fitting to determine the crosslinking coefficient and receptor affinity values, our model was able to accurately match the binding of nanorings with four or eight binding units to MCF-7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Selectivity derived by changing valency is dependent on affinity. As many previous studies have suggested, lower affinity, multi-valent interactions have been shown to exhibit selectivity based on receptor abundance.</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18</w:t>
        </w:r>
      </w:hyperlink>
      <w:r>
        <w:t xml:space="preserve"> </w:t>
      </w:r>
      <w:r>
        <w:t xml:space="preserve">Comparing binding between cell populations exposed to ligands of variable affinities over a range of ligand valency demonstrates this interplay (Fig.</w:t>
      </w:r>
      <w:r>
        <w:t xml:space="preserve"> </w:t>
      </w:r>
      <w:hyperlink w:anchor="fig:valency">
        <w:r>
          <w:rPr>
            <w:rStyle w:val="Hyperlink"/>
          </w:rPr>
          <w:t xml:space="preserve">3</w:t>
        </w:r>
      </w:hyperlink>
      <w:r>
        <w:t xml:space="preserve">b-d). Here, the ligand binding ratios for</w:t>
      </w:r>
      <w:r>
        <w:t xml:space="preserve"> </w:t>
      </w:r>
      <m:oMath>
        <m:sSub>
          <m:e>
            <m:r>
              <m:t>R</m:t>
            </m:r>
          </m:e>
          <m:sub>
            <m:r>
              <m:t>1</m:t>
            </m:r>
          </m:sub>
        </m:sSub>
      </m:oMath>
      <w:r>
        <w:t xml:space="preserve"> </w:t>
      </w:r>
      <w:r>
        <w:t xml:space="preserve">between cell populations are shown for ligands of high, medium, and low affinities (</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Our model allowed us to identify the mechanism of valency-mediated receptor abundance selectivity by looking at the number of complex bound in each degree. A cell expressing</w:t>
      </w:r>
      <w:r>
        <w:t xml:space="preserve"> </w:t>
      </w:r>
      <m:oMath>
        <m:sSup>
          <m:e>
            <m:r>
              <m:t>10</m:t>
            </m:r>
          </m:e>
          <m:sup>
            <m:r>
              <m:t>4</m:t>
            </m:r>
          </m:sup>
        </m:sSup>
      </m:oMath>
      <w:r>
        <w:t xml:space="preserve"> </w:t>
      </w:r>
      <w:r>
        <w:t xml:space="preserve">receptors displays similar amounts of binding at each valency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binding by binding ligand at high valency, as the rate of multi-valent binding is greater than that of disassociation (Fig.</w:t>
      </w:r>
      <w:r>
        <w:t xml:space="preserve"> </w:t>
      </w:r>
      <w:hyperlink w:anchor="fig:valency">
        <w:r>
          <w:rPr>
            <w:rStyle w:val="Hyperlink"/>
          </w:rPr>
          <w:t xml:space="preserve">3</w:t>
        </w:r>
      </w:hyperlink>
      <w:r>
        <w:t xml:space="preserve">f). This effect allows for valency to provide selectivity between cells having differences in receptor expression density, where affinity alone fails.</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330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Fraction of forward to reverse binding rates for a multivalent ligand binding to a cell with varying amounts of receptor expression, following an initial binding event.</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330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Fraction of forward to reverse binding rates for a multivalent ligand binding to a cell with varying amounts of receptor expression, following an initial binding event.</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 with the composition, so any mixture combination is no better than using the more specific ligand entirely(Fig.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cell population combinations where many off-target populations are considered (Fig.</w:t>
      </w:r>
      <w:r>
        <w:t xml:space="preserve"> </w:t>
      </w:r>
      <w:hyperlink w:anchor="fig:mixture">
        <w:r>
          <w:rPr>
            <w:rStyle w:val="Hyperlink"/>
          </w:rPr>
          <w:t xml:space="preserve">4</w:t>
        </w:r>
      </w:hyperlink>
      <w:r>
        <w:t xml:space="preserve">d).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17</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We compared bispecificity with two aforementioned strategies: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 of heterovalency.</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 </w:t>
      </w:r>
      <w:r>
        <w:t xml:space="preserve">a), a 50%-50% mixture of two monomers (Fig</w:t>
      </w:r>
      <w:r>
        <w:t xml:space="preserve"> </w:t>
      </w:r>
      <w:hyperlink w:anchor="fig:bispecific">
        <w:r>
          <w:rPr>
            <w:rStyle w:val="Hyperlink"/>
          </w:rPr>
          <w:t xml:space="preserve">5</w:t>
        </w:r>
      </w:hyperlink>
      <w:r>
        <w:t xml:space="preserve"> </w:t>
      </w:r>
      <w:r>
        <w:t xml:space="preserve">b), and a 50%-50% mixture of two different homogeneous bivalents (Fig</w:t>
      </w:r>
      <w:r>
        <w:t xml:space="preserve"> </w:t>
      </w:r>
      <w:hyperlink w:anchor="fig:bispecific">
        <w:r>
          <w:rPr>
            <w:rStyle w:val="Hyperlink"/>
          </w:rPr>
          <w:t xml:space="preserve">5</w:t>
        </w:r>
      </w:hyperlink>
      <w:r>
        <w:t xml:space="preserve"> </w:t>
      </w:r>
      <w:r>
        <w:t xml:space="preserve">c), with the same set of parameters in ligand concentration and affinities. It turned out that the patterns of ligand bounds of these three cases are almost exactly the same, and bispecific doesn’t exhibit any merit. We then investigated if bispecific ligands that have to be activated with both of their subunits binding to a target display any special cell population selectivity characteristics. Bispecific ligands that require both subunits bound to be effective are common in the design of bispecific antibodies. To be specific,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p>
    <w:p>
      <w:pPr>
        <w:pStyle w:val="BodyText"/>
      </w:pPr>
      <w:r>
        <w:t xml:space="preserve">To scrutinize the case where the target binding of both subunits is required, we extended our model to calculate the amount of ligand fully bound. For the heterovalent bispecific case, ligand fully bound will only account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 </w:t>
      </w:r>
      <w:r>
        <w:t xml:space="preserve">e). Besides that ligand fully bound has lower amounts,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 </w:t>
      </w:r>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 </w:t>
      </w:r>
      <w:r>
        <w:t xml:space="preserve">e). This concavity of contour lines indicates that for bispecific complexes, ligand fully bound prefers double-positively expressed cells than singly-positively expressed cells. This should be obvious since these two subunits of the bispecific complex prefer different receptors. The results indicate that bispecific ligands will only exhibit special characteristics when it can only be activated fully bound. This characteristic opens up brand new engineering opportunities for targeting specific cell populations.</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(Figure</w:t>
      </w:r>
      <w:r>
        <w:t xml:space="preserve"> </w:t>
      </w:r>
      <w:hyperlink w:anchor="fig:bispecific">
        <w:r>
          <w:rPr>
            <w:rStyle w:val="Hyperlink"/>
          </w:rPr>
          <w:t xml:space="preserve">5</w:t>
        </w:r>
      </w:hyperlink>
      <w:r>
        <w:t xml:space="preserve"> </w:t>
      </w:r>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 </w:t>
      </w:r>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 </w:t>
      </w:r>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 </w:t>
      </w:r>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above provided selectivity benefits in distinct situations, suggesting that they might synergistically improve selectivity when combined. We explored this potential synergy using mathematical optimization to determine the optimally cell type selective ligand for our theoretical cell populations. Here, we sought to determine the optimal ligand for particular cell populations while considering all other theoretical populations as off-target cells. We set our initial binding selectivity performance metric and optimize it within set bounds (Fig.</w:t>
      </w:r>
      <w:r>
        <w:t xml:space="preserve"> </w:t>
      </w:r>
      <w:hyperlink w:anchor="fig:combination">
        <w:r>
          <w:rPr>
            <w:rStyle w:val="Hyperlink"/>
          </w:rPr>
          <w:t xml:space="preserve">6</w:t>
        </w:r>
      </w:hyperlink>
      <w:r>
        <w:t xml:space="preserve">). To simulate the effects that affinity engineering, we allowed ligand-receptor affinities to vary.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While affinity, valency, and mixture engineering are able to impart some small contributions to enhanced selectivity, significant improvement is only achieved when combining them all (Fig.</w:t>
      </w:r>
      <w:r>
        <w:t xml:space="preserve"> </w:t>
      </w:r>
      <w:hyperlink w:anchor="fig:combination">
        <w:r>
          <w:rPr>
            <w:rStyle w:val="Hyperlink"/>
          </w:rPr>
          <w:t xml:space="preserve">6</w:t>
        </w:r>
      </w:hyperlink>
      <w:r>
        <w:t xml:space="preserve">g-l).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Since it lies in the midst of the other populations in receptor expression space (Fig.</w:t>
      </w:r>
      <w:r>
        <w:t xml:space="preserve"> </w:t>
      </w:r>
      <w:hyperlink w:anchor="fig:mixture">
        <w:r>
          <w:rPr>
            <w:rStyle w:val="Hyperlink"/>
          </w:rPr>
          <w:t xml:space="preserve">4</w:t>
        </w:r>
      </w:hyperlink>
      <w:r>
        <w:t xml:space="preserve">m-r),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We compared a few different strategies, including changes to affinity, ligand valency, mixtures of species, multi-specificity, and these in combination. Our analysis was performed using a representative set of theoretical cell populations defined by their distinct expression of two receptors. We identified that each strategy helped to enhance specificity, but only in certain situations. The specific benefits of each strategy meant that their combination led to synergistic specificity enhancements.</w:t>
      </w:r>
    </w:p>
    <w:p>
      <w:pPr>
        <w:pStyle w:val="BodyText"/>
      </w:pPr>
      <w:r>
        <w:t xml:space="preserve">Each strategy’s contribution could be summarized by general patterns. We found that affinity changes were most effective when the target and off-target populations expressed distinct combinations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increased the binding selectivity, with greater differences in receptor patterns corresponding to greater benefits. When target and off-target populations had similar receptor expression profiles and only differed in amounts, valency, but not affinity, changes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16</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18</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complement binding to small-molecule therapeutics with αvβ3 binding domains, which is expressed at higher densities on tumor cells, and ⍺-Gal binding domains which are recognized by multivalent human anti-α-galactosyl antibodies.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of an engineered molecular a priori is almost unattainable. Moreover, it is very likely altering the affinity of a ligand to the receptor of interest can change the affinity of it to other receptors, which may offset the intended benefit in improving selectivity. Also, the change in the receptor expression profile of a cell population complicates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w:t>
      </w:r>
      <w:r>
        <w:t xml:space="preserve"> </w:t>
      </w:r>
      <w:r>
        <w:t xml:space="preserve">“</w:t>
      </w:r>
      <w:r>
        <w:t xml:space="preserve">dead</w:t>
      </w:r>
      <w:r>
        <w:t xml:space="preserve">”</w:t>
      </w:r>
      <w:r>
        <w:t xml:space="preserve"> </w:t>
      </w:r>
      <w:r>
        <w:t xml:space="preserve">ligands, which bind but do not induce a response, and monovalent</w:t>
      </w:r>
      <w:r>
        <w:t xml:space="preserve"> </w:t>
      </w:r>
      <w:r>
        <w:t xml:space="preserve">“</w:t>
      </w:r>
      <w:r>
        <w:t xml:space="preserve">live</w:t>
      </w:r>
      <w:r>
        <w:t xml:space="preserve">”</w:t>
      </w:r>
      <w:r>
        <w:t xml:space="preserve"> </w:t>
      </w:r>
      <w:r>
        <w:t xml:space="preserve">ligands to exploit reduced receptor expression levels, the translation of such a therapeutic to a clinical application remains questionable (Fig.</w:t>
      </w:r>
      <w:r>
        <w:t xml:space="preserve"> </w:t>
      </w:r>
      <w:hyperlink w:anchor="fig:combination">
        <w:r>
          <w:rPr>
            <w:rStyle w:val="Hyperlink"/>
          </w:rPr>
          <w:t xml:space="preserve">6</w:t>
        </w:r>
      </w:hyperlink>
      <w:r>
        <w:t xml:space="preserve"> </w:t>
      </w:r>
      <w:r>
        <w:t xml:space="preserve">s-v).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simple ligand characteristic manipulation. These manipulations can be generally applied to achieve greater selectivity, as well as more precisely guided using a computational binding model. The impressive array of logic described in this study can be applied to guide rational ligand engineering applications.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17</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for mixture composition, 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the affinity constants; the boundaries were</w:t>
      </w:r>
      <w:r>
        <w:t xml:space="preserve"> </w:t>
      </w:r>
      <m:oMath>
        <m:sSup>
          <m:e>
            <m:r>
              <m:t>10</m:t>
            </m:r>
          </m:e>
          <m:sup>
            <m:r>
              <m:t>−</m:t>
            </m:r>
            <m:r>
              <m:t>15</m:t>
            </m:r>
          </m:sup>
        </m:sSup>
        <m:r>
          <m:t>−</m:t>
        </m:r>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for mixture composition, and</w:t>
      </w:r>
      <w:r>
        <w:t xml:space="preserve"> </w:t>
      </w:r>
      <m:oMath>
        <m:sSup>
          <m:e>
            <m:r>
              <m:t>10</m:t>
            </m:r>
          </m:e>
          <m:sup>
            <m:r>
              <m:t>2</m:t>
            </m:r>
          </m:sup>
        </m:sSup>
        <m:r>
          <m:t>−</m:t>
        </m:r>
        <m:r>
          <m:t>−</m:t>
        </m:r>
        <m:sSup>
          <m:e>
            <m:r>
              <m:t>10</m:t>
            </m:r>
          </m:e>
          <m:sup>
            <m:r>
              <m:t>10</m:t>
            </m:r>
          </m:sup>
        </m:sSup>
        <m:sSup>
          <m:e>
            <m:r>
              <m:rPr>
                <m:sty m:val="p"/>
              </m:rPr>
              <m:t>M</m:t>
            </m:r>
          </m:e>
          <m:sup>
            <m:r>
              <m:rPr>
                <m:sty m:val="p"/>
              </m:rPr>
              <m:t>−</m:t>
            </m:r>
            <m:r>
              <m:rPr>
                <m:sty m:val="p"/>
              </m:rPr>
              <m:t>1</m:t>
            </m:r>
          </m:sup>
        </m:sSup>
      </m:oMath>
      <w:r>
        <w:t xml:space="preserve"> </w:t>
      </w:r>
      <w:r>
        <w:t xml:space="preserve">for the affinity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18</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IanZRiFA"/>
    <w:p>
      <w:pPr>
        <w:pStyle w:val="Bibliography"/>
      </w:pPr>
      <w:r>
        <w:t xml:space="preserve">16.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6"/>
    <w:bookmarkStart w:id="77" w:name="ref-11gk5tUo7"/>
    <w:p>
      <w:pPr>
        <w:pStyle w:val="Bibliography"/>
      </w:pPr>
      <w:r>
        <w:t xml:space="preserve">17.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systems</w:t>
      </w:r>
      <w:r>
        <w:t xml:space="preserve"> </w:t>
      </w:r>
      <w:r>
        <w:rPr>
          <w:b/>
        </w:rPr>
        <w:t xml:space="preserve">7</w:t>
      </w:r>
      <w:r>
        <w:t xml:space="preserve">, 41–48.e5 (2018).</w:t>
      </w:r>
    </w:p>
    <w:bookmarkEnd w:id="77"/>
    <w:bookmarkStart w:id="78" w:name="ref-u2Cb0DBq"/>
    <w:p>
      <w:pPr>
        <w:pStyle w:val="Bibliography"/>
      </w:pPr>
      <w:r>
        <w:t xml:space="preserve">18.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 (San Diego, Calif.)</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Journal of autoimmunity</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Oncology reports</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2020-10-09T01:26:55Z</dcterms:created>
  <dcterms:modified xsi:type="dcterms:W3CDTF">2020-10-09T01:26:55Z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2020-10-08</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