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PROPOSITION TECHNIQUE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Sécurisation de la chaîne d’authentification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AI Backend → Foundry Agents → BobData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Azure AD On-Behalf-Of (OBO) + Entra Agent ID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Préparé par :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Yaacov — Azure AI Platform Team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Destiné à :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Yonah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Date :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Priorité :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🔴 CRITIQUE — Bloquant pour la production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Le problème en quelques mots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Aujourd’hui, quand un collaborateur Kornit se connecte via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Microsoft Teams</w:t>
      </w:r>
      <w:r>
        <w:rPr>
          <w:rFonts w:ascii="Arial" w:cs="Arial" w:eastAsia="Arial" w:hAnsi="Arial"/>
          <w:sz w:val="22"/>
          <w:szCs w:val="22"/>
        </w:rPr>
        <w:t xml:space="preserve">, Azure AD lui délivre un </w:t>
      </w: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Token A</w:t>
      </w:r>
      <w:r>
        <w:rPr>
          <w:rFonts w:ascii="Arial" w:cs="Arial" w:eastAsia="Arial" w:hAnsi="Arial"/>
          <w:sz w:val="22"/>
          <w:szCs w:val="22"/>
        </w:rPr>
        <w:t xml:space="preserve">. Ce token prouve son identité et lui donne accès à l’AI Backend. Jusque-là, tout fonctionne parfaitement.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Le problème</w:t>
      </w:r>
      <w:r>
        <w:rPr>
          <w:rFonts w:ascii="Arial" w:cs="Arial" w:eastAsia="Arial" w:hAnsi="Arial"/>
          <w:sz w:val="22"/>
          <w:szCs w:val="22"/>
        </w:rPr>
        <w:t xml:space="preserve"> survient à l’étape suivante : quand l’AI Backend doit récupérer des données dans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BobData (HR)</w:t>
      </w:r>
      <w:r>
        <w:rPr>
          <w:rFonts w:ascii="Arial" w:cs="Arial" w:eastAsia="Arial" w:hAnsi="Arial"/>
          <w:sz w:val="22"/>
          <w:szCs w:val="22"/>
        </w:rPr>
        <w:t xml:space="preserve">, le système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ERP</w:t>
      </w:r>
      <w:r>
        <w:rPr>
          <w:rFonts w:ascii="Arial" w:cs="Arial" w:eastAsia="Arial" w:hAnsi="Arial"/>
          <w:sz w:val="22"/>
          <w:szCs w:val="22"/>
        </w:rPr>
        <w:t xml:space="preserve"> ou 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CRM</w:t>
      </w:r>
      <w:r>
        <w:rPr>
          <w:rFonts w:ascii="Arial" w:cs="Arial" w:eastAsia="Arial" w:hAnsi="Arial"/>
          <w:sz w:val="22"/>
          <w:szCs w:val="22"/>
        </w:rPr>
        <w:t xml:space="preserve"> via les Foundry Agents.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Pourquoi ça bloque ?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Token A est comme un badge d’accès réservé à un seul bâtiment. Il ouvre la porte de l’AI Backend, mais BobData ne le reconnaît pas — c’est un bâtiment différent avec ses propres badges. Résultat : BobData rejette la requête, et l’utilisateur n’obtient pas ses données.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Sans mécanisme pour « traduire » le badge d’un bâtiment à l’autre,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il n’y a aucun moyen de transmettre l’identité de l’utilisateur de bout en bout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Ce que la solution résout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implémentant cette solution, on obtient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Échange automatique du Token A vers un Token B accepté par les Foundry Agents — sans aucun code manuel de gestion de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L’identité réelle de l’utilisateur est transmise jusqu’à BobData (pas un compte de service générique)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Chaque utilisateur voit uniquement SES propres données HR/ERP/CRM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Zéro infrastructure additionnelle : pas de Redis, pas de secrets en dur dans le code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même pattern est réutilisable pour les 3 agents (HR, ERP, CRM) sans dupliquer de code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La solution : OAuth 2.0 On-Behalf-Of (OBO)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Comment ça marche, simplement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 principe est simple : au lieu de réutiliser le badge existant (Token A), on demande à Azure AD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créer un nouveau badge spécifique</w:t>
      </w:r>
      <w:r>
        <w:rPr>
          <w:rFonts w:ascii="Arial" w:cs="Arial" w:eastAsia="Arial" w:hAnsi="Arial"/>
          <w:sz w:val="22"/>
          <w:szCs w:val="22"/>
        </w:rPr>
        <w:t xml:space="preserve"> pour chaque service cible, tout en conservant l’identité de l’utilisateur.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C’est exactement le mécanisme officiel de Microsoft pour les architectures où un service backend doit appeler un autre service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au nom d’un utilisateur</w:t>
      </w:r>
      <w:r>
        <w:rPr>
          <w:rFonts w:ascii="Arial" w:cs="Arial" w:eastAsia="Arial" w:hAnsi="Arial"/>
          <w:sz w:val="22"/>
          <w:szCs w:val="22"/>
        </w:rPr>
        <w:t xml:space="preserve">. Il est utilisé dans toutes les applications Azure enterprise modernes.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Le parcours complet en 4 étapes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L’utilisateur se connecte via Teams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Azure AD lui délivre le Token A (scope: AI Backend). Ce token est validé par l’API Gateway et transmis à l’AI Backend.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</w:p>
        </w:tc>
        <w:tc>
          <w:tcPr>
            <w:tcW w:type="dxa" w:w="84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86C1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L’AI Backend échange le token (OBO)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 SDK Microsoft présente le Token A à Azure AD et reçoit en retour un Token B, spécifique au Foundry Agent cible. Tout est automatique : 5 lignes de config.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</w:p>
        </w:tc>
        <w:tc>
          <w:tcPr>
            <w:tcW w:type="dxa" w:w="84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86C1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Le Foundry Agent reçoit Token B et fait le relais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Grâce à Entra Agent ID, le Foundry Agent fait automatiquement un second OBO pour obtenir un Token C accepté par BobData. Aucun code supplémentaire n’est nécessaire.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</w:p>
        </w:tc>
        <w:tc>
          <w:tcPr>
            <w:tcW w:type="dxa" w:w="84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86C1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sz="0"/>
              <w:left w:val="none" w:sz="0"/>
              <w:bottom w:val="none" w:sz="0"/>
              <w:right w:val="none" w:sz="0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BobData identifie l’utilisateur et répond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BobData reçoit Token C, identifie l’utilisateur réel, applique ses règles d’accès et retourne uniquement les données autorisées pour cette personne.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Point clé : 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L’AI Backend fait UNE seule opération OBO (5 lignes de config). Le second OBO (Foundry Agent → BobData) est entièrement automatique grâce à Entra Agent ID. L’AI Backend n’est jamais exposé aux tokens BobData.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Pourquoi cette approche et pas une autre ?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J’ai évalué 4 approches possibles. Voici le comparatif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Simplicité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natif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Identité user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OBO dans AI Backend (cette proposition)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BEST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OBO dans APIM Policy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4/10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⚠️ Fragile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Identity seul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2/10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 Perd le user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Token Cache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6/10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 Complexe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solution OBO est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 seule officiellement documentée par Microsoft</w:t>
      </w:r>
      <w:r>
        <w:rPr>
          <w:rFonts w:ascii="Arial" w:cs="Arial" w:eastAsia="Arial" w:hAnsi="Arial"/>
          <w:sz w:val="22"/>
          <w:szCs w:val="22"/>
        </w:rPr>
        <w:t xml:space="preserve">, utilisée en production dans des déploiements Fortune 500, et la seule qui préserve l’identité utilisateur de bout en bout sans infrastructure additionnelle.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Ce qu’il faut faire concrètement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L’implémentation se découpe en 3 volets 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A. Configuration Azure (Azure Admin)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Créer les App Registrations pour chaque Foundry Agent Blueprint (HR, ERP, CRM)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Exposer le scope user_impersonation sur chaque Blueprint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Ajouter les Delegated Permissions sur l’AI Backend vers les 3 Blueprints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Grant Admin Consent sur le tenant — c’est critique, sans ça l’OBO échoue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Générer un certificat dans Key Vault et activer Managed Identity sur le App Service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B. Configuration Foundry (Foundry Admin)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Créer un Agent Blueprint dans Azure AI Foundry et le lier à l’App Registration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Assigner l’identité Entra au projet Foundry (le second OBO devient alors automatique)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Répéter pour les agents ERP et CRM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C. Code (Développeur)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Côté code, c’est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extrêmement léger</w:t>
      </w:r>
      <w:r>
        <w:rPr>
          <w:rFonts w:ascii="Arial" w:cs="Arial" w:eastAsia="Arial" w:hAnsi="Arial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Installer 2 packages NuGet (Microsoft.Identity.Web)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Ajouter une section de config dans appsettings.json (5 lignes par agent)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Enregistrer les services dans Program.cs (1 bloc fluent)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Remplacer les appels HTTP directs par CallApiForUserAsync dans l’orchestrateur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 SDK gère ensuite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tout automatiquement</w:t>
      </w:r>
      <w:r>
        <w:rPr>
          <w:rFonts w:ascii="Arial" w:cs="Arial" w:eastAsia="Arial" w:hAnsi="Arial"/>
          <w:sz w:val="22"/>
          <w:szCs w:val="22"/>
        </w:rPr>
        <w:t xml:space="preserve"> : échange de token, cache en mémoire, renouvellement à expiration.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Sécurité : approche Zero Trust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Zéro secret dans le code</w:t>
      </w:r>
      <w:r>
        <w:rPr>
          <w:rFonts w:ascii="Arial" w:cs="Arial" w:eastAsia="Arial" w:hAnsi="Arial"/>
          <w:sz w:val="22"/>
          <w:szCs w:val="22"/>
        </w:rPr>
        <w:t xml:space="preserve"> — le certificat est dans Key Vault, accédé via Managed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Identité utilisateur préservée</w:t>
      </w:r>
      <w:r>
        <w:rPr>
          <w:rFonts w:ascii="Arial" w:cs="Arial" w:eastAsia="Arial" w:hAnsi="Arial"/>
          <w:sz w:val="22"/>
          <w:szCs w:val="22"/>
        </w:rPr>
        <w:t xml:space="preserve"> — chaque hop transmet le vrai user, jamais un service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Isolation des données</w:t>
      </w:r>
      <w:r>
        <w:rPr>
          <w:rFonts w:ascii="Arial" w:cs="Arial" w:eastAsia="Arial" w:hAnsi="Arial"/>
          <w:sz w:val="22"/>
          <w:szCs w:val="22"/>
        </w:rPr>
        <w:t xml:space="preserve"> — BobData applique ses propres règles : l’utilisateur A ne voit que ses données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Aucune infrastructure supplémentaire</w:t>
      </w:r>
      <w:r>
        <w:rPr>
          <w:rFonts w:ascii="Arial" w:cs="Arial" w:eastAsia="Arial" w:hAnsi="Arial"/>
          <w:sz w:val="22"/>
          <w:szCs w:val="22"/>
        </w:rPr>
        <w:t xml:space="preserve"> — pas de Redis, pas de base de données de tokens, pas de composant à maintenir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Scores de la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Simplicité d’implémentation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 / 10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Compatibilité Azure native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/ 10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Préservation identité utilisateur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/ 10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Scalabilité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 / 10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Coût de maintenance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 / 10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En résumé : 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solution est le standard Microsoft pour les architectures multi-tiers sécurisées. Elle est production-proven, Zero Trust, et nécessite très peu de code. C’est la voie la plus fiable et la plus rapide pour débloquer l’accès aux données HR, ERP et CRM depuis l’AI Backend.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Yaacov — Azure AI Platform Team — Kornit Digital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Confidentiel — Kornit Digital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E86C1"/>
        <w:sz w:val="16"/>
        <w:szCs w:val="16"/>
      </w:rPr>
      <w:t xml:space="preserve">Kornit Digital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  |  Proposition Technique  | 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2026-03-09T18:59:53.981Z</dcterms:created>
  <dcterms:modified xsi:type="dcterms:W3CDTF">2026-03-09T18:59:53.982Z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