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1"/>
          <w:color w:val="0b5394"/>
        </w:rPr>
      </w:pPr>
      <w:bookmarkStart w:colFirst="0" w:colLast="0" w:name="_f5cpk351a7nx" w:id="0"/>
      <w:bookmarkEnd w:id="0"/>
      <w:r w:rsidDel="00000000" w:rsidR="00000000" w:rsidRPr="00000000">
        <w:rPr>
          <w:rtl w:val="0"/>
        </w:rPr>
        <w:t xml:space="preserve">Bass Diffusion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82757jl5126n" w:id="1"/>
      <w:bookmarkEnd w:id="1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Two actions/states/behaviour, A and 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Unidirectional flow of individuals from A to B.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 asymptotically saturates.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 groups of decision makers, imitators and innovators.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b6c3eowmokc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Model Development</w:t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rPr>
          <w:rtl w:val="0"/>
        </w:rPr>
        <w:t xml:space="preserve">Two actions/states/behaviour, 0 and 1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  <w:t xml:space="preserve">The model tracks F(t), which represents the fraction of individuals who have adopted action 1 at time t.</w:t>
      </w:r>
    </w:p>
    <w:p w:rsidR="00000000" w:rsidDel="00000000" w:rsidP="00000000" w:rsidRDefault="00000000" w:rsidRPr="00000000" w14:paraId="0000000B">
      <w:pPr>
        <w:ind w:left="720" w:hanging="360"/>
        <w:rPr/>
      </w:pPr>
      <w:r w:rsidDel="00000000" w:rsidR="00000000" w:rsidRPr="00000000">
        <w:rPr>
          <w:rtl w:val="0"/>
        </w:rPr>
        <w:t xml:space="preserve">Unidirectional flow of individuals from 0 to 1.</w:t>
      </w:r>
    </w:p>
    <w:p w:rsidR="00000000" w:rsidDel="00000000" w:rsidP="00000000" w:rsidRDefault="00000000" w:rsidRPr="00000000" w14:paraId="0000000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rPr>
          <w:rtl w:val="0"/>
        </w:rPr>
        <w:t xml:space="preserve">P is rate of spontaneous adoption (represents individuals who will switch regardless of other people, i.e free thinkers)</w:t>
      </w:r>
    </w:p>
    <w:p w:rsidR="00000000" w:rsidDel="00000000" w:rsidP="00000000" w:rsidRDefault="00000000" w:rsidRPr="00000000" w14:paraId="0000000E">
      <w:pPr>
        <w:ind w:left="720" w:hanging="360"/>
        <w:rPr/>
      </w:pPr>
      <w:r w:rsidDel="00000000" w:rsidR="00000000" w:rsidRPr="00000000">
        <w:rPr>
          <w:rtl w:val="0"/>
        </w:rPr>
        <w:t xml:space="preserve">Q is rate of imitation of adoption (represents individuals who will switch if they see other people who have switched, i.e the sheep)</w:t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2138363" cy="286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8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/>
      </w:pPr>
      <w:r w:rsidDel="00000000" w:rsidR="00000000" w:rsidRPr="00000000">
        <w:rPr>
          <w:rtl w:val="0"/>
        </w:rPr>
        <w:t xml:space="preserve">There exists a closed form solution for F(t) (look it up online)</w:t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gcbierya5gt2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Advantages</w:t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  <w:t xml:space="preserve">It often provides accurate predictions while relying on few parameters, both of which are easily found through data or past values used in similar applications/industries.</w:t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  <w:t xml:space="preserve">Useful in situations where there is limited contextual information on social structure on industry-specific dynamics that could affect data, working as a very robust base model.</w:t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  <w:t xml:space="preserve">Can be easily modified by adding extra terms to suit the specific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mqivp0qixzve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Disadvantages</w:t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  <w:t xml:space="preserve">By itself it makes some large assumptions, which may often not be right for the problem at hand.</w:t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rtl w:val="0"/>
        </w:rPr>
        <w:t xml:space="preserve">Not suitable for multiple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pn0mqfkdyepc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Sensitivity analysis</w:t>
      </w:r>
    </w:p>
    <w:p w:rsidR="00000000" w:rsidDel="00000000" w:rsidP="00000000" w:rsidRDefault="00000000" w:rsidRPr="00000000" w14:paraId="0000001A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Standard Schmandard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mbria" w:cs="Cambria" w:eastAsia="Cambria" w:hAnsi="Cambria"/>
          <w:b w:val="1"/>
          <w:color w:val="0b5394"/>
        </w:rPr>
      </w:pPr>
      <w:bookmarkStart w:colFirst="0" w:colLast="0" w:name="_kg6py1ilfso3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Meyer Notes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