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LAD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Least absolute deviation is an alternative to Ordinary Least Squares, whereLAD minimises the sum of absolute residuals, and OLS minimises the sum of squares of residuals.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LAD is more computationally expensive, and hence OLS was used more often, despite LAD predating OLS.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LAD is more robust than OLS (David Birkes and Yadolah Dodge. </w:t>
      </w:r>
      <w:r w:rsidDel="00000000" w:rsidR="00000000" w:rsidRPr="00000000">
        <w:rPr>
          <w:i w:val="1"/>
          <w:rtl w:val="0"/>
        </w:rPr>
        <w:t xml:space="preserve">Alternative methods of regression</w:t>
      </w:r>
      <w:r w:rsidDel="00000000" w:rsidR="00000000" w:rsidRPr="00000000">
        <w:rPr>
          <w:rtl w:val="0"/>
        </w:rPr>
        <w:t xml:space="preserve">. John Wiley &amp; Sons, 2011.).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Summary: In OLS, a large residual for a single data point makes an outsized contribution to the loss function. This may cause predictions to be skewed.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use same graph as https://colab.research.google.com/drive/1DjI3eDcwo0P-whG92qTTLHCdH1_ImiYr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https://en.wikipedia.org/wiki/Gradient_boosting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Note: tree docs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https://github.com/catboost/tutorials/blob/master/model_analysis/visualize_decision_trees_tutorial.ipynb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