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Coefficient</w:t>
        <w:br w:type="textWrapping"/>
        <w:br w:type="textWrapping"/>
        <w:t xml:space="preserve">The coefficient in the PAWN method refers to the Kolmogorov-Smirnov (KS) statistic that is used to measure the distance between the unconditional and conditional cumulative distribution functions (CDFs).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Specifically, the KS statistic for an input xi is: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KS(xi) = max |Fy(y) - Fy|xi(y)|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Fy(y) is the unconditional CDF of the model output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Fy|xi(y) is the conditional CDF when xi is fixed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 is taken over all values of 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KS(xi) measures the maximum vertical distance between the unconditional and conditional CDFs. It ranges from 0 (no influence) to 1 (maximum influence).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make KS unconditional on the fixed value of xi, PAWN takes a statistic (e.g. median or max) over multiple KS values at different fixed points for xi.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coefficient, denoted Ti, is the final PAWN sensitivity index for input xi. A higher Ti indicates xi has a larger influence on the output distribution.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summary, the coefficient in PAWN refers to the KS statistic used to quantify the distance between CDFs. Taking a summary statistic over KS values at multiple fixed points gives the final sensitivity index Ti for each input.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CDFs are used instead of PDFs because they are easier to estimate empirically from a sample without any tuning parameters. This makes PAWN straightforward to implement.</w:t>
      </w:r>
    </w:p>
    <w:p w:rsidR="00000000" w:rsidDel="00000000" w:rsidP="00000000" w:rsidRDefault="00000000" w:rsidRPr="00000000" w14:paraId="0000000E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It can focus on any region of the output distribution, not just the full range. This enables regional sensitivity analysis.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Uses latin hypercube sampling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