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b w:val="1"/>
          <w:color w:val="0b5394"/>
        </w:rPr>
      </w:pPr>
      <w:bookmarkStart w:colFirst="0" w:colLast="0" w:name="_f5cpk351a7nx" w:id="0"/>
      <w:bookmarkEnd w:id="0"/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82757jl5126n" w:id="1"/>
      <w:bookmarkEnd w:id="1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b6c3eowmokc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Model Development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gcbierya5gt2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Advantages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qu9el5a7cmop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Disadvantages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kg6py1ilfso3" w:id="5"/>
      <w:bookmarkEnd w:id="5"/>
      <w:r w:rsidDel="00000000" w:rsidR="00000000" w:rsidRPr="00000000">
        <w:rPr>
          <w:rtl w:val="0"/>
        </w:rPr>
        <w:t xml:space="preserve">Meyer Notes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sklearn’s linear models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LOOCV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mbria" w:cs="Cambria" w:eastAsia="Cambria" w:hAnsi="Cambria"/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rFonts w:ascii="Cambria" w:cs="Cambria" w:eastAsia="Cambria" w:hAnsi="Cambr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