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rPr>
          <w:rFonts w:ascii="Cambria" w:cs="Cambria" w:eastAsia="Cambria" w:hAnsi="Cambria"/>
          <w:b w:val="1"/>
          <w:color w:val="0b5394"/>
        </w:rPr>
      </w:pPr>
      <w:bookmarkStart w:colFirst="0" w:colLast="0" w:name="_f5cpk351a7nx" w:id="0"/>
      <w:bookmarkEnd w:id="0"/>
      <w:r w:rsidDel="00000000" w:rsidR="00000000" w:rsidRPr="00000000">
        <w:rPr>
          <w:rtl w:val="0"/>
        </w:rPr>
        <w:t xml:space="preserve">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bookmarkStart w:colFirst="0" w:colLast="0" w:name="_82757jl5126n" w:id="1"/>
      <w:bookmarkEnd w:id="1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Infected is not a spectrum. One can only be quantified in the state of infected or not infected.</w:t>
      </w:r>
    </w:p>
    <w:p w:rsidR="00000000" w:rsidDel="00000000" w:rsidP="00000000" w:rsidRDefault="00000000" w:rsidRPr="00000000" w14:paraId="00000004">
      <w:pPr>
        <w:ind w:left="1440" w:hanging="360"/>
        <w:rPr/>
      </w:pPr>
      <w:r w:rsidDel="00000000" w:rsidR="00000000" w:rsidRPr="00000000">
        <w:rPr>
          <w:rtl w:val="0"/>
        </w:rPr>
        <w:t xml:space="preserve">This is needed in order to compartmentalize the model. Furthermore, ‘infected’ is a definite term and not vague.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is a homogeneous mixing of people with and without  XYZ. The SIR model assumes a homogeneous mixing of the ’infected’ group and the ’uninfected’ group.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Every person has the same probability of being infected, regardless of individual factors.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apply an SI model, we needed to standardize the factors used.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0" w:lineRule="auto"/>
        <w:ind w:left="0" w:firstLine="0"/>
        <w:rPr>
          <w:rFonts w:ascii="Cambria" w:cs="Cambria" w:eastAsia="Cambria" w:hAnsi="Cambria"/>
        </w:rPr>
      </w:pPr>
      <w:bookmarkStart w:colFirst="0" w:colLast="0" w:name="_b6c3eowmokc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Model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are two primary methods by which people transition between susceptible to infection.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first is a natural decay between the susceptible and infected group through people who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will just spontaneously reach the infected state. The second method occurs when the infected group infect the people from the susceptible group, and they join the infected group.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0" w:lineRule="auto"/>
        <w:ind w:left="0" w:firstLine="0"/>
        <w:rPr>
          <w:rFonts w:ascii="Cambria" w:cs="Cambria" w:eastAsia="Cambria" w:hAnsi="Cambria"/>
        </w:rPr>
      </w:pPr>
      <w:bookmarkStart w:colFirst="0" w:colLast="0" w:name="_gcbierya5gt2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Advantages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Our model is resilient to small changes and outputs sensible results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Changes in the model’s output due to shifts are consistent with expected trends as well. - link to real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SIRS is also an established mathematical modeling technique that we adapted to fit our own aims, lending credence to the validity of our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0" w:lineRule="auto"/>
        <w:ind w:left="0" w:firstLine="0"/>
        <w:rPr>
          <w:rFonts w:ascii="Cambria" w:cs="Cambria" w:eastAsia="Cambria" w:hAnsi="Cambria"/>
        </w:rPr>
      </w:pPr>
      <w:bookmarkStart w:colFirst="0" w:colLast="0" w:name="_mqivp0qixzve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Disadvantages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Based off past performance of growth, could be an unexpected surge in XYZ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pn0mqfkdyepc" w:id="5"/>
      <w:bookmarkEnd w:id="5"/>
      <w:r w:rsidDel="00000000" w:rsidR="00000000" w:rsidRPr="00000000">
        <w:rPr>
          <w:rtl w:val="0"/>
        </w:rPr>
        <w:t xml:space="preserve">Sensitivity 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Change constants by 10% and see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>
          <w:rFonts w:ascii="Cambria" w:cs="Cambria" w:eastAsia="Cambria" w:hAnsi="Cambria"/>
          <w:b w:val="1"/>
          <w:color w:val="0b5394"/>
        </w:rPr>
      </w:pPr>
      <w:bookmarkStart w:colFirst="0" w:colLast="0" w:name="_kg6py1ilfso3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Meyer Notes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We basically input in the initial distribution of infected/susceptible etc people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We also input the various rates and stuff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input in the differential equations with the starting parameters and computer solves (Euler-Method) (using scipy’s odeint function)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Cambria" w:cs="Cambria" w:eastAsia="Cambria" w:hAnsi="Cambria"/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rFonts w:ascii="Cambria" w:cs="Cambria" w:eastAsia="Cambria" w:hAnsi="Cambr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