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ARIMA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Autoregression (AR): refers to a model that shows a changing variable that regresses on its own lagged, or prior, values.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(I): represents the differencing of raw observations to allow the time series to become stationary (i.e., data values are replaced by the difference between the data values and the previous values).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average (MA):  incorporates the dependency between an observation and a residual error from a moving average model applied to lagged observations.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Identification of Model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The process starts with the identification of the ARIMA model, which involves deciding the values of p, d, and q.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Estimation of Parameters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The second step is estimating the parameters for the model. The model uses maximum likelihood estimation or nonlinear least-squares estimation.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Stationarity: The model assumes that the time series is stationary, implying a constant mean, variance, and autocorrelation over time. If it is not, differencing is applied to achieve stationarity.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Invertibility: Invertibility is another assumption, implying that the model's error terms can be expressed as a linear combination of current and past forecast errors.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for situations where volatility and seasonality are to be expected between the independent and dependent variables.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Captures complex dynamics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modified for use in more specific scenarios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one-time shock will affect subsequent values of an ARIMA model infinitely into the future. Therefore, the legacy of the financial crisis lives on in today’s financial autoregressive models.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correct model parameters can be a difficult process.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