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"results": [</w:t>
        <w:br/>
        <w:t xml:space="preserve">        {</w:t>
        <w:br/>
        <w:t xml:space="preserve">            "file": "/tmp/tmpxd_au2a7.pdf",</w:t>
        <w:br/>
        <w:t xml:space="preserve">            "response": "- Specification: I-23222\n- Validation: Complies with regulation\n- Comments: The use case is clearly articulated, and the preconditions, triggers, and scenarios are well-defined. No ambiguous terms or informal expressions were identified.\n\n- Specification: I-23461\n- Validation: Complies with regulation\n- Comments: The specification provides a comprehensive overview of the wiper control mechanisms. The terminology is consistent with technical standards, and no problematic terms were found.\n\n- Specification: I-24056\n- Validation: Complies with regulation\n- Comments: The description of the rear camera washer system is clear and adheres to technical norms. No ambiguous terms were identified.\n\n- Specification: I-23212\n- Validation: Complies with regulation\n- Comments: The use case for continuous washer spray is well-defined. The terminology is appropriate, and no issues were noted.\n\n- Specification: I-23214\n- Validation: Complies with regulation\n- Comments: The specification for the low wash fluid level warning is clear and meets regulatory standards. No problematic terms were identified.\n\nSummary:\n- Issues: No problematic terms or sections were identified in any of the specifications.\n- Recommendations: Continue to maintain clarity and adherence to technical terminology in future specifications. Ensure that all terms are consistently defined and avoid informal expressions."</w:t>
        <w:br/>
        <w:t xml:space="preserve">        }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