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A0F" w:val="clear"/>
            <w:tcMar>
              <w:top w:type="dxa" w:w="440"/>
              <w:left w:type="dxa" w:w="600"/>
              <w:bottom w:type="dxa" w:w="440"/>
              <w:right w:type="dxa" w:w="600"/>
            </w:tcMar>
          </w:tcPr>
          <w:p>
            <w:pPr>
              <w:spacing w:after="80"/>
            </w:pPr>
            <w:r>
              <w:rPr>
                <w:rFonts w:ascii="Courier New" w:cs="Courier New" w:eastAsia="Courier New" w:hAnsi="Courier New"/>
                <w:caps/>
                <w:color w:val="E84E1B"/>
                <w:spacing w:val="150"/>
                <w:sz w:val="15"/>
                <w:szCs w:val="15"/>
              </w:rPr>
              <w:t xml:space="preserve">BCR — BLACKCAT ROBOTICS</w:t>
            </w:r>
          </w:p>
          <w:p>
            <w:pPr>
              <w:spacing w:after="80"/>
            </w:pPr>
            <w:r>
              <w:rPr>
                <w:rFonts w:ascii="Georgia" w:cs="Georgia" w:eastAsia="Georgia" w:hAnsi="Georgia"/>
                <w:color w:val="FFFFFF"/>
                <w:sz w:val="64"/>
                <w:szCs w:val="64"/>
              </w:rPr>
              <w:t xml:space="preserve">Partnership Inquiry</w:t>
            </w:r>
          </w:p>
          <w:p>
            <w:pPr>
              <w:spacing w:after="0"/>
            </w:pPr>
            <w:r>
              <w:rPr>
                <w:rFonts w:ascii="Calibri" w:cs="Calibri" w:eastAsia="Calibri" w:hAnsi="Calibri"/>
                <w:color w:val="AAAAAA"/>
                <w:sz w:val="22"/>
                <w:szCs w:val="22"/>
              </w:rPr>
              <w:t xml:space="preserve">Equinix × BlackCat Robotics — Data Center Physical Intelligence</w:t>
            </w:r>
          </w:p>
        </w:tc>
      </w:tr>
    </w:tbl>
    <w:p>
      <w:pPr>
        <w:spacing w:after="240"/>
      </w:pPr>
      <w:r>
        <w:t xml:space="preserve"/>
      </w:r>
    </w:p>
    <w:p>
      <w:pPr>
        <w:spacing w:after="200"/>
      </w:pPr>
      <w:r>
        <w:rPr>
          <w:rFonts w:ascii="Courier New" w:cs="Courier New" w:eastAsia="Courier New" w:hAnsi="Courier New"/>
          <w:color w:val="8888A0"/>
          <w:sz w:val="18"/>
          <w:szCs w:val="18"/>
        </w:rPr>
        <w:t xml:space="preserve">March 29, 2026</w:t>
      </w:r>
      <w:r>
        <w:rPr>
          <w:rFonts w:ascii="Courier New" w:cs="Courier New" w:eastAsia="Courier New" w:hAnsi="Courier New"/>
          <w:color w:val="CCCCCC"/>
          <w:sz w:val="18"/>
          <w:szCs w:val="18"/>
        </w:rPr>
        <w:t xml:space="preserve">     |     </w:t>
      </w:r>
      <w:r>
        <w:rPr>
          <w:rFonts w:ascii="Courier New" w:cs="Courier New" w:eastAsia="Courier New" w:hAnsi="Courier New"/>
          <w:caps/>
          <w:color w:val="8888A0"/>
          <w:spacing w:val="60"/>
          <w:sz w:val="18"/>
          <w:szCs w:val="18"/>
        </w:rPr>
        <w:t xml:space="preserve">REF: BCR-EQX-2026-001</w:t>
      </w:r>
    </w:p>
    <w:p>
      <w:pPr>
        <w:spacing w:after="160"/>
      </w:pPr>
      <w:r>
        <w:rPr>
          <w:rFonts w:ascii="Calibri" w:cs="Calibri" w:eastAsia="Calibri" w:hAnsi="Calibri"/>
          <w:color w:val="0A0A0F"/>
          <w:sz w:val="24"/>
          <w:szCs w:val="24"/>
        </w:rPr>
        <w:t xml:space="preserve">To the Global Partnerships Team,</w:t>
      </w:r>
    </w:p>
    <w:p>
      <w:pPr>
        <w:spacing w:after="160"/>
      </w:pPr>
      <w:r>
        <w:rPr>
          <w:rFonts w:ascii="Calibri" w:cs="Calibri" w:eastAsia="Calibri" w:hAnsi="Calibri"/>
          <w:color w:val="0A0A0F"/>
          <w:sz w:val="24"/>
          <w:szCs w:val="24"/>
        </w:rPr>
        <w:t xml:space="preserve">Equinix, Inc.</w:t>
      </w:r>
    </w:p>
    <w:p>
      <w:pPr>
        <w:spacing w:after="160"/>
      </w:pPr>
      <w:r>
        <w:rPr>
          <w:rFonts w:ascii="Calibri" w:cs="Calibri" w:eastAsia="Calibri" w:hAnsi="Calibri"/>
          <w:color w:val="8888A0"/>
          <w:sz w:val="24"/>
          <w:szCs w:val="24"/>
        </w:rPr>
        <w:t xml:space="preserve">One Lagoon Drive, Redwood City, CA 94065</w:t>
      </w:r>
    </w:p>
    <w:p>
      <w:pPr>
        <w:spacing w:after="160"/>
      </w:pPr>
      <w:r>
        <w:t xml:space="preserve"/>
      </w:r>
    </w:p>
    <w:p>
      <w:pPr>
        <w:pBdr>
          <w:bottom w:val="single" w:color="E84E1B" w:sz="6" w:space="1"/>
        </w:pBdr>
        <w:spacing w:after="200"/>
      </w:pPr>
      <w:r>
        <w:t xml:space="preserve"/>
      </w:r>
    </w:p>
    <w:p>
      <w:pPr>
        <w:spacing w:after="80"/>
      </w:pPr>
      <w:r>
        <w:rPr>
          <w:rFonts w:ascii="Courier New" w:cs="Courier New" w:eastAsia="Courier New" w:hAnsi="Courier New"/>
          <w:caps/>
          <w:color w:val="E84E1B"/>
          <w:spacing w:val="120"/>
          <w:sz w:val="16"/>
          <w:szCs w:val="16"/>
        </w:rPr>
        <w:t xml:space="preserve">Letter of Intent — Strategic Infrastructure Partnership</w:t>
      </w:r>
    </w:p>
    <w:p>
      <w:pPr>
        <w:spacing w:after="120"/>
      </w:pPr>
      <w:r>
        <w:rPr>
          <w:rFonts w:ascii="Georgia" w:cs="Georgia" w:eastAsia="Georgia" w:hAnsi="Georgia"/>
          <w:color w:val="0A0A0F"/>
          <w:sz w:val="56"/>
          <w:szCs w:val="56"/>
        </w:rPr>
        <w:t xml:space="preserve">The physical layer
of your data centers
runs on robots.</w:t>
      </w:r>
    </w:p>
    <w:p>
      <w:pPr>
        <w:spacing w:after="80"/>
      </w:pPr>
      <w:r>
        <w:t xml:space="preserve"/>
      </w:r>
    </w:p>
    <w:p>
      <w:pPr>
        <w:spacing w:after="160"/>
      </w:pPr>
      <w:r>
        <w:rPr>
          <w:rFonts w:ascii="Calibri" w:cs="Calibri" w:eastAsia="Calibri" w:hAnsi="Calibri"/>
          <w:color w:val="3A3A45"/>
          <w:sz w:val="24"/>
          <w:szCs w:val="24"/>
        </w:rPr>
        <w:t xml:space="preserve">My name is [Your Name], representing BlackCat Robotics — an AI orchestration company building the intelligence layer for autonomous systems in the physical world. We operate TechMedix, the world's first cross-platform predictive maintenance and fleet intelligence platform for robots, autonomous systems, and physical infrastructure.</w:t>
      </w:r>
    </w:p>
    <w:p>
      <w:pPr>
        <w:spacing w:after="160"/>
      </w:pPr>
      <w:r>
        <w:rPr>
          <w:rFonts w:ascii="Calibri" w:cs="Calibri" w:eastAsia="Calibri" w:hAnsi="Calibri"/>
          <w:color w:val="3A3A45"/>
          <w:sz w:val="24"/>
          <w:szCs w:val="24"/>
        </w:rPr>
        <w:t xml:space="preserve">We are writing today with a clear value proposition and a specific partnership structure that serves Equinix's operational goals and BlackCat's infrastructure needs — simultaneously.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4E1B" w:sz="4"/>
              <w:left w:val="none" w:color="FFFFFF" w:sz="0"/>
              <w:bottom w:val="none" w:color="FFFFFF" w:sz="0"/>
              <w:right w:val="none" w:color="FFFFFF" w:sz="0"/>
            </w:tcBorders>
            <w:shd w:fill="F5F4ED" w:val="clear"/>
            <w:tcMar>
              <w:top w:type="dxa" w:w="200"/>
              <w:left w:type="dxa" w:w="300"/>
              <w:bottom w:type="dxa" w:w="200"/>
              <w:right w:type="dxa" w:w="300"/>
            </w:tcMar>
          </w:tcPr>
          <w:p>
            <w:pPr>
              <w:spacing w:after="40"/>
            </w:pPr>
            <w:r>
              <w:rPr>
                <w:rFonts w:ascii="Georgia" w:cs="Georgia" w:eastAsia="Georgia" w:hAnsi="Georgia"/>
                <w:color w:val="E84E1B"/>
                <w:sz w:val="40"/>
                <w:szCs w:val="40"/>
              </w:rPr>
              <w:t xml:space="preserve">260+</w:t>
            </w:r>
          </w:p>
          <w:p>
            <w:r>
              <w:rPr>
                <w:rFonts w:ascii="Courier New" w:cs="Courier New" w:eastAsia="Courier New" w:hAnsi="Courier New"/>
                <w:caps/>
                <w:color w:val="8888A0"/>
                <w:spacing w:val="60"/>
                <w:sz w:val="16"/>
                <w:szCs w:val="16"/>
              </w:rPr>
              <w:t xml:space="preserve">Data Centers Globally</w:t>
            </w:r>
          </w:p>
        </w:tc>
        <w:tc>
          <w:tcPr>
            <w:tcW w:type="dxa" w:w="3120"/>
            <w:tcBorders>
              <w:top w:val="single" w:color="E84E1B" w:sz="4"/>
              <w:left w:val="none" w:color="FFFFFF" w:sz="0"/>
              <w:bottom w:val="none" w:color="FFFFFF" w:sz="0"/>
              <w:right w:val="none" w:color="FFFFFF" w:sz="0"/>
            </w:tcBorders>
            <w:shd w:fill="F5F4ED" w:val="clear"/>
            <w:tcMar>
              <w:top w:type="dxa" w:w="200"/>
              <w:left w:type="dxa" w:w="300"/>
              <w:bottom w:type="dxa" w:w="200"/>
              <w:right w:type="dxa" w:w="300"/>
            </w:tcMar>
          </w:tcPr>
          <w:p>
            <w:pPr>
              <w:spacing w:after="40"/>
            </w:pPr>
            <w:r>
              <w:rPr>
                <w:rFonts w:ascii="Georgia" w:cs="Georgia" w:eastAsia="Georgia" w:hAnsi="Georgia"/>
                <w:color w:val="E84E1B"/>
                <w:sz w:val="40"/>
                <w:szCs w:val="40"/>
              </w:rPr>
              <w:t xml:space="preserve">70</w:t>
            </w:r>
          </w:p>
          <w:p>
            <w:r>
              <w:rPr>
                <w:rFonts w:ascii="Courier New" w:cs="Courier New" w:eastAsia="Courier New" w:hAnsi="Courier New"/>
                <w:caps/>
                <w:color w:val="8888A0"/>
                <w:spacing w:val="60"/>
                <w:sz w:val="16"/>
                <w:szCs w:val="16"/>
              </w:rPr>
              <w:t xml:space="preserve">Countries</w:t>
            </w:r>
          </w:p>
        </w:tc>
        <w:tc>
          <w:tcPr>
            <w:tcW w:type="dxa" w:w="3120"/>
            <w:tcBorders>
              <w:top w:val="single" w:color="E84E1B" w:sz="4"/>
              <w:left w:val="none" w:color="FFFFFF" w:sz="0"/>
              <w:bottom w:val="none" w:color="FFFFFF" w:sz="0"/>
              <w:right w:val="none" w:color="FFFFFF" w:sz="0"/>
            </w:tcBorders>
            <w:shd w:fill="F5F4ED" w:val="clear"/>
            <w:tcMar>
              <w:top w:type="dxa" w:w="200"/>
              <w:left w:type="dxa" w:w="300"/>
              <w:bottom w:type="dxa" w:w="200"/>
              <w:right w:type="dxa" w:w="300"/>
            </w:tcMar>
          </w:tcPr>
          <w:p>
            <w:pPr>
              <w:spacing w:after="40"/>
            </w:pPr>
            <w:r>
              <w:rPr>
                <w:rFonts w:ascii="Georgia" w:cs="Georgia" w:eastAsia="Georgia" w:hAnsi="Georgia"/>
                <w:color w:val="E84E1B"/>
                <w:sz w:val="40"/>
                <w:szCs w:val="40"/>
              </w:rPr>
              <w:t xml:space="preserve">50%+</w:t>
            </w:r>
          </w:p>
          <w:p>
            <w:r>
              <w:rPr>
                <w:rFonts w:ascii="Courier New" w:cs="Courier New" w:eastAsia="Courier New" w:hAnsi="Courier New"/>
                <w:caps/>
                <w:color w:val="8888A0"/>
                <w:spacing w:val="60"/>
                <w:sz w:val="16"/>
                <w:szCs w:val="16"/>
              </w:rPr>
              <w:t xml:space="preserve">Fortune 500 Customers</w:t>
            </w:r>
          </w:p>
        </w:tc>
      </w:tr>
    </w:tbl>
    <w:p>
      <w:pPr>
        <w:spacing w:after="240"/>
      </w:pPr>
      <w:r>
        <w:t xml:space="preserve"/>
      </w:r>
    </w:p>
    <w:p>
      <w:pPr>
        <w:spacing w:before="300" w:after="100"/>
      </w:pPr>
      <w:r>
        <w:rPr>
          <w:rFonts w:ascii="Georgia" w:cs="Georgia" w:eastAsia="Georgia" w:hAnsi="Georgia"/>
          <w:color w:val="0A0A0F"/>
          <w:sz w:val="36"/>
          <w:szCs w:val="36"/>
        </w:rPr>
        <w:t xml:space="preserve">Why Equinix.</w:t>
      </w:r>
    </w:p>
    <w:p>
      <w:pPr>
        <w:pBdr>
          <w:bottom w:val="single" w:color="E84E1B" w:sz="6" w:space="1"/>
        </w:pBdr>
        <w:spacing w:after="200"/>
      </w:pPr>
      <w:r>
        <w:t xml:space="preserve"/>
      </w:r>
    </w:p>
    <w:p>
      <w:pPr>
        <w:spacing w:after="160"/>
      </w:pPr>
      <w:r>
        <w:rPr>
          <w:rFonts w:ascii="Calibri" w:cs="Calibri" w:eastAsia="Calibri" w:hAnsi="Calibri"/>
          <w:color w:val="3A3A45"/>
          <w:sz w:val="24"/>
          <w:szCs w:val="24"/>
        </w:rPr>
        <w:t xml:space="preserve">Equinix operates 260+ data centers across 70 countries — the physical infrastructure backbone of the global internet. Inside those facilities are autonomous cleaning robots, security rovers, inventory AMRs, inspection drones, and increasingly, humanoid robots. Every one of those systems needs maintenance, monitoring, and predictive diagnostics.</w:t>
      </w:r>
    </w:p>
    <w:p>
      <w:pPr>
        <w:spacing w:after="160"/>
      </w:pPr>
      <w:r>
        <w:rPr>
          <w:rFonts w:ascii="Calibri" w:cs="Calibri" w:eastAsia="Calibri" w:hAnsi="Calibri"/>
          <w:color w:val="3A3A45"/>
          <w:sz w:val="24"/>
          <w:szCs w:val="24"/>
        </w:rPr>
        <w:t xml:space="preserve">That is the exact problem BlackCat Robotics was built to solve. TechMedix monitors 14+ robot platforms with AI-driven failure prediction — flagging issues 48 hours before they cause downtime. We already support the platforms most likely deployed or being evaluated inside Equinix facilities: Boston Dynamics Spot, Knightscope security rovers, and autonomous AMR fleets.</w:t>
      </w:r>
    </w:p>
    <w:p>
      <w:pPr>
        <w:spacing w:after="160"/>
      </w:pPr>
      <w:r>
        <w:rPr>
          <w:rFonts w:ascii="Calibri" w:cs="Calibri" w:eastAsia="Calibri" w:hAnsi="Calibri"/>
          <w:color w:val="3A3A45"/>
          <w:sz w:val="24"/>
          <w:szCs w:val="24"/>
        </w:rPr>
        <w:t xml:space="preserve">The broader opportunity is larger than robot maintenance. BlackCat OS — our AI orchestration layer — is designed to connect physical infrastructure intelligence across an entire facility: robot fleets, cooling systems, UPS battery health, generator maintenance scheduling, and predictive physical plant operations. Equinix does not have a single vendor offering this at the orchestration layer. We are building it.</w:t>
      </w:r>
    </w:p>
    <w:p>
      <w:pPr>
        <w:spacing w:after="160"/>
      </w:pPr>
      <w:r>
        <w:t xml:space="preserve"/>
      </w:r>
    </w:p>
    <w:p>
      <w:pPr>
        <w:spacing w:before="300" w:after="100"/>
      </w:pPr>
      <w:r>
        <w:rPr>
          <w:rFonts w:ascii="Georgia" w:cs="Georgia" w:eastAsia="Georgia" w:hAnsi="Georgia"/>
          <w:color w:val="0A0A0F"/>
          <w:sz w:val="36"/>
          <w:szCs w:val="36"/>
        </w:rPr>
        <w:t xml:space="preserve">What We're Proposing.</w:t>
      </w:r>
    </w:p>
    <w:p>
      <w:pPr>
        <w:pBdr>
          <w:bottom w:val="single" w:color="E84E1B" w:sz="6" w:space="1"/>
        </w:pBdr>
        <w:spacing w:after="200"/>
      </w:pPr>
      <w:r>
        <w:t xml:space="preserve"/>
      </w:r>
    </w:p>
    <w:p>
      <w:pPr>
        <w:spacing w:after="160"/>
      </w:pPr>
      <w:r>
        <w:rPr>
          <w:rFonts w:ascii="Calibri" w:cs="Calibri" w:eastAsia="Calibri" w:hAnsi="Calibri"/>
          <w:color w:val="3A3A45"/>
          <w:sz w:val="24"/>
          <w:szCs w:val="24"/>
        </w:rPr>
        <w:t xml:space="preserve">We are proposing a structured partnership with two clear components that create immediate value for both organizations:</w:t>
      </w:r>
    </w:p>
    <w:p>
      <w:pPr>
        <w:spacing w:after="80"/>
      </w:pPr>
      <w:r>
        <w:t xml:space="preserve"/>
      </w:r>
    </w:p>
    <w:p>
      <w:pPr>
        <w:spacing w:after="80"/>
      </w:pPr>
      <w:r>
        <w:rPr>
          <w:rFonts w:ascii="Courier New" w:cs="Courier New" w:eastAsia="Courier New" w:hAnsi="Courier New"/>
          <w:caps/>
          <w:color w:val="E84E1B"/>
          <w:spacing w:val="120"/>
          <w:sz w:val="16"/>
          <w:szCs w:val="16"/>
        </w:rPr>
        <w:t xml:space="preserve">Component 1 — TechMedix Pilot for Equinix Robot Fleets</w:t>
      </w:r>
    </w:p>
    <w:p>
      <w:pPr>
        <w:pStyle w:val="ListParagraph"/>
        <w:numPr>
          <w:ilvl w:val="0"/>
          <w:numId w:val="2"/>
        </w:numPr>
        <w:spacing w:after="100"/>
      </w:pPr>
      <w:r>
        <w:rPr>
          <w:rFonts w:ascii="Calibri" w:cs="Calibri" w:eastAsia="Calibri" w:hAnsi="Calibri"/>
          <w:color w:val="3A3A45"/>
          <w:sz w:val="24"/>
          <w:szCs w:val="24"/>
        </w:rPr>
        <w:t xml:space="preserve">90-day paid pilot: TechMedix monitors all autonomous systems inside 2–3 Equinix facilities</w:t>
      </w:r>
    </w:p>
    <w:p>
      <w:pPr>
        <w:pStyle w:val="ListParagraph"/>
        <w:numPr>
          <w:ilvl w:val="0"/>
          <w:numId w:val="2"/>
        </w:numPr>
        <w:spacing w:after="100"/>
      </w:pPr>
      <w:r>
        <w:rPr>
          <w:rFonts w:ascii="Calibri" w:cs="Calibri" w:eastAsia="Calibri" w:hAnsi="Calibri"/>
          <w:color w:val="3A3A45"/>
          <w:sz w:val="24"/>
          <w:szCs w:val="24"/>
        </w:rPr>
        <w:t xml:space="preserve">Deliverable: real-time predictive maintenance dashboard, 48hr failure prediction alerts, automated technician dispatch for flagged units</w:t>
      </w:r>
    </w:p>
    <w:p>
      <w:pPr>
        <w:pStyle w:val="ListParagraph"/>
        <w:numPr>
          <w:ilvl w:val="0"/>
          <w:numId w:val="2"/>
        </w:numPr>
        <w:spacing w:after="100"/>
      </w:pPr>
      <w:r>
        <w:rPr>
          <w:rFonts w:ascii="Calibri" w:cs="Calibri" w:eastAsia="Calibri" w:hAnsi="Calibri"/>
          <w:color w:val="3A3A45"/>
          <w:sz w:val="24"/>
          <w:szCs w:val="24"/>
        </w:rPr>
        <w:t xml:space="preserve">Platforms covered: any robot currently deployed — Spot, AMRs, cleaning robots, security rovers</w:t>
      </w:r>
    </w:p>
    <w:p>
      <w:pPr>
        <w:pStyle w:val="ListParagraph"/>
        <w:numPr>
          <w:ilvl w:val="0"/>
          <w:numId w:val="2"/>
        </w:numPr>
        <w:spacing w:after="100"/>
      </w:pPr>
      <w:r>
        <w:rPr>
          <w:rFonts w:ascii="Calibri" w:cs="Calibri" w:eastAsia="Calibri" w:hAnsi="Calibri"/>
          <w:color w:val="3A3A45"/>
          <w:sz w:val="24"/>
          <w:szCs w:val="24"/>
        </w:rPr>
        <w:t xml:space="preserve">Outcome target: measurable reduction in unplanned robot downtime within 60 days</w:t>
      </w:r>
    </w:p>
    <w:p>
      <w:pPr>
        <w:spacing w:after="160"/>
      </w:pPr>
      <w:r>
        <w:t xml:space="preserve"/>
      </w:r>
    </w:p>
    <w:p>
      <w:pPr>
        <w:spacing w:after="80"/>
      </w:pPr>
      <w:r>
        <w:rPr>
          <w:rFonts w:ascii="Courier New" w:cs="Courier New" w:eastAsia="Courier New" w:hAnsi="Courier New"/>
          <w:caps/>
          <w:color w:val="E84E1B"/>
          <w:spacing w:val="120"/>
          <w:sz w:val="16"/>
          <w:szCs w:val="16"/>
        </w:rPr>
        <w:t xml:space="preserve">Component 2 — Colocation Credits in Exchange for Monitoring Services</w:t>
      </w:r>
    </w:p>
    <w:p>
      <w:pPr>
        <w:pStyle w:val="ListParagraph"/>
        <w:numPr>
          <w:ilvl w:val="0"/>
          <w:numId w:val="2"/>
        </w:numPr>
        <w:spacing w:after="100"/>
      </w:pPr>
      <w:r>
        <w:rPr>
          <w:rFonts w:ascii="Calibri" w:cs="Calibri" w:eastAsia="Calibri" w:hAnsi="Calibri"/>
          <w:color w:val="3A3A45"/>
          <w:sz w:val="24"/>
          <w:szCs w:val="24"/>
        </w:rPr>
        <w:t xml:space="preserve">BlackCat Robotics requires GPU compute infrastructure to run TechMedix AI inference at scale</w:t>
      </w:r>
    </w:p>
    <w:p>
      <w:pPr>
        <w:pStyle w:val="ListParagraph"/>
        <w:numPr>
          <w:ilvl w:val="0"/>
          <w:numId w:val="2"/>
        </w:numPr>
        <w:spacing w:after="100"/>
      </w:pPr>
      <w:r>
        <w:rPr>
          <w:rFonts w:ascii="Calibri" w:cs="Calibri" w:eastAsia="Calibri" w:hAnsi="Calibri"/>
          <w:color w:val="3A3A45"/>
          <w:sz w:val="24"/>
          <w:szCs w:val="24"/>
        </w:rPr>
        <w:t xml:space="preserve">We currently pay per-call to third-party AI providers — a cost that grows linearly with fleet size</w:t>
      </w:r>
    </w:p>
    <w:p>
      <w:pPr>
        <w:pStyle w:val="ListParagraph"/>
        <w:numPr>
          <w:ilvl w:val="0"/>
          <w:numId w:val="2"/>
        </w:numPr>
        <w:spacing w:after="100"/>
      </w:pPr>
      <w:r>
        <w:rPr>
          <w:rFonts w:ascii="Calibri" w:cs="Calibri" w:eastAsia="Calibri" w:hAnsi="Calibri"/>
          <w:color w:val="3A3A45"/>
          <w:sz w:val="24"/>
          <w:szCs w:val="24"/>
        </w:rPr>
        <w:t xml:space="preserve">We propose: Equinix provides colocation rack space and power at preferential rates in exchange for TechMedix monitoring of Equinix's own robot fleet</w:t>
      </w:r>
    </w:p>
    <w:p>
      <w:pPr>
        <w:pStyle w:val="ListParagraph"/>
        <w:numPr>
          <w:ilvl w:val="0"/>
          <w:numId w:val="2"/>
        </w:numPr>
        <w:spacing w:after="100"/>
      </w:pPr>
      <w:r>
        <w:rPr>
          <w:rFonts w:ascii="Calibri" w:cs="Calibri" w:eastAsia="Calibri" w:hAnsi="Calibri"/>
          <w:color w:val="3A3A45"/>
          <w:sz w:val="24"/>
          <w:szCs w:val="24"/>
        </w:rPr>
        <w:t xml:space="preserve">BCR installs dedicated inference hardware (NVIDIA GPU nodes) — reducing AI costs to near zero</w:t>
      </w:r>
    </w:p>
    <w:p>
      <w:pPr>
        <w:pStyle w:val="ListParagraph"/>
        <w:numPr>
          <w:ilvl w:val="0"/>
          <w:numId w:val="2"/>
        </w:numPr>
        <w:spacing w:after="100"/>
      </w:pPr>
      <w:r>
        <w:rPr>
          <w:rFonts w:ascii="Calibri" w:cs="Calibri" w:eastAsia="Calibri" w:hAnsi="Calibri"/>
          <w:color w:val="3A3A45"/>
          <w:sz w:val="24"/>
          <w:szCs w:val="24"/>
        </w:rPr>
        <w:t xml:space="preserve">This creates a direct financial incentive for both sides: Equinix gets better robot uptime, BCR gets infrastructure cost reduction</w:t>
      </w:r>
    </w:p>
    <w:p>
      <w:pPr>
        <w:spacing w:after="160"/>
      </w:pPr>
      <w:r>
        <w:t xml:space="preserve"/>
      </w:r>
    </w:p>
    <w:p>
      <w:pPr>
        <w:spacing w:before="300" w:after="100"/>
      </w:pPr>
      <w:r>
        <w:rPr>
          <w:rFonts w:ascii="Georgia" w:cs="Georgia" w:eastAsia="Georgia" w:hAnsi="Georgia"/>
          <w:color w:val="0A0A0F"/>
          <w:sz w:val="36"/>
          <w:szCs w:val="36"/>
        </w:rPr>
        <w:t xml:space="preserve">What We Bring.</w:t>
      </w:r>
    </w:p>
    <w:p>
      <w:pPr>
        <w:pBdr>
          <w:bottom w:val="single" w:color="E84E1B" w:sz="6" w:space="1"/>
        </w:pBdr>
        <w:spacing w:after="200"/>
      </w:pPr>
      <w:r>
        <w:t xml:space="preserve"/>
      </w:r>
    </w:p>
    <w:p>
      <w:pPr>
        <w:pStyle w:val="ListParagraph"/>
        <w:numPr>
          <w:ilvl w:val="0"/>
          <w:numId w:val="2"/>
        </w:numPr>
        <w:spacing w:after="100"/>
      </w:pPr>
      <w:r>
        <w:rPr>
          <w:rFonts w:ascii="Calibri" w:cs="Calibri" w:eastAsia="Calibri" w:hAnsi="Calibri"/>
          <w:color w:val="3A3A45"/>
          <w:sz w:val="24"/>
          <w:szCs w:val="24"/>
        </w:rPr>
        <w:t xml:space="preserve">TechMedix AI diagnostic platform — live at dashboard.blackcatrobotics.com</w:t>
      </w:r>
    </w:p>
    <w:p>
      <w:pPr>
        <w:pStyle w:val="ListParagraph"/>
        <w:numPr>
          <w:ilvl w:val="0"/>
          <w:numId w:val="2"/>
        </w:numPr>
        <w:spacing w:after="100"/>
      </w:pPr>
      <w:r>
        <w:rPr>
          <w:rFonts w:ascii="Calibri" w:cs="Calibri" w:eastAsia="Calibri" w:hAnsi="Calibri"/>
          <w:color w:val="3A3A45"/>
          <w:sz w:val="24"/>
          <w:szCs w:val="24"/>
        </w:rPr>
        <w:t xml:space="preserve">Three-layer diagnostic architecture: rule engine → VLA behavioral AI → Claude AI deep analysis</w:t>
      </w:r>
    </w:p>
    <w:p>
      <w:pPr>
        <w:pStyle w:val="ListParagraph"/>
        <w:numPr>
          <w:ilvl w:val="0"/>
          <w:numId w:val="2"/>
        </w:numPr>
        <w:spacing w:after="100"/>
      </w:pPr>
      <w:r>
        <w:rPr>
          <w:rFonts w:ascii="Calibri" w:cs="Calibri" w:eastAsia="Calibri" w:hAnsi="Calibri"/>
          <w:color w:val="3A3A45"/>
          <w:sz w:val="24"/>
          <w:szCs w:val="24"/>
        </w:rPr>
        <w:t xml:space="preserve">14+ robot platforms supported with real telemetry schema from Unitree's open-source VLA model</w:t>
      </w:r>
    </w:p>
    <w:p>
      <w:pPr>
        <w:pStyle w:val="ListParagraph"/>
        <w:numPr>
          <w:ilvl w:val="0"/>
          <w:numId w:val="2"/>
        </w:numPr>
        <w:spacing w:after="100"/>
      </w:pPr>
      <w:r>
        <w:rPr>
          <w:rFonts w:ascii="Calibri" w:cs="Calibri" w:eastAsia="Calibri" w:hAnsi="Calibri"/>
          <w:color w:val="3A3A45"/>
          <w:sz w:val="24"/>
          <w:szCs w:val="24"/>
        </w:rPr>
        <w:t xml:space="preserve">Technician dispatch network — certified field techs dispatched within 2hr average ETA</w:t>
      </w:r>
    </w:p>
    <w:p>
      <w:pPr>
        <w:pStyle w:val="ListParagraph"/>
        <w:numPr>
          <w:ilvl w:val="0"/>
          <w:numId w:val="2"/>
        </w:numPr>
        <w:spacing w:after="100"/>
      </w:pPr>
      <w:r>
        <w:rPr>
          <w:rFonts w:ascii="Calibri" w:cs="Calibri" w:eastAsia="Calibri" w:hAnsi="Calibri"/>
          <w:color w:val="3A3A45"/>
          <w:sz w:val="24"/>
          <w:szCs w:val="24"/>
        </w:rPr>
        <w:t xml:space="preserve">BlackCat OS — the orchestration layer that extends from robot maintenance to full physical plant intelligence</w:t>
      </w:r>
    </w:p>
    <w:p>
      <w:pPr>
        <w:pStyle w:val="ListParagraph"/>
        <w:numPr>
          <w:ilvl w:val="0"/>
          <w:numId w:val="2"/>
        </w:numPr>
        <w:spacing w:after="100"/>
      </w:pPr>
      <w:r>
        <w:rPr>
          <w:rFonts w:ascii="Calibri" w:cs="Calibri" w:eastAsia="Calibri" w:hAnsi="Calibri"/>
          <w:color w:val="3A3A45"/>
          <w:sz w:val="24"/>
          <w:szCs w:val="24"/>
        </w:rPr>
        <w:t xml:space="preserve">HABITAT division — autonomous construction platform, demonstrating BCR's physical world execution capability</w:t>
      </w:r>
    </w:p>
    <w:p>
      <w:pPr>
        <w:spacing w:after="160"/>
      </w:pPr>
      <w:r>
        <w:t xml:space="preserve"/>
      </w:r>
    </w:p>
    <w:p>
      <w:pPr>
        <w:spacing w:before="300" w:after="100"/>
      </w:pPr>
      <w:r>
        <w:rPr>
          <w:rFonts w:ascii="Georgia" w:cs="Georgia" w:eastAsia="Georgia" w:hAnsi="Georgia"/>
          <w:color w:val="0A0A0F"/>
          <w:sz w:val="36"/>
          <w:szCs w:val="36"/>
        </w:rPr>
        <w:t xml:space="preserve">The Bigger Picture.</w:t>
      </w:r>
    </w:p>
    <w:p>
      <w:pPr>
        <w:pBdr>
          <w:bottom w:val="single" w:color="E84E1B" w:sz="6" w:space="1"/>
        </w:pBdr>
        <w:spacing w:after="200"/>
      </w:pPr>
      <w:r>
        <w:t xml:space="preserve"/>
      </w:r>
    </w:p>
    <w:p>
      <w:pPr>
        <w:spacing w:after="160"/>
      </w:pPr>
      <w:r>
        <w:rPr>
          <w:rFonts w:ascii="Calibri" w:cs="Calibri" w:eastAsia="Calibri" w:hAnsi="Calibri"/>
          <w:color w:val="3A3A45"/>
          <w:sz w:val="24"/>
          <w:szCs w:val="24"/>
        </w:rPr>
        <w:t xml:space="preserve">Data centers are becoming increasingly autonomous. The facilities that win the next decade will be the ones where physical operations — robot fleets, cooling, power, security — are managed by AI orchestration, not by human operators running disconnected systems.</w:t>
      </w:r>
    </w:p>
    <w:p>
      <w:pPr>
        <w:spacing w:after="160"/>
      </w:pPr>
      <w:r>
        <w:rPr>
          <w:rFonts w:ascii="Calibri" w:cs="Calibri" w:eastAsia="Calibri" w:hAnsi="Calibri"/>
          <w:color w:val="3A3A45"/>
          <w:sz w:val="24"/>
          <w:szCs w:val="24"/>
        </w:rPr>
        <w:t xml:space="preserve">BlackCat OS is built to be that orchestration layer. A partnership with Equinix positions both companies at the front of this transition: Equinix as the infrastructure provider, BlackCat as the physical intelligence layer running on top of it.</w:t>
      </w:r>
    </w:p>
    <w:p>
      <w:pPr>
        <w:spacing w:after="160"/>
      </w:pPr>
      <w:r>
        <w:rPr>
          <w:rFonts w:ascii="Calibri" w:cs="Calibri" w:eastAsia="Calibri" w:hAnsi="Calibri"/>
          <w:color w:val="3A3A45"/>
          <w:sz w:val="24"/>
          <w:szCs w:val="24"/>
        </w:rPr>
        <w:t xml:space="preserve">From your data centers → to autonomous construction (HABITAT) → to humanoid robot fleets (TechMedix) → to micromobility infrastructure (BCR Grid): BlackCat connects every layer of the physical world into a single orchestration system. Equinix is the natural home for the compute that runs it.</w:t>
      </w:r>
    </w:p>
    <w:p>
      <w:pPr>
        <w:spacing w:after="160"/>
      </w:pPr>
      <w:r>
        <w:t xml:space="preserve"/>
      </w:r>
    </w:p>
    <w:p>
      <w:pPr>
        <w:spacing w:before="300" w:after="100"/>
      </w:pPr>
      <w:r>
        <w:rPr>
          <w:rFonts w:ascii="Georgia" w:cs="Georgia" w:eastAsia="Georgia" w:hAnsi="Georgia"/>
          <w:color w:val="0A0A0F"/>
          <w:sz w:val="36"/>
          <w:szCs w:val="36"/>
        </w:rPr>
        <w:t xml:space="preserve">Our Ask.</w:t>
      </w:r>
    </w:p>
    <w:p>
      <w:pPr>
        <w:pBdr>
          <w:bottom w:val="single" w:color="E84E1B" w:sz="6" w:space="1"/>
        </w:pBdr>
        <w:spacing w:after="200"/>
      </w:pPr>
      <w:r>
        <w:t xml:space="preserve"/>
      </w:r>
    </w:p>
    <w:p>
      <w:pPr>
        <w:spacing w:after="160"/>
      </w:pPr>
      <w:r>
        <w:rPr>
          <w:rFonts w:ascii="Calibri" w:cs="Calibri" w:eastAsia="Calibri" w:hAnsi="Calibri"/>
          <w:color w:val="3A3A45"/>
          <w:sz w:val="24"/>
          <w:szCs w:val="24"/>
        </w:rPr>
        <w:t xml:space="preserve">We are requesting a 30-minute introductory call with your partnerships or facility operations team to discuss a pilot structure. We can have TechMedix connected to your first facility's robot fleet in under 4 hours from agreement.</w:t>
      </w:r>
    </w:p>
    <w:p>
      <w:pPr>
        <w:spacing w:after="160"/>
      </w:pPr>
      <w:r>
        <w:rPr>
          <w:rFonts w:ascii="Calibri" w:cs="Calibri" w:eastAsia="Calibri" w:hAnsi="Calibri"/>
          <w:color w:val="3A3A45"/>
          <w:sz w:val="24"/>
          <w:szCs w:val="24"/>
        </w:rPr>
        <w:t xml:space="preserve">We move fast. The pilot pays for itself if we prevent one unplanned robot failure in the first 30 days.</w:t>
      </w:r>
    </w:p>
    <w:p>
      <w:pPr>
        <w:spacing w:after="240"/>
      </w:pPr>
      <w:r>
        <w:t xml:space="preserve"/>
      </w:r>
    </w:p>
    <w:p>
      <w:pPr>
        <w:pBdr>
          <w:bottom w:val="single" w:color="E84E1B"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E1B" w:sz="6"/>
              <w:left w:val="none" w:color="FFFFFF" w:sz="0"/>
              <w:bottom w:val="none" w:color="FFFFFF" w:sz="0"/>
              <w:right w:val="none" w:color="FFFFFF" w:sz="0"/>
            </w:tcBorders>
            <w:shd w:fill="F5F4ED" w:val="clear"/>
            <w:tcMar>
              <w:top w:type="dxa" w:w="360"/>
              <w:left w:type="dxa" w:w="480"/>
              <w:bottom w:type="dxa" w:w="360"/>
              <w:right w:type="dxa" w:w="480"/>
            </w:tcMar>
          </w:tcPr>
          <w:p>
            <w:pPr>
              <w:spacing w:after="160"/>
            </w:pPr>
            <w:r>
              <w:rPr>
                <w:rFonts w:ascii="Courier New" w:cs="Courier New" w:eastAsia="Courier New" w:hAnsi="Courier New"/>
                <w:caps/>
                <w:color w:val="E84E1B"/>
                <w:spacing w:val="120"/>
                <w:sz w:val="15"/>
                <w:szCs w:val="15"/>
              </w:rPr>
              <w:t xml:space="preserve">CONTACT — BLACKCAT ROBOTICS</w:t>
            </w:r>
          </w:p>
          <w:p>
            <w:pPr>
              <w:spacing w:after="100"/>
            </w:pPr>
            <w:r>
              <w:rPr>
                <w:rFonts w:ascii="Courier New" w:cs="Courier New" w:eastAsia="Courier New" w:hAnsi="Courier New"/>
                <w:caps/>
                <w:color w:val="8888A0"/>
                <w:sz w:val="18"/>
                <w:szCs w:val="18"/>
              </w:rPr>
              <w:t xml:space="preserve">Phone    </w:t>
            </w:r>
            <w:r>
              <w:rPr>
                <w:rFonts w:ascii="Calibri" w:cs="Calibri" w:eastAsia="Calibri" w:hAnsi="Calibri"/>
                <w:b/>
                <w:bCs/>
                <w:color w:val="0A0A0F"/>
                <w:sz w:val="24"/>
                <w:szCs w:val="24"/>
              </w:rPr>
              <w:t xml:space="preserve">(346) 256-5851</w:t>
            </w:r>
          </w:p>
          <w:p>
            <w:pPr>
              <w:spacing w:after="100"/>
            </w:pPr>
            <w:r>
              <w:rPr>
                <w:rFonts w:ascii="Courier New" w:cs="Courier New" w:eastAsia="Courier New" w:hAnsi="Courier New"/>
                <w:caps/>
                <w:color w:val="8888A0"/>
                <w:sz w:val="18"/>
                <w:szCs w:val="18"/>
              </w:rPr>
              <w:t xml:space="preserve">Email    </w:t>
            </w:r>
            <w:r>
              <w:rPr>
                <w:rFonts w:ascii="Calibri" w:cs="Calibri" w:eastAsia="Calibri" w:hAnsi="Calibri"/>
                <w:b/>
                <w:bCs/>
                <w:color w:val="E84E1B"/>
                <w:sz w:val="24"/>
                <w:szCs w:val="24"/>
              </w:rPr>
              <w:t xml:space="preserve">blackcatrobotics.ai@gmail.com</w:t>
            </w:r>
          </w:p>
          <w:p>
            <w:pPr>
              <w:spacing w:after="0"/>
            </w:pPr>
            <w:r>
              <w:rPr>
                <w:rFonts w:ascii="Courier New" w:cs="Courier New" w:eastAsia="Courier New" w:hAnsi="Courier New"/>
                <w:caps/>
                <w:color w:val="8888A0"/>
                <w:sz w:val="18"/>
                <w:szCs w:val="18"/>
              </w:rPr>
              <w:t xml:space="preserve">Web      </w:t>
            </w:r>
            <w:r>
              <w:rPr>
                <w:rFonts w:ascii="Calibri" w:cs="Calibri" w:eastAsia="Calibri" w:hAnsi="Calibri"/>
                <w:b/>
                <w:bCs/>
                <w:color w:val="E84E1B"/>
                <w:sz w:val="24"/>
                <w:szCs w:val="24"/>
              </w:rPr>
              <w:t xml:space="preserve">blackcatrobotics.com  ·  dashboard.blackcatrobotics.com</w:t>
            </w:r>
          </w:p>
        </w:tc>
      </w:tr>
    </w:tbl>
    <w:p>
      <w:pPr>
        <w:spacing w:after="320"/>
      </w:pPr>
      <w:r>
        <w:t xml:space="preserve"/>
      </w:r>
    </w:p>
    <w:p>
      <w:pPr>
        <w:spacing w:after="160"/>
      </w:pPr>
      <w:r>
        <w:rPr>
          <w:rFonts w:ascii="Calibri" w:cs="Calibri" w:eastAsia="Calibri" w:hAnsi="Calibri"/>
          <w:color w:val="0A0A0F"/>
          <w:sz w:val="24"/>
          <w:szCs w:val="24"/>
        </w:rPr>
        <w:t xml:space="preserve">With respect for what Equinix has built — and a clear vision for what we build together —</w:t>
      </w:r>
    </w:p>
    <w:p>
      <w:pPr>
        <w:spacing w:after="400"/>
      </w:pPr>
      <w:r>
        <w:t xml:space="preserve"/>
      </w:r>
    </w:p>
    <w:p>
      <w:pPr>
        <w:spacing w:after="60"/>
      </w:pPr>
      <w:r>
        <w:rPr>
          <w:rFonts w:ascii="Georgia" w:cs="Georgia" w:eastAsia="Georgia" w:hAnsi="Georgia"/>
          <w:color w:val="0A0A0F"/>
          <w:sz w:val="40"/>
          <w:szCs w:val="40"/>
        </w:rPr>
        <w:t xml:space="preserve">BlackCat Robotics</w:t>
      </w:r>
    </w:p>
    <w:p>
      <w:pPr>
        <w:spacing w:after="60"/>
      </w:pPr>
      <w:r>
        <w:rPr>
          <w:rFonts w:ascii="Courier New" w:cs="Courier New" w:eastAsia="Courier New" w:hAnsi="Courier New"/>
          <w:color w:val="8888A0"/>
          <w:spacing w:val="60"/>
          <w:sz w:val="16"/>
          <w:szCs w:val="16"/>
        </w:rPr>
        <w:t xml:space="preserve">AI Orchestration for the Physical World  ·  TechMedix Platform  ·  BlackCat OS</w:t>
      </w:r>
    </w:p>
    <w:p>
      <w:r>
        <w:rPr>
          <w:rFonts w:ascii="Courier New" w:cs="Courier New" w:eastAsia="Courier New" w:hAnsi="Courier New"/>
          <w:color w:val="E84E1B"/>
          <w:sz w:val="16"/>
          <w:szCs w:val="16"/>
        </w:rPr>
        <w:t xml:space="preserve">blackcatrobotics.com</w:t>
      </w:r>
    </w:p>
    <w:p>
      <w:pPr>
        <w:spacing w:after="160"/>
      </w:pPr>
      <w:r>
        <w:t xml:space="preserve"/>
      </w:r>
    </w:p>
    <w:p>
      <w:pPr>
        <w:pBdr>
          <w:bottom w:val="single" w:color="E84E1B" w:sz="6" w:space="1"/>
        </w:pBdr>
        <w:spacing w:after="200"/>
      </w:pPr>
      <w:r>
        <w:t xml:space="preserve"/>
      </w:r>
    </w:p>
    <w:sectPr>
      <w:pgSz w:w="12240" w:h="15840" w:orient="portrait"/>
      <w:pgMar w:top="10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2026-03-29T22:46:35.047Z</dcterms:created>
  <dcterms:modified xsi:type="dcterms:W3CDTF">2026-03-29T22:46:35.048Z</dcterms:modified>
</cp:coreProperties>
</file>

<file path=docProps/custom.xml><?xml version="1.0" encoding="utf-8"?>
<Properties xmlns="http://schemas.openxmlformats.org/officeDocument/2006/custom-properties" xmlns:vt="http://schemas.openxmlformats.org/officeDocument/2006/docPropsVTypes"/>
</file>