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440"/>
              <w:left w:type="dxa" w:w="600"/>
              <w:bottom w:type="dxa" w:w="440"/>
              <w:right w:type="dxa" w:w="600"/>
            </w:tcMar>
          </w:tcPr>
          <w:p>
            <w:pPr>
              <w:spacing w:after="80"/>
            </w:pPr>
            <w:r>
              <w:rPr>
                <w:rFonts w:ascii="Courier New" w:cs="Courier New" w:eastAsia="Courier New" w:hAnsi="Courier New"/>
                <w:caps/>
                <w:color w:val="E84E1B"/>
                <w:spacing w:val="140"/>
                <w:sz w:val="15"/>
                <w:szCs w:val="15"/>
              </w:rPr>
              <w:t xml:space="preserve">BLACKCAT ROBOTICS — FIELD OPERATIONS</w:t>
            </w:r>
          </w:p>
          <w:p>
            <w:pPr>
              <w:spacing w:after="80"/>
            </w:pPr>
            <w:r>
              <w:rPr>
                <w:rFonts w:ascii="Georgia" w:cs="Georgia" w:eastAsia="Georgia" w:hAnsi="Georgia"/>
                <w:color w:val="FFFFFF"/>
                <w:sz w:val="72"/>
                <w:szCs w:val="72"/>
              </w:rPr>
              <w:t xml:space="preserve">Certified Field Technician Program</w:t>
            </w:r>
          </w:p>
          <w:p>
            <w:pPr>
              <w:spacing w:after="0"/>
            </w:pPr>
            <w:r>
              <w:rPr>
                <w:rFonts w:ascii="Calibri" w:cs="Calibri" w:eastAsia="Calibri" w:hAnsi="Calibri"/>
                <w:color w:val="AAAAAA"/>
                <w:sz w:val="22"/>
                <w:szCs w:val="22"/>
              </w:rPr>
              <w:t xml:space="preserve">eBike · Scooter · Micromobility Fleet Services</w:t>
            </w:r>
          </w:p>
        </w:tc>
      </w:tr>
    </w:tbl>
    <w:p>
      <w:pPr>
        <w:spacing w:after="240"/>
      </w:pPr>
      <w:r>
        <w:t xml:space="preserve"/>
      </w:r>
    </w:p>
    <w:p>
      <w:pPr>
        <w:spacing w:after="240"/>
      </w:pPr>
      <w:r>
        <w:rPr>
          <w:rFonts w:ascii="Courier New" w:cs="Courier New" w:eastAsia="Courier New" w:hAnsi="Courier New"/>
          <w:color w:val="8888A0"/>
          <w:spacing w:val="60"/>
          <w:sz w:val="16"/>
          <w:szCs w:val="16"/>
        </w:rPr>
        <w:t xml:space="preserve">Issued: March 2026  ·  Version 1.0  ·  BCR-CERT-EBIKE-001</w:t>
      </w:r>
    </w:p>
    <w:p>
      <w:pPr>
        <w:pBdr>
          <w:bottom w:val="single" w:color="E84E1B" w:sz="6" w:space="1"/>
        </w:pBdr>
        <w:spacing w:after="200"/>
      </w:pPr>
      <w:r>
        <w:t xml:space="preserve"/>
      </w:r>
    </w:p>
    <w:p>
      <w:pPr>
        <w:spacing w:after="80"/>
      </w:pPr>
      <w:r>
        <w:rPr>
          <w:rFonts w:ascii="Courier New" w:cs="Courier New" w:eastAsia="Courier New" w:hAnsi="Courier New"/>
          <w:caps/>
          <w:color w:val="E84E1B"/>
          <w:spacing w:val="120"/>
          <w:sz w:val="16"/>
          <w:szCs w:val="16"/>
        </w:rPr>
        <w:t xml:space="preserve">Program Overview</w:t>
      </w:r>
    </w:p>
    <w:p>
      <w:pPr>
        <w:spacing w:after="120"/>
      </w:pPr>
      <w:r>
        <w:rPr>
          <w:rFonts w:ascii="Georgia" w:cs="Georgia" w:eastAsia="Georgia" w:hAnsi="Georgia"/>
          <w:color w:val="0A0A0F"/>
          <w:sz w:val="64"/>
          <w:szCs w:val="64"/>
        </w:rPr>
        <w:t xml:space="preserve">Field Tech
Certification</w:t>
      </w:r>
    </w:p>
    <w:p>
      <w:pPr>
        <w:spacing w:after="120"/>
      </w:pPr>
      <w:r>
        <w:rPr>
          <w:rFonts w:ascii="Calibri" w:cs="Calibri" w:eastAsia="Calibri" w:hAnsi="Calibri"/>
          <w:color w:val="3A3A45"/>
          <w:sz w:val="22"/>
          <w:szCs w:val="22"/>
        </w:rPr>
        <w:t xml:space="preserve">The BCR Field Technician Certification qualifies technicians to inspect, diagnose, and service eBike, scooter, and micromobility platforms monitored by TechMedix. Certified techs are eligible for dispatch through the BlackCat technician marketplace and carry BCR-authorized service credentials.</w:t>
      </w:r>
    </w:p>
    <w:p>
      <w:pPr>
        <w:spacing w:after="120"/>
      </w:pPr>
      <w:r>
        <w:rPr>
          <w:rFonts w:ascii="Calibri" w:cs="Calibri" w:eastAsia="Calibri" w:hAnsi="Calibri"/>
          <w:color w:val="3A3A45"/>
          <w:sz w:val="22"/>
          <w:szCs w:val="22"/>
        </w:rPr>
        <w:t xml:space="preserve">This document covers: required toolkit, failure signatures, maintenance intervals, platform-specific protocols, and certification requirements for all three active micromobility platforms — Lime Gen 4, Bird Three, and RadCommercial.</w:t>
      </w:r>
    </w:p>
    <w:p>
      <w:pPr>
        <w:spacing w:after="160"/>
      </w:pPr>
      <w:r>
        <w:t xml:space="preserve"/>
      </w:r>
    </w:p>
    <w:p>
      <w:pPr>
        <w:pBdr>
          <w:bottom w:val="single" w:color="E84E1B" w:sz="6" w:space="1"/>
        </w:pBdr>
        <w:spacing w:after="200"/>
      </w:pPr>
      <w:r>
        <w:t xml:space="preserve"/>
      </w:r>
    </w:p>
    <w:p>
      <w:pPr>
        <w:spacing w:before="320" w:after="100"/>
      </w:pPr>
      <w:r>
        <w:rPr>
          <w:rFonts w:ascii="Georgia" w:cs="Georgia" w:eastAsia="Georgia" w:hAnsi="Georgia"/>
          <w:color w:val="0A0A0F"/>
          <w:sz w:val="40"/>
          <w:szCs w:val="40"/>
        </w:rPr>
        <w:t xml:space="preserve">Section 1 — Required Field Toolkit</w:t>
      </w:r>
    </w:p>
    <w:p>
      <w:pPr>
        <w:spacing w:after="120"/>
      </w:pPr>
      <w:r>
        <w:rPr>
          <w:rFonts w:ascii="Calibri" w:cs="Calibri" w:eastAsia="Calibri" w:hAnsi="Calibri"/>
          <w:color w:val="3A3A45"/>
          <w:sz w:val="22"/>
          <w:szCs w:val="22"/>
        </w:rPr>
        <w:t xml:space="preserve">Every BCR-certified eBike/Scooter technician must carry the complete toolkit below. Items marked with an asterisk are mandatory before dispatch eligibility. Total kit cost: ~$650.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00"/>
        <w:gridCol w:w="3660"/>
      </w:tblGrid>
      <w:tr>
        <w:tc>
          <w:tcPr>
            <w:tcW w:type="dxa" w:w="28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Tool</w:t>
            </w:r>
          </w:p>
        </w:tc>
        <w:tc>
          <w:tcPr>
            <w:tcW w:type="dxa" w:w="14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Cost</w:t>
            </w:r>
          </w:p>
        </w:tc>
        <w:tc>
          <w:tcPr>
            <w:tcW w:type="dxa" w:w="15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Category</w:t>
            </w:r>
          </w:p>
        </w:tc>
        <w:tc>
          <w:tcPr>
            <w:tcW w:type="dxa" w:w="366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Purpose</w:t>
            </w:r>
          </w:p>
        </w:tc>
      </w:tr>
      <w:tr>
        <w:tc>
          <w:tcPr>
            <w:tcW w:type="dxa" w:w="28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b/>
                <w:bCs/>
                <w:color w:val="0A0A0F"/>
                <w:sz w:val="20"/>
                <w:szCs w:val="20"/>
              </w:rPr>
              <w:t xml:space="preserve">SkyRC MC3000 Analyzer</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$80</w:t>
            </w:r>
          </w:p>
        </w:tc>
        <w:tc>
          <w:tcPr>
            <w:tcW w:type="dxa" w:w="15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aps/>
                <w:color w:val="8888A0"/>
                <w:sz w:val="16"/>
                <w:szCs w:val="16"/>
              </w:rPr>
              <w:t xml:space="preserve">Battery</w:t>
            </w:r>
          </w:p>
        </w:tc>
        <w:tc>
          <w:tcPr>
            <w:tcW w:type="dxa" w:w="36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Cell-level capacity, voltage drift, cycle count per cell</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b/>
                <w:bCs/>
                <w:color w:val="0A0A0F"/>
                <w:sz w:val="20"/>
                <w:szCs w:val="20"/>
              </w:rPr>
              <w:t xml:space="preserve">Fluke 376 Clamp Meter</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$300</w:t>
            </w:r>
          </w:p>
        </w:tc>
        <w:tc>
          <w:tcPr>
            <w:tcW w:type="dxa" w:w="15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aps/>
                <w:color w:val="8888A0"/>
                <w:sz w:val="16"/>
                <w:szCs w:val="16"/>
              </w:rPr>
              <w:t xml:space="preserve">Electrical</w:t>
            </w:r>
          </w:p>
        </w:tc>
        <w:tc>
          <w:tcPr>
            <w:tcW w:type="dxa" w:w="36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Hub motor current draw vs load signature, ESC health</w:t>
            </w:r>
          </w:p>
        </w:tc>
      </w:tr>
      <w:tr>
        <w:tc>
          <w:tcPr>
            <w:tcW w:type="dxa" w:w="28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b w:val="false"/>
                <w:bCs w:val="false"/>
                <w:color w:val="0A0A0F"/>
                <w:sz w:val="20"/>
                <w:szCs w:val="20"/>
              </w:rPr>
              <w:t xml:space="preserve">ADXL345 + RPi Zero Kit</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3A3A45"/>
                <w:sz w:val="18"/>
                <w:szCs w:val="18"/>
              </w:rPr>
              <w:t xml:space="preserve">$40</w:t>
            </w:r>
          </w:p>
        </w:tc>
        <w:tc>
          <w:tcPr>
            <w:tcW w:type="dxa" w:w="15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aps/>
                <w:color w:val="8888A0"/>
                <w:sz w:val="16"/>
                <w:szCs w:val="16"/>
              </w:rPr>
              <w:t xml:space="preserve">Vibration</w:t>
            </w:r>
          </w:p>
        </w:tc>
        <w:tc>
          <w:tcPr>
            <w:tcW w:type="dxa" w:w="36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Bearing wear FFT analysis, motor vibration signature</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b/>
                <w:bCs/>
                <w:color w:val="0A0A0F"/>
                <w:sz w:val="20"/>
                <w:szCs w:val="20"/>
              </w:rPr>
              <w:t xml:space="preserve">Torque Wrench Set 2-25Nm</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$120</w:t>
            </w:r>
          </w:p>
        </w:tc>
        <w:tc>
          <w:tcPr>
            <w:tcW w:type="dxa" w:w="15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aps/>
                <w:color w:val="8888A0"/>
                <w:sz w:val="16"/>
                <w:szCs w:val="16"/>
              </w:rPr>
              <w:t xml:space="preserve">Mechanical</w:t>
            </w:r>
          </w:p>
        </w:tc>
        <w:tc>
          <w:tcPr>
            <w:tcW w:type="dxa" w:w="36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Stem fold torque, fork bolts, wheel axle, handlebar clamp</w:t>
            </w:r>
          </w:p>
        </w:tc>
      </w:tr>
      <w:tr>
        <w:tc>
          <w:tcPr>
            <w:tcW w:type="dxa" w:w="28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b/>
                <w:bCs/>
                <w:color w:val="0A0A0F"/>
                <w:sz w:val="20"/>
                <w:szCs w:val="20"/>
              </w:rPr>
              <w:t xml:space="preserve">Digital Pressure Gauge</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$20</w:t>
            </w:r>
          </w:p>
        </w:tc>
        <w:tc>
          <w:tcPr>
            <w:tcW w:type="dxa" w:w="15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aps/>
                <w:color w:val="8888A0"/>
                <w:sz w:val="16"/>
                <w:szCs w:val="16"/>
              </w:rPr>
              <w:t xml:space="preserve">Tires</w:t>
            </w:r>
          </w:p>
        </w:tc>
        <w:tc>
          <w:tcPr>
            <w:tcW w:type="dxa" w:w="36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Tire pressure trending, pneumatic seal integrity</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b w:val="false"/>
                <w:bCs w:val="false"/>
                <w:color w:val="0A0A0F"/>
                <w:sz w:val="20"/>
                <w:szCs w:val="20"/>
              </w:rPr>
              <w:t xml:space="preserve">Wheel Truing Stand</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3A3A45"/>
                <w:sz w:val="18"/>
                <w:szCs w:val="18"/>
              </w:rPr>
              <w:t xml:space="preserve">$60</w:t>
            </w:r>
          </w:p>
        </w:tc>
        <w:tc>
          <w:tcPr>
            <w:tcW w:type="dxa" w:w="15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aps/>
                <w:color w:val="8888A0"/>
                <w:sz w:val="16"/>
                <w:szCs w:val="16"/>
              </w:rPr>
              <w:t xml:space="preserve">Mechanical</w:t>
            </w:r>
          </w:p>
        </w:tc>
        <w:tc>
          <w:tcPr>
            <w:tcW w:type="dxa" w:w="36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Rim wobble detection, spoke tension, lateral runout</w:t>
            </w:r>
          </w:p>
        </w:tc>
      </w:tr>
      <w:tr>
        <w:tc>
          <w:tcPr>
            <w:tcW w:type="dxa" w:w="28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b w:val="false"/>
                <w:bCs w:val="false"/>
                <w:color w:val="0A0A0F"/>
                <w:sz w:val="20"/>
                <w:szCs w:val="20"/>
              </w:rPr>
              <w:t xml:space="preserve">Dye Penetrant Kit</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3A3A45"/>
                <w:sz w:val="18"/>
                <w:szCs w:val="18"/>
              </w:rPr>
              <w:t xml:space="preserve">$30</w:t>
            </w:r>
          </w:p>
        </w:tc>
        <w:tc>
          <w:tcPr>
            <w:tcW w:type="dxa" w:w="15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aps/>
                <w:color w:val="8888A0"/>
                <w:sz w:val="16"/>
                <w:szCs w:val="16"/>
              </w:rPr>
              <w:t xml:space="preserve">Structural</w:t>
            </w:r>
          </w:p>
        </w:tc>
        <w:tc>
          <w:tcPr>
            <w:tcW w:type="dxa" w:w="36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Frame crack detection at stem, fork crown, weld joints</w:t>
            </w:r>
          </w:p>
        </w:tc>
      </w:tr>
      <w:tr>
        <w:tc>
          <w:tcPr>
            <w:tcW w:type="dxa" w:w="28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b/>
                <w:bCs/>
                <w:color w:val="0A0A0F"/>
                <w:sz w:val="20"/>
                <w:szCs w:val="20"/>
              </w:rPr>
              <w:t xml:space="preserve">Laptop + OEM SDK Access</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varies</w:t>
            </w:r>
          </w:p>
        </w:tc>
        <w:tc>
          <w:tcPr>
            <w:tcW w:type="dxa" w:w="15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aps/>
                <w:color w:val="8888A0"/>
                <w:sz w:val="16"/>
                <w:szCs w:val="16"/>
              </w:rPr>
              <w:t xml:space="preserve">Software</w:t>
            </w:r>
          </w:p>
        </w:tc>
        <w:tc>
          <w:tcPr>
            <w:tcW w:type="dxa" w:w="36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Fault code read, firmware version, OTA status, geofence check</w:t>
            </w:r>
          </w:p>
        </w:tc>
      </w:tr>
      <w:tr>
        <w:tc>
          <w:tcPr>
            <w:tcW w:type="dxa" w:w="28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b/>
                <w:bCs/>
                <w:color w:val="0A0A0F"/>
                <w:sz w:val="20"/>
                <w:szCs w:val="20"/>
              </w:rPr>
              <w:t xml:space="preserve">TOTAL</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~$650</w:t>
            </w:r>
          </w:p>
        </w:tc>
        <w:tc>
          <w:tcPr>
            <w:tcW w:type="dxa" w:w="15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aps/>
                <w:color w:val="8888A0"/>
                <w:sz w:val="16"/>
                <w:szCs w:val="16"/>
              </w:rPr>
              <w:t xml:space="preserve"/>
            </w:r>
          </w:p>
        </w:tc>
        <w:tc>
          <w:tcPr>
            <w:tcW w:type="dxa" w:w="36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Complete BCR-certified field kit</w:t>
            </w:r>
          </w:p>
        </w:tc>
      </w:tr>
    </w:tbl>
    <w:p>
      <w:pPr>
        <w:spacing w:after="160"/>
      </w:pPr>
      <w:r>
        <w:t xml:space="preserve"/>
      </w:r>
    </w:p>
    <w:p>
      <w:pPr>
        <w:spacing w:after="120"/>
      </w:pPr>
      <w:r>
        <w:rPr>
          <w:rFonts w:ascii="Calibri" w:cs="Calibri" w:eastAsia="Calibri" w:hAnsi="Calibri"/>
          <w:color w:val="0A0A0F"/>
          <w:sz w:val="22"/>
          <w:szCs w:val="22"/>
        </w:rPr>
        <w:t xml:space="preserve">SDK access requirements by platform:</w:t>
      </w:r>
    </w:p>
    <w:p>
      <w:pPr>
        <w:pStyle w:val="ListParagraph"/>
        <w:numPr>
          <w:ilvl w:val="0"/>
          <w:numId w:val="2"/>
        </w:numPr>
        <w:spacing w:after="80"/>
      </w:pPr>
      <w:r>
        <w:rPr>
          <w:rFonts w:ascii="Calibri" w:cs="Calibri" w:eastAsia="Calibri" w:hAnsi="Calibri"/>
          <w:color w:val="3A3A45"/>
          <w:sz w:val="22"/>
          <w:szCs w:val="22"/>
        </w:rPr>
        <w:t xml:space="preserve">Lime Gen 4 — Lime DASH operator portal (requires fleet operator agreement)</w:t>
      </w:r>
    </w:p>
    <w:p>
      <w:pPr>
        <w:pStyle w:val="ListParagraph"/>
        <w:numPr>
          <w:ilvl w:val="0"/>
          <w:numId w:val="2"/>
        </w:numPr>
        <w:spacing w:after="80"/>
      </w:pPr>
      <w:r>
        <w:rPr>
          <w:rFonts w:ascii="Calibri" w:cs="Calibri" w:eastAsia="Calibri" w:hAnsi="Calibri"/>
          <w:color w:val="3A3A45"/>
          <w:sz w:val="22"/>
          <w:szCs w:val="22"/>
        </w:rPr>
        <w:t xml:space="preserve">Bird Three — Bird Ops Console (requires fleet operator agreement)</w:t>
      </w:r>
    </w:p>
    <w:p>
      <w:pPr>
        <w:pStyle w:val="ListParagraph"/>
        <w:numPr>
          <w:ilvl w:val="0"/>
          <w:numId w:val="2"/>
        </w:numPr>
        <w:spacing w:after="80"/>
      </w:pPr>
      <w:r>
        <w:rPr>
          <w:rFonts w:ascii="Calibri" w:cs="Calibri" w:eastAsia="Calibri" w:hAnsi="Calibri"/>
          <w:color w:val="3A3A45"/>
          <w:sz w:val="22"/>
          <w:szCs w:val="22"/>
        </w:rPr>
        <w:t xml:space="preserve">RadCommercial — Rad Power Bikes Fleet API (open registration)</w:t>
      </w:r>
    </w:p>
    <w:p>
      <w:pPr>
        <w:pStyle w:val="ListParagraph"/>
        <w:numPr>
          <w:ilvl w:val="0"/>
          <w:numId w:val="2"/>
        </w:numPr>
        <w:spacing w:after="80"/>
      </w:pPr>
      <w:r>
        <w:rPr>
          <w:rFonts w:ascii="Calibri" w:cs="Calibri" w:eastAsia="Calibri" w:hAnsi="Calibri"/>
          <w:color w:val="3A3A45"/>
          <w:sz w:val="22"/>
          <w:szCs w:val="22"/>
        </w:rPr>
        <w:t xml:space="preserve">Independent fleets — contact BCR for platform-specific onboarding</w:t>
      </w:r>
    </w:p>
    <w:p>
      <w:pPr>
        <w:spacing w:after="160"/>
      </w:pPr>
      <w:r>
        <w:t xml:space="preserve"/>
      </w:r>
    </w:p>
    <w:p>
      <w:pPr>
        <w:pBdr>
          <w:bottom w:val="single" w:color="E84E1B" w:sz="6" w:space="1"/>
        </w:pBdr>
        <w:spacing w:after="200"/>
      </w:pPr>
      <w:r>
        <w:t xml:space="preserve"/>
      </w:r>
    </w:p>
    <w:p>
      <w:pPr>
        <w:spacing w:before="320" w:after="100"/>
      </w:pPr>
      <w:r>
        <w:rPr>
          <w:rFonts w:ascii="Georgia" w:cs="Georgia" w:eastAsia="Georgia" w:hAnsi="Georgia"/>
          <w:color w:val="0A0A0F"/>
          <w:sz w:val="40"/>
          <w:szCs w:val="40"/>
        </w:rPr>
        <w:t xml:space="preserve">Section 2 — TechMedix Failure Signatures</w:t>
      </w:r>
    </w:p>
    <w:p>
      <w:pPr>
        <w:spacing w:after="120"/>
      </w:pPr>
      <w:r>
        <w:rPr>
          <w:rFonts w:ascii="Calibri" w:cs="Calibri" w:eastAsia="Calibri" w:hAnsi="Calibri"/>
          <w:color w:val="3A3A45"/>
          <w:sz w:val="22"/>
          <w:szCs w:val="22"/>
        </w:rPr>
        <w:t xml:space="preserve">The following failure signatures are configured in TechMedix for all three micromobility platforms. When a signature triggers, TechMedix alerts the operator and — if severity is CRITICAL — auto-queues a BCR tech dispatch.</w:t>
      </w:r>
    </w:p>
    <w:p>
      <w:pPr>
        <w:spacing w:after="120"/>
      </w:pPr>
      <w:r>
        <w:t xml:space="preserve"/>
      </w:r>
    </w:p>
    <w:p>
      <w:pPr>
        <w:spacing w:after="80"/>
      </w:pPr>
      <w:r>
        <w:rPr>
          <w:rFonts w:ascii="Courier New" w:cs="Courier New" w:eastAsia="Courier New" w:hAnsi="Courier New"/>
          <w:caps/>
          <w:color w:val="E84E1B"/>
          <w:spacing w:val="120"/>
          <w:sz w:val="16"/>
          <w:szCs w:val="16"/>
        </w:rPr>
        <w:t xml:space="preserve">All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c>
          <w:tcPr>
            <w:tcW w:type="dxa" w:w="24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Signal ID</w:t>
            </w:r>
          </w:p>
        </w:tc>
        <w:tc>
          <w:tcPr>
            <w:tcW w:type="dxa" w:w="20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Threshold</w:t>
            </w:r>
          </w:p>
        </w:tc>
        <w:tc>
          <w:tcPr>
            <w:tcW w:type="dxa" w:w="14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Severity</w:t>
            </w:r>
          </w:p>
        </w:tc>
        <w:tc>
          <w:tcPr>
            <w:tcW w:type="dxa" w:w="356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Action</w:t>
            </w:r>
          </w:p>
        </w:tc>
      </w:tr>
      <w:tr>
        <w:tc>
          <w:tcPr>
            <w:tcW w:type="dxa" w:w="2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battery-cell-drift</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±50mV cell delta</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b/>
                <w:bCs/>
                <w:caps/>
                <w:color w:val="E67E22"/>
                <w:sz w:val="16"/>
                <w:szCs w:val="16"/>
              </w:rPr>
              <w:t xml:space="preserve">WARNING</w:t>
            </w:r>
          </w:p>
        </w:tc>
        <w:tc>
          <w:tcPr>
            <w:tcW w:type="dxa" w:w="3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Schedule battery swap within 14 days. Log cycle count.</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battery-thermal</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&gt;45°C at rest</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b/>
                <w:bCs/>
                <w:caps/>
                <w:color w:val="C0392B"/>
                <w:sz w:val="16"/>
                <w:szCs w:val="16"/>
              </w:rPr>
              <w:t xml:space="preserve">CRITICAL</w:t>
            </w:r>
          </w:p>
        </w:tc>
        <w:tc>
          <w:tcPr>
            <w:tcW w:type="dxa" w:w="3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Pull from service immediately. Thermal runaway risk.</w:t>
            </w:r>
          </w:p>
        </w:tc>
      </w:tr>
      <w:tr>
        <w:tc>
          <w:tcPr>
            <w:tcW w:type="dxa" w:w="2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battery-degraded</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&lt;70% original capacity</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b/>
                <w:bCs/>
                <w:caps/>
                <w:color w:val="E67E22"/>
                <w:sz w:val="16"/>
                <w:szCs w:val="16"/>
              </w:rPr>
              <w:t xml:space="preserve">WARNING</w:t>
            </w:r>
          </w:p>
        </w:tc>
        <w:tc>
          <w:tcPr>
            <w:tcW w:type="dxa" w:w="3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Flag for replacement on next scheduled service.</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hub-motor-bearing</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Vibration &gt;0.8g RMS</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b/>
                <w:bCs/>
                <w:caps/>
                <w:color w:val="E67E22"/>
                <w:sz w:val="16"/>
                <w:szCs w:val="16"/>
              </w:rPr>
              <w:t xml:space="preserve">WARNING</w:t>
            </w:r>
          </w:p>
        </w:tc>
        <w:tc>
          <w:tcPr>
            <w:tcW w:type="dxa" w:w="3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Inspect bearing, schedule motor service within 7 days.</w:t>
            </w:r>
          </w:p>
        </w:tc>
      </w:tr>
      <w:tr>
        <w:tc>
          <w:tcPr>
            <w:tcW w:type="dxa" w:w="2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hub-motor-draw</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Current &gt;15% above base</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b/>
                <w:bCs/>
                <w:caps/>
                <w:color w:val="E67E22"/>
                <w:sz w:val="16"/>
                <w:szCs w:val="16"/>
              </w:rPr>
              <w:t xml:space="preserve">WARNING</w:t>
            </w:r>
          </w:p>
        </w:tc>
        <w:tc>
          <w:tcPr>
            <w:tcW w:type="dxa" w:w="3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Motor winding or controller fault. Bench test required.</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stem-fold-wear</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Torque &lt;8Nm</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b/>
                <w:bCs/>
                <w:caps/>
                <w:color w:val="C0392B"/>
                <w:sz w:val="16"/>
                <w:szCs w:val="16"/>
              </w:rPr>
              <w:t xml:space="preserve">CRITICAL</w:t>
            </w:r>
          </w:p>
        </w:tc>
        <w:tc>
          <w:tcPr>
            <w:tcW w:type="dxa" w:w="3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Ground unit. Stem failure is highest injury liability.</w:t>
            </w:r>
          </w:p>
        </w:tc>
      </w:tr>
      <w:tr>
        <w:tc>
          <w:tcPr>
            <w:tcW w:type="dxa" w:w="2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brake-pad-thin</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&lt;2mm estimated</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b/>
                <w:bCs/>
                <w:caps/>
                <w:color w:val="E67E22"/>
                <w:sz w:val="16"/>
                <w:szCs w:val="16"/>
              </w:rPr>
              <w:t xml:space="preserve">WARNING</w:t>
            </w:r>
          </w:p>
        </w:tc>
        <w:tc>
          <w:tcPr>
            <w:tcW w:type="dxa" w:w="3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Schedule brake service within 30 days or 500 rides.</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connectivity-loss</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&gt;15min offline</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b/>
                <w:bCs/>
                <w:caps/>
                <w:color w:val="2980B9"/>
                <w:sz w:val="16"/>
                <w:szCs w:val="16"/>
              </w:rPr>
              <w:t xml:space="preserve">INFO</w:t>
            </w:r>
          </w:p>
        </w:tc>
        <w:tc>
          <w:tcPr>
            <w:tcW w:type="dxa" w:w="3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Check cellular module, SIM, antenna connection.</w:t>
            </w:r>
          </w:p>
        </w:tc>
      </w:tr>
      <w:tr>
        <w:tc>
          <w:tcPr>
            <w:tcW w:type="dxa" w:w="2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tire-pressure-drop</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&gt;8 PSI/day loss</w:t>
            </w:r>
          </w:p>
        </w:tc>
        <w:tc>
          <w:tcPr>
            <w:tcW w:type="dxa" w:w="14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b/>
                <w:bCs/>
                <w:caps/>
                <w:color w:val="E67E22"/>
                <w:sz w:val="16"/>
                <w:szCs w:val="16"/>
              </w:rPr>
              <w:t xml:space="preserve">WARNING</w:t>
            </w:r>
          </w:p>
        </w:tc>
        <w:tc>
          <w:tcPr>
            <w:tcW w:type="dxa" w:w="3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Inspect for puncture, valve seal, rim tape integrity.</w:t>
            </w:r>
          </w:p>
        </w:tc>
      </w:tr>
      <w:tr>
        <w:tc>
          <w:tcPr>
            <w:tcW w:type="dxa" w:w="2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firmware-drift</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Version delta &gt;2 builds</w:t>
            </w:r>
          </w:p>
        </w:tc>
        <w:tc>
          <w:tcPr>
            <w:tcW w:type="dxa" w:w="14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b/>
                <w:bCs/>
                <w:caps/>
                <w:color w:val="2980B9"/>
                <w:sz w:val="16"/>
                <w:szCs w:val="16"/>
              </w:rPr>
              <w:t xml:space="preserve">INFO</w:t>
            </w:r>
          </w:p>
        </w:tc>
        <w:tc>
          <w:tcPr>
            <w:tcW w:type="dxa" w:w="3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Queue OTA update on next connection window.</w:t>
            </w:r>
          </w:p>
        </w:tc>
      </w:tr>
    </w:tbl>
    <w:p>
      <w:pPr>
        <w:spacing w:after="160"/>
      </w:pPr>
      <w:r>
        <w:t xml:space="preserve"/>
      </w:r>
    </w:p>
    <w:p>
      <w:pPr>
        <w:pBdr>
          <w:bottom w:val="single" w:color="E84E1B" w:sz="6" w:space="1"/>
        </w:pBdr>
        <w:spacing w:after="200"/>
      </w:pPr>
      <w:r>
        <w:t xml:space="preserve"/>
      </w:r>
    </w:p>
    <w:p>
      <w:pPr>
        <w:spacing w:before="320" w:after="100"/>
      </w:pPr>
      <w:r>
        <w:rPr>
          <w:rFonts w:ascii="Georgia" w:cs="Georgia" w:eastAsia="Georgia" w:hAnsi="Georgia"/>
          <w:color w:val="0A0A0F"/>
          <w:sz w:val="40"/>
          <w:szCs w:val="40"/>
        </w:rPr>
        <w:t xml:space="preserve">Section 3 — Maintenance Intervals</w:t>
      </w:r>
    </w:p>
    <w:p>
      <w:pPr>
        <w:spacing w:after="120"/>
      </w:pPr>
      <w:r>
        <w:rPr>
          <w:rFonts w:ascii="Calibri" w:cs="Calibri" w:eastAsia="Calibri" w:hAnsi="Calibri"/>
          <w:color w:val="3A3A45"/>
          <w:sz w:val="22"/>
          <w:szCs w:val="22"/>
        </w:rPr>
        <w:t xml:space="preserve">TechMedix tracks all intervals automatically per unit. Alerts fire when a unit approaches the threshold. BCR techs are dispatched when the operator approves the maintenance queue item.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2560"/>
      </w:tblGrid>
      <w:tr>
        <w:tc>
          <w:tcPr>
            <w:tcW w:type="dxa" w:w="32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Service Item</w:t>
            </w:r>
          </w:p>
        </w:tc>
        <w:tc>
          <w:tcPr>
            <w:tcW w:type="dxa" w:w="16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Interval</w:t>
            </w:r>
          </w:p>
        </w:tc>
        <w:tc>
          <w:tcPr>
            <w:tcW w:type="dxa" w:w="20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Platform</w:t>
            </w:r>
          </w:p>
        </w:tc>
        <w:tc>
          <w:tcPr>
            <w:tcW w:type="dxa" w:w="256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pacing w:val="60"/>
                <w:sz w:val="18"/>
                <w:szCs w:val="18"/>
              </w:rPr>
              <w:t xml:space="preserve">TechMedix Signal</w:t>
            </w:r>
          </w:p>
        </w:tc>
      </w:tr>
      <w:tr>
        <w:tc>
          <w:tcPr>
            <w:tcW w:type="dxa" w:w="32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Battery swap / capacity test</w:t>
            </w:r>
          </w:p>
        </w:tc>
        <w:tc>
          <w:tcPr>
            <w:tcW w:type="dxa" w:w="16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500 cycles or 6 months</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All</w:t>
            </w:r>
          </w:p>
        </w:tc>
        <w:tc>
          <w:tcPr>
            <w:tcW w:type="dxa" w:w="2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battery-degraded trigger</w:t>
            </w:r>
          </w:p>
        </w:tc>
      </w:tr>
      <w:tr>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Brake inspection + pad measure</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30 days or 500 rides</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All</w:t>
            </w:r>
          </w:p>
        </w:tc>
        <w:tc>
          <w:tcPr>
            <w:tcW w:type="dxa" w:w="2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brake-pad-thin trigger</w:t>
            </w:r>
          </w:p>
        </w:tc>
      </w:tr>
      <w:tr>
        <w:tc>
          <w:tcPr>
            <w:tcW w:type="dxa" w:w="32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Tire pressure check</w:t>
            </w:r>
          </w:p>
        </w:tc>
        <w:tc>
          <w:tcPr>
            <w:tcW w:type="dxa" w:w="16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14 days</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All</w:t>
            </w:r>
          </w:p>
        </w:tc>
        <w:tc>
          <w:tcPr>
            <w:tcW w:type="dxa" w:w="2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tire-pressure-drop trigger</w:t>
            </w:r>
          </w:p>
        </w:tc>
      </w:tr>
      <w:tr>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Stem fold torque check</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90 days</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Lime · Bird</w:t>
            </w:r>
          </w:p>
        </w:tc>
        <w:tc>
          <w:tcPr>
            <w:tcW w:type="dxa" w:w="2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stem-fold-wear trigger</w:t>
            </w:r>
          </w:p>
        </w:tc>
      </w:tr>
      <w:tr>
        <w:tc>
          <w:tcPr>
            <w:tcW w:type="dxa" w:w="32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Hub motor current baseline</w:t>
            </w:r>
          </w:p>
        </w:tc>
        <w:tc>
          <w:tcPr>
            <w:tcW w:type="dxa" w:w="16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1,000 rides</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All</w:t>
            </w:r>
          </w:p>
        </w:tc>
        <w:tc>
          <w:tcPr>
            <w:tcW w:type="dxa" w:w="2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hub-motor-draw trigger</w:t>
            </w:r>
          </w:p>
        </w:tc>
      </w:tr>
      <w:tr>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Bearing vibration scan</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6 months</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All</w:t>
            </w:r>
          </w:p>
        </w:tc>
        <w:tc>
          <w:tcPr>
            <w:tcW w:type="dxa" w:w="2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hub-motor-bearing trigger</w:t>
            </w:r>
          </w:p>
        </w:tc>
      </w:tr>
      <w:tr>
        <w:tc>
          <w:tcPr>
            <w:tcW w:type="dxa" w:w="32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Frame crack inspection</w:t>
            </w:r>
          </w:p>
        </w:tc>
        <w:tc>
          <w:tcPr>
            <w:tcW w:type="dxa" w:w="16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12 months or post-crash</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All</w:t>
            </w:r>
          </w:p>
        </w:tc>
        <w:tc>
          <w:tcPr>
            <w:tcW w:type="dxa" w:w="2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Visual + dye penetrant</w:t>
            </w:r>
          </w:p>
        </w:tc>
      </w:tr>
      <w:tr>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Firmware audit</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Monthly</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All</w:t>
            </w:r>
          </w:p>
        </w:tc>
        <w:tc>
          <w:tcPr>
            <w:tcW w:type="dxa" w:w="2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firmware-drift trigger</w:t>
            </w:r>
          </w:p>
        </w:tc>
      </w:tr>
      <w:tr>
        <w:tc>
          <w:tcPr>
            <w:tcW w:type="dxa" w:w="32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Full platform bench test</w:t>
            </w:r>
          </w:p>
        </w:tc>
        <w:tc>
          <w:tcPr>
            <w:tcW w:type="dxa" w:w="16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Annual</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All</w:t>
            </w:r>
          </w:p>
        </w:tc>
        <w:tc>
          <w:tcPr>
            <w:tcW w:type="dxa" w:w="25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Full TechMedix diagnostic run</w:t>
            </w:r>
          </w:p>
        </w:tc>
      </w:tr>
      <w:tr>
        <w:tc>
          <w:tcPr>
            <w:tcW w:type="dxa" w:w="32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Wheel truing</w:t>
            </w:r>
          </w:p>
        </w:tc>
        <w:tc>
          <w:tcPr>
            <w:tcW w:type="dxa" w:w="16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3 months or 300 rides</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All</w:t>
            </w:r>
          </w:p>
        </w:tc>
        <w:tc>
          <w:tcPr>
            <w:tcW w:type="dxa" w:w="25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Spoke tension, rim runout</w:t>
            </w:r>
          </w:p>
        </w:tc>
      </w:tr>
    </w:tbl>
    <w:p>
      <w:pPr>
        <w:spacing w:after="160"/>
      </w:pPr>
      <w:r>
        <w:t xml:space="preserve"/>
      </w:r>
    </w:p>
    <w:p>
      <w:pPr>
        <w:pBdr>
          <w:bottom w:val="single" w:color="E84E1B" w:sz="6" w:space="1"/>
        </w:pBdr>
        <w:spacing w:after="200"/>
      </w:pPr>
      <w:r>
        <w:t xml:space="preserve"/>
      </w:r>
    </w:p>
    <w:p>
      <w:pPr>
        <w:spacing w:before="320" w:after="100"/>
      </w:pPr>
      <w:r>
        <w:rPr>
          <w:rFonts w:ascii="Georgia" w:cs="Georgia" w:eastAsia="Georgia" w:hAnsi="Georgia"/>
          <w:color w:val="0A0A0F"/>
          <w:sz w:val="40"/>
          <w:szCs w:val="40"/>
        </w:rPr>
        <w:t xml:space="preserve">Section 4 — Platform-Specific Protocols</w:t>
      </w:r>
    </w:p>
    <w:p>
      <w:pPr>
        <w:spacing w:before="200" w:after="80"/>
      </w:pPr>
      <w:r>
        <w:rPr>
          <w:rFonts w:ascii="Calibri" w:cs="Calibri" w:eastAsia="Calibri" w:hAnsi="Calibri"/>
          <w:b/>
          <w:bCs/>
          <w:color w:val="0A0A0F"/>
          <w:sz w:val="26"/>
          <w:szCs w:val="26"/>
        </w:rPr>
        <w:t xml:space="preserve">Lime Gen 4 eBike</w:t>
      </w:r>
    </w:p>
    <w:p>
      <w:pPr>
        <w:pStyle w:val="ListParagraph"/>
        <w:numPr>
          <w:ilvl w:val="0"/>
          <w:numId w:val="2"/>
        </w:numPr>
        <w:spacing w:after="80"/>
      </w:pPr>
      <w:r>
        <w:rPr>
          <w:rFonts w:ascii="Calibri" w:cs="Calibri" w:eastAsia="Calibri" w:hAnsi="Calibri"/>
          <w:color w:val="3A3A45"/>
          <w:sz w:val="22"/>
          <w:szCs w:val="22"/>
        </w:rPr>
        <w:t xml:space="preserve">Battery: Swappable. Test removed batteries within 24hrs of swap using MC3000. Log SOH to TechMedix node record.</w:t>
      </w:r>
    </w:p>
    <w:p>
      <w:pPr>
        <w:pStyle w:val="ListParagraph"/>
        <w:numPr>
          <w:ilvl w:val="0"/>
          <w:numId w:val="2"/>
        </w:numPr>
        <w:spacing w:after="80"/>
      </w:pPr>
      <w:r>
        <w:rPr>
          <w:rFonts w:ascii="Calibri" w:cs="Calibri" w:eastAsia="Calibri" w:hAnsi="Calibri"/>
          <w:color w:val="3A3A45"/>
          <w:sz w:val="22"/>
          <w:szCs w:val="22"/>
        </w:rPr>
        <w:t xml:space="preserve">Motor: 250W rear hub. Baseline current draw at 15km/h flat surface = 4.2–5.8A. Flag if &gt;7A.</w:t>
      </w:r>
    </w:p>
    <w:p>
      <w:pPr>
        <w:pStyle w:val="ListParagraph"/>
        <w:numPr>
          <w:ilvl w:val="0"/>
          <w:numId w:val="2"/>
        </w:numPr>
        <w:spacing w:after="80"/>
      </w:pPr>
      <w:r>
        <w:rPr>
          <w:rFonts w:ascii="Calibri" w:cs="Calibri" w:eastAsia="Calibri" w:hAnsi="Calibri"/>
          <w:color w:val="3A3A45"/>
          <w:sz w:val="22"/>
          <w:szCs w:val="22"/>
        </w:rPr>
        <w:t xml:space="preserve">IoT: Lime uses proprietary cellular module. Connectivity loss &gt;15min triggers TechMedix alert. Check SIM tray and antenna before ordering replacement module.</w:t>
      </w:r>
    </w:p>
    <w:p>
      <w:pPr>
        <w:pStyle w:val="ListParagraph"/>
        <w:numPr>
          <w:ilvl w:val="0"/>
          <w:numId w:val="2"/>
        </w:numPr>
        <w:spacing w:after="80"/>
      </w:pPr>
      <w:r>
        <w:rPr>
          <w:rFonts w:ascii="Calibri" w:cs="Calibri" w:eastAsia="Calibri" w:hAnsi="Calibri"/>
          <w:color w:val="3A3A45"/>
          <w:sz w:val="22"/>
          <w:szCs w:val="22"/>
        </w:rPr>
        <w:t xml:space="preserve">Geofence: Verify active geofence zone in DASH portal after any firmware update. Miscalibrated geofence = regulatory violation.</w:t>
      </w:r>
    </w:p>
    <w:p>
      <w:pPr>
        <w:pStyle w:val="ListParagraph"/>
        <w:numPr>
          <w:ilvl w:val="0"/>
          <w:numId w:val="2"/>
        </w:numPr>
        <w:spacing w:after="80"/>
      </w:pPr>
      <w:r>
        <w:rPr>
          <w:rFonts w:ascii="Calibri" w:cs="Calibri" w:eastAsia="Calibri" w:hAnsi="Calibri"/>
          <w:color w:val="3A3A45"/>
          <w:sz w:val="22"/>
          <w:szCs w:val="22"/>
        </w:rPr>
        <w:t xml:space="preserve">Stem: 3-point folding stem with 10Nm spec. Inspect locking collar O-ring on every service visit.</w:t>
      </w:r>
    </w:p>
    <w:p>
      <w:pPr>
        <w:spacing w:after="120"/>
      </w:pPr>
      <w:r>
        <w:t xml:space="preserve"/>
      </w:r>
    </w:p>
    <w:p>
      <w:pPr>
        <w:spacing w:before="200" w:after="80"/>
      </w:pPr>
      <w:r>
        <w:rPr>
          <w:rFonts w:ascii="Calibri" w:cs="Calibri" w:eastAsia="Calibri" w:hAnsi="Calibri"/>
          <w:b/>
          <w:bCs/>
          <w:color w:val="0A0A0F"/>
          <w:sz w:val="26"/>
          <w:szCs w:val="26"/>
        </w:rPr>
        <w:t xml:space="preserve">Bird Three Scooter</w:t>
      </w:r>
    </w:p>
    <w:p>
      <w:pPr>
        <w:pStyle w:val="ListParagraph"/>
        <w:numPr>
          <w:ilvl w:val="0"/>
          <w:numId w:val="2"/>
        </w:numPr>
        <w:spacing w:after="80"/>
      </w:pPr>
      <w:r>
        <w:rPr>
          <w:rFonts w:ascii="Calibri" w:cs="Calibri" w:eastAsia="Calibri" w:hAnsi="Calibri"/>
          <w:color w:val="3A3A45"/>
          <w:sz w:val="22"/>
          <w:szCs w:val="22"/>
        </w:rPr>
        <w:t xml:space="preserve">Battery: Integrated 36V 10.5Ah pack. Non-swappable. Full charge cycle time 4–5hrs. Thermal cutoff at 60°C — check BMS fault register in Bird Ops Console.</w:t>
      </w:r>
    </w:p>
    <w:p>
      <w:pPr>
        <w:pStyle w:val="ListParagraph"/>
        <w:numPr>
          <w:ilvl w:val="0"/>
          <w:numId w:val="2"/>
        </w:numPr>
        <w:spacing w:after="80"/>
      </w:pPr>
      <w:r>
        <w:rPr>
          <w:rFonts w:ascii="Calibri" w:cs="Calibri" w:eastAsia="Calibri" w:hAnsi="Calibri"/>
          <w:color w:val="3A3A45"/>
          <w:sz w:val="22"/>
          <w:szCs w:val="22"/>
        </w:rPr>
        <w:t xml:space="preserve">Motor: 350W rear hub. Higher current draw than Lime — baseline 5.5–7A at 20km/h. Flag &gt;10A.</w:t>
      </w:r>
    </w:p>
    <w:p>
      <w:pPr>
        <w:pStyle w:val="ListParagraph"/>
        <w:numPr>
          <w:ilvl w:val="0"/>
          <w:numId w:val="2"/>
        </w:numPr>
        <w:spacing w:after="80"/>
      </w:pPr>
      <w:r>
        <w:rPr>
          <w:rFonts w:ascii="Calibri" w:cs="Calibri" w:eastAsia="Calibri" w:hAnsi="Calibri"/>
          <w:color w:val="3A3A45"/>
          <w:sz w:val="22"/>
          <w:szCs w:val="22"/>
        </w:rPr>
        <w:t xml:space="preserve">Deck: Bird Three deck has integrated alarm. Confirm alarm arm/disarm function on every service. False alarm drain can deplete battery 15% overnight.</w:t>
      </w:r>
    </w:p>
    <w:p>
      <w:pPr>
        <w:pStyle w:val="ListParagraph"/>
        <w:numPr>
          <w:ilvl w:val="0"/>
          <w:numId w:val="2"/>
        </w:numPr>
        <w:spacing w:after="80"/>
      </w:pPr>
      <w:r>
        <w:rPr>
          <w:rFonts w:ascii="Calibri" w:cs="Calibri" w:eastAsia="Calibri" w:hAnsi="Calibri"/>
          <w:color w:val="3A3A45"/>
          <w:sz w:val="22"/>
          <w:szCs w:val="22"/>
        </w:rPr>
        <w:t xml:space="preserve">Brake: Electronic front brake + rear foot brake. Inspect brake lever pivot pin for corrosion — common failure in wet climates.</w:t>
      </w:r>
    </w:p>
    <w:p>
      <w:pPr>
        <w:pStyle w:val="ListParagraph"/>
        <w:numPr>
          <w:ilvl w:val="0"/>
          <w:numId w:val="2"/>
        </w:numPr>
        <w:spacing w:after="80"/>
      </w:pPr>
      <w:r>
        <w:rPr>
          <w:rFonts w:ascii="Calibri" w:cs="Calibri" w:eastAsia="Calibri" w:hAnsi="Calibri"/>
          <w:color w:val="3A3A45"/>
          <w:sz w:val="22"/>
          <w:szCs w:val="22"/>
        </w:rPr>
        <w:t xml:space="preserve">Lifespan: Designed for 3x consumer scooter lifespan. Track cumulative mileage in TechMedix — flag units exceeding 8,000km for full teardown inspection.</w:t>
      </w:r>
    </w:p>
    <w:p>
      <w:pPr>
        <w:spacing w:after="120"/>
      </w:pPr>
      <w:r>
        <w:t xml:space="preserve"/>
      </w:r>
    </w:p>
    <w:p>
      <w:pPr>
        <w:spacing w:before="200" w:after="80"/>
      </w:pPr>
      <w:r>
        <w:rPr>
          <w:rFonts w:ascii="Calibri" w:cs="Calibri" w:eastAsia="Calibri" w:hAnsi="Calibri"/>
          <w:b/>
          <w:bCs/>
          <w:color w:val="0A0A0F"/>
          <w:sz w:val="26"/>
          <w:szCs w:val="26"/>
        </w:rPr>
        <w:t xml:space="preserve">RadCommercial eBike</w:t>
      </w:r>
    </w:p>
    <w:p>
      <w:pPr>
        <w:pStyle w:val="ListParagraph"/>
        <w:numPr>
          <w:ilvl w:val="0"/>
          <w:numId w:val="2"/>
        </w:numPr>
        <w:spacing w:after="80"/>
      </w:pPr>
      <w:r>
        <w:rPr>
          <w:rFonts w:ascii="Calibri" w:cs="Calibri" w:eastAsia="Calibri" w:hAnsi="Calibri"/>
          <w:color w:val="3A3A45"/>
          <w:sz w:val="22"/>
          <w:szCs w:val="22"/>
        </w:rPr>
        <w:t xml:space="preserve">Motor: 750W Rad rear hub. Highest power draw of the three platforms. Baseline 7–9A at 25km/h. Flag &gt;13A sustained.</w:t>
      </w:r>
    </w:p>
    <w:p>
      <w:pPr>
        <w:pStyle w:val="ListParagraph"/>
        <w:numPr>
          <w:ilvl w:val="0"/>
          <w:numId w:val="2"/>
        </w:numPr>
        <w:spacing w:after="80"/>
      </w:pPr>
      <w:r>
        <w:rPr>
          <w:rFonts w:ascii="Calibri" w:cs="Calibri" w:eastAsia="Calibri" w:hAnsi="Calibri"/>
          <w:color w:val="3A3A45"/>
          <w:sz w:val="22"/>
          <w:szCs w:val="22"/>
        </w:rPr>
        <w:t xml:space="preserve">Battery: 48V 14Ah (672Wh) semi-integrated. Lockable. Test with MC3000 quarterly. Cell drift &gt;60mV across pack = replace.</w:t>
      </w:r>
    </w:p>
    <w:p>
      <w:pPr>
        <w:pStyle w:val="ListParagraph"/>
        <w:numPr>
          <w:ilvl w:val="0"/>
          <w:numId w:val="2"/>
        </w:numPr>
        <w:spacing w:after="80"/>
      </w:pPr>
      <w:r>
        <w:rPr>
          <w:rFonts w:ascii="Calibri" w:cs="Calibri" w:eastAsia="Calibri" w:hAnsi="Calibri"/>
          <w:color w:val="3A3A45"/>
          <w:sz w:val="22"/>
          <w:szCs w:val="22"/>
        </w:rPr>
        <w:t xml:space="preserve">Payload: 120 lb payload capacity. Inspect rear rack mounting bolts and frame welds at every service — high payload + road vibration accelerates fatigue.</w:t>
      </w:r>
    </w:p>
    <w:p>
      <w:pPr>
        <w:pStyle w:val="ListParagraph"/>
        <w:numPr>
          <w:ilvl w:val="0"/>
          <w:numId w:val="2"/>
        </w:numPr>
        <w:spacing w:after="80"/>
      </w:pPr>
      <w:r>
        <w:rPr>
          <w:rFonts w:ascii="Calibri" w:cs="Calibri" w:eastAsia="Calibri" w:hAnsi="Calibri"/>
          <w:color w:val="3A3A45"/>
          <w:sz w:val="22"/>
          <w:szCs w:val="22"/>
        </w:rPr>
        <w:t xml:space="preserve">Range: 45+ mile range claim. If operator reports &lt;35 miles per charge, run full battery capacity test before any other diagnosis.</w:t>
      </w:r>
    </w:p>
    <w:p>
      <w:pPr>
        <w:pStyle w:val="ListParagraph"/>
        <w:numPr>
          <w:ilvl w:val="0"/>
          <w:numId w:val="2"/>
        </w:numPr>
        <w:spacing w:after="80"/>
      </w:pPr>
      <w:r>
        <w:rPr>
          <w:rFonts w:ascii="Calibri" w:cs="Calibri" w:eastAsia="Calibri" w:hAnsi="Calibri"/>
          <w:color w:val="3A3A45"/>
          <w:sz w:val="22"/>
          <w:szCs w:val="22"/>
        </w:rPr>
        <w:t xml:space="preserve">SDK: Rad Fleet API is the most open of the three platforms. TechMedix can pull ride data, battery SOC history, and fault logs directly via API key — no portal required.</w:t>
      </w:r>
    </w:p>
    <w:p>
      <w:pPr>
        <w:spacing w:after="160"/>
      </w:pPr>
      <w:r>
        <w:t xml:space="preserve"/>
      </w:r>
    </w:p>
    <w:p>
      <w:pPr>
        <w:pBdr>
          <w:bottom w:val="single" w:color="E84E1B" w:sz="6" w:space="1"/>
        </w:pBdr>
        <w:spacing w:after="200"/>
      </w:pPr>
      <w:r>
        <w:t xml:space="preserve"/>
      </w:r>
    </w:p>
    <w:p>
      <w:pPr>
        <w:spacing w:before="320" w:after="100"/>
      </w:pPr>
      <w:r>
        <w:rPr>
          <w:rFonts w:ascii="Georgia" w:cs="Georgia" w:eastAsia="Georgia" w:hAnsi="Georgia"/>
          <w:color w:val="0A0A0F"/>
          <w:sz w:val="40"/>
          <w:szCs w:val="40"/>
        </w:rPr>
        <w:t xml:space="preserve">Section 5 — Certification Requirements</w:t>
      </w:r>
    </w:p>
    <w:p>
      <w:pPr>
        <w:spacing w:after="120"/>
      </w:pPr>
      <w:r>
        <w:rPr>
          <w:rFonts w:ascii="Calibri" w:cs="Calibri" w:eastAsia="Calibri" w:hAnsi="Calibri"/>
          <w:color w:val="3A3A45"/>
          <w:sz w:val="22"/>
          <w:szCs w:val="22"/>
        </w:rPr>
        <w:t xml:space="preserve">To achieve BCR Field Technician — Micromobility certification and gain dispatch eligibility on the TechMedix marketplace, candidates must complete all of the following:</w:t>
      </w:r>
    </w:p>
    <w:p>
      <w:pPr>
        <w:spacing w:after="120"/>
      </w:pPr>
      <w:r>
        <w:t xml:space="preserve"/>
      </w:r>
    </w:p>
    <w:p>
      <w:pPr>
        <w:spacing w:after="80"/>
      </w:pPr>
      <w:r>
        <w:rPr>
          <w:rFonts w:ascii="Courier New" w:cs="Courier New" w:eastAsia="Courier New" w:hAnsi="Courier New"/>
          <w:caps/>
          <w:color w:val="E84E1B"/>
          <w:spacing w:val="120"/>
          <w:sz w:val="16"/>
          <w:szCs w:val="16"/>
        </w:rPr>
        <w:t xml:space="preserve">Knowledge Requirements</w:t>
      </w:r>
    </w:p>
    <w:p>
      <w:pPr>
        <w:pStyle w:val="ListParagraph"/>
        <w:numPr>
          <w:ilvl w:val="0"/>
          <w:numId w:val="3"/>
        </w:numPr>
        <w:spacing w:after="80"/>
      </w:pPr>
      <w:r>
        <w:rPr>
          <w:rFonts w:ascii="Calibri" w:cs="Calibri" w:eastAsia="Calibri" w:hAnsi="Calibri"/>
          <w:color w:val="0A0A0F"/>
          <w:sz w:val="22"/>
          <w:szCs w:val="22"/>
        </w:rPr>
        <w:t xml:space="preserve">Pass BCR eBike/Scooter technical exam (score ≥ 85%)</w:t>
      </w:r>
      <w:r>
        <w:rPr>
          <w:rFonts w:ascii="Courier New" w:cs="Courier New" w:eastAsia="Courier New" w:hAnsi="Courier New"/>
          <w:color w:val="8888A0"/>
          <w:sz w:val="18"/>
          <w:szCs w:val="18"/>
        </w:rPr>
        <w:t xml:space="preserve">  — Online via TechMedix portal</w:t>
      </w:r>
    </w:p>
    <w:p>
      <w:pPr>
        <w:pStyle w:val="ListParagraph"/>
        <w:numPr>
          <w:ilvl w:val="0"/>
          <w:numId w:val="3"/>
        </w:numPr>
        <w:spacing w:after="80"/>
      </w:pPr>
      <w:r>
        <w:rPr>
          <w:rFonts w:ascii="Calibri" w:cs="Calibri" w:eastAsia="Calibri" w:hAnsi="Calibri"/>
          <w:color w:val="0A0A0F"/>
          <w:sz w:val="22"/>
          <w:szCs w:val="22"/>
        </w:rPr>
        <w:t xml:space="preserve">Demonstrate battery analyzer operation on live unit</w:t>
      </w:r>
      <w:r>
        <w:rPr>
          <w:rFonts w:ascii="Courier New" w:cs="Courier New" w:eastAsia="Courier New" w:hAnsi="Courier New"/>
          <w:color w:val="8888A0"/>
          <w:sz w:val="18"/>
          <w:szCs w:val="18"/>
        </w:rPr>
        <w:t xml:space="preserve">  — Recorded video submission</w:t>
      </w:r>
    </w:p>
    <w:p>
      <w:pPr>
        <w:pStyle w:val="ListParagraph"/>
        <w:numPr>
          <w:ilvl w:val="0"/>
          <w:numId w:val="3"/>
        </w:numPr>
        <w:spacing w:after="80"/>
      </w:pPr>
      <w:r>
        <w:rPr>
          <w:rFonts w:ascii="Calibri" w:cs="Calibri" w:eastAsia="Calibri" w:hAnsi="Calibri"/>
          <w:color w:val="0A0A0F"/>
          <w:sz w:val="22"/>
          <w:szCs w:val="22"/>
        </w:rPr>
        <w:t xml:space="preserve">Demonstrate hub motor current baseline procedure</w:t>
      </w:r>
      <w:r>
        <w:rPr>
          <w:rFonts w:ascii="Courier New" w:cs="Courier New" w:eastAsia="Courier New" w:hAnsi="Courier New"/>
          <w:color w:val="8888A0"/>
          <w:sz w:val="18"/>
          <w:szCs w:val="18"/>
        </w:rPr>
        <w:t xml:space="preserve">  — Recorded video submission</w:t>
      </w:r>
    </w:p>
    <w:p>
      <w:pPr>
        <w:pStyle w:val="ListParagraph"/>
        <w:numPr>
          <w:ilvl w:val="0"/>
          <w:numId w:val="3"/>
        </w:numPr>
        <w:spacing w:after="80"/>
      </w:pPr>
      <w:r>
        <w:rPr>
          <w:rFonts w:ascii="Calibri" w:cs="Calibri" w:eastAsia="Calibri" w:hAnsi="Calibri"/>
          <w:color w:val="0A0A0F"/>
          <w:sz w:val="22"/>
          <w:szCs w:val="22"/>
        </w:rPr>
        <w:t xml:space="preserve">Complete stem torque inspection on Lime Gen 4 or Bird Three</w:t>
      </w:r>
      <w:r>
        <w:rPr>
          <w:rFonts w:ascii="Courier New" w:cs="Courier New" w:eastAsia="Courier New" w:hAnsi="Courier New"/>
          <w:color w:val="8888A0"/>
          <w:sz w:val="18"/>
          <w:szCs w:val="18"/>
        </w:rPr>
        <w:t xml:space="preserve">  — In-person or recorded</w:t>
      </w:r>
    </w:p>
    <w:p>
      <w:pPr>
        <w:pStyle w:val="ListParagraph"/>
        <w:numPr>
          <w:ilvl w:val="0"/>
          <w:numId w:val="3"/>
        </w:numPr>
        <w:spacing w:after="80"/>
      </w:pPr>
      <w:r>
        <w:rPr>
          <w:rFonts w:ascii="Calibri" w:cs="Calibri" w:eastAsia="Calibri" w:hAnsi="Calibri"/>
          <w:color w:val="0A0A0F"/>
          <w:sz w:val="22"/>
          <w:szCs w:val="22"/>
        </w:rPr>
        <w:t xml:space="preserve">Complete frame crack inspection using dye penetrant kit</w:t>
      </w:r>
      <w:r>
        <w:rPr>
          <w:rFonts w:ascii="Courier New" w:cs="Courier New" w:eastAsia="Courier New" w:hAnsi="Courier New"/>
          <w:color w:val="8888A0"/>
          <w:sz w:val="18"/>
          <w:szCs w:val="18"/>
        </w:rPr>
        <w:t xml:space="preserve">  — In-person or recorded</w:t>
      </w:r>
    </w:p>
    <w:p>
      <w:pPr>
        <w:spacing w:after="120"/>
      </w:pPr>
      <w:r>
        <w:t xml:space="preserve"/>
      </w:r>
    </w:p>
    <w:p>
      <w:pPr>
        <w:spacing w:after="80"/>
      </w:pPr>
      <w:r>
        <w:rPr>
          <w:rFonts w:ascii="Courier New" w:cs="Courier New" w:eastAsia="Courier New" w:hAnsi="Courier New"/>
          <w:caps/>
          <w:color w:val="E84E1B"/>
          <w:spacing w:val="120"/>
          <w:sz w:val="16"/>
          <w:szCs w:val="16"/>
        </w:rPr>
        <w:t xml:space="preserve">Equipment Requirements</w:t>
      </w:r>
    </w:p>
    <w:p>
      <w:pPr>
        <w:pStyle w:val="ListParagraph"/>
        <w:numPr>
          <w:ilvl w:val="0"/>
          <w:numId w:val="3"/>
        </w:numPr>
        <w:spacing w:after="80"/>
      </w:pPr>
      <w:r>
        <w:rPr>
          <w:rFonts w:ascii="Calibri" w:cs="Calibri" w:eastAsia="Calibri" w:hAnsi="Calibri"/>
          <w:color w:val="0A0A0F"/>
          <w:sz w:val="22"/>
          <w:szCs w:val="22"/>
        </w:rPr>
        <w:t xml:space="preserve">Own or have access to complete BCR toolkit (Section 1)</w:t>
      </w:r>
      <w:r>
        <w:rPr>
          <w:rFonts w:ascii="Courier New" w:cs="Courier New" w:eastAsia="Courier New" w:hAnsi="Courier New"/>
          <w:color w:val="8888A0"/>
          <w:sz w:val="18"/>
          <w:szCs w:val="18"/>
        </w:rPr>
        <w:t xml:space="preserve">  — Receipt or photo verification</w:t>
      </w:r>
    </w:p>
    <w:p>
      <w:pPr>
        <w:pStyle w:val="ListParagraph"/>
        <w:numPr>
          <w:ilvl w:val="0"/>
          <w:numId w:val="3"/>
        </w:numPr>
        <w:spacing w:after="80"/>
      </w:pPr>
      <w:r>
        <w:rPr>
          <w:rFonts w:ascii="Calibri" w:cs="Calibri" w:eastAsia="Calibri" w:hAnsi="Calibri"/>
          <w:color w:val="0A0A0F"/>
          <w:sz w:val="22"/>
          <w:szCs w:val="22"/>
        </w:rPr>
        <w:t xml:space="preserve">Laptop with internet access for SDK/portal access</w:t>
      </w:r>
      <w:r>
        <w:rPr>
          <w:rFonts w:ascii="Courier New" w:cs="Courier New" w:eastAsia="Courier New" w:hAnsi="Courier New"/>
          <w:color w:val="8888A0"/>
          <w:sz w:val="18"/>
          <w:szCs w:val="18"/>
        </w:rPr>
        <w:t xml:space="preserve">  — Required for dispatch</w:t>
      </w:r>
    </w:p>
    <w:p>
      <w:pPr>
        <w:pStyle w:val="ListParagraph"/>
        <w:numPr>
          <w:ilvl w:val="0"/>
          <w:numId w:val="3"/>
        </w:numPr>
        <w:spacing w:after="80"/>
      </w:pPr>
      <w:r>
        <w:rPr>
          <w:rFonts w:ascii="Calibri" w:cs="Calibri" w:eastAsia="Calibri" w:hAnsi="Calibri"/>
          <w:color w:val="0A0A0F"/>
          <w:sz w:val="22"/>
          <w:szCs w:val="22"/>
        </w:rPr>
        <w:t xml:space="preserve">Smartphone with TechMedix tech app installed</w:t>
      </w:r>
      <w:r>
        <w:rPr>
          <w:rFonts w:ascii="Courier New" w:cs="Courier New" w:eastAsia="Courier New" w:hAnsi="Courier New"/>
          <w:color w:val="8888A0"/>
          <w:sz w:val="18"/>
          <w:szCs w:val="18"/>
        </w:rPr>
        <w:t xml:space="preserve">  — iOS or Android</w:t>
      </w:r>
    </w:p>
    <w:p>
      <w:pPr>
        <w:spacing w:after="120"/>
      </w:pPr>
      <w:r>
        <w:t xml:space="preserve"/>
      </w:r>
    </w:p>
    <w:p>
      <w:pPr>
        <w:spacing w:after="80"/>
      </w:pPr>
      <w:r>
        <w:rPr>
          <w:rFonts w:ascii="Courier New" w:cs="Courier New" w:eastAsia="Courier New" w:hAnsi="Courier New"/>
          <w:caps/>
          <w:color w:val="E84E1B"/>
          <w:spacing w:val="120"/>
          <w:sz w:val="16"/>
          <w:szCs w:val="16"/>
        </w:rPr>
        <w:t xml:space="preserve">Platform Access Requirements</w:t>
      </w:r>
    </w:p>
    <w:p>
      <w:pPr>
        <w:pStyle w:val="ListParagraph"/>
        <w:numPr>
          <w:ilvl w:val="0"/>
          <w:numId w:val="3"/>
        </w:numPr>
        <w:spacing w:after="80"/>
      </w:pPr>
      <w:r>
        <w:rPr>
          <w:rFonts w:ascii="Calibri" w:cs="Calibri" w:eastAsia="Calibri" w:hAnsi="Calibri"/>
          <w:color w:val="0A0A0F"/>
          <w:sz w:val="22"/>
          <w:szCs w:val="22"/>
        </w:rPr>
        <w:t xml:space="preserve">TechMedix tech account created and verified</w:t>
      </w:r>
    </w:p>
    <w:p>
      <w:pPr>
        <w:pStyle w:val="ListParagraph"/>
        <w:numPr>
          <w:ilvl w:val="0"/>
          <w:numId w:val="3"/>
        </w:numPr>
        <w:spacing w:after="80"/>
      </w:pPr>
      <w:r>
        <w:rPr>
          <w:rFonts w:ascii="Calibri" w:cs="Calibri" w:eastAsia="Calibri" w:hAnsi="Calibri"/>
          <w:color w:val="0A0A0F"/>
          <w:sz w:val="22"/>
          <w:szCs w:val="22"/>
        </w:rPr>
        <w:t xml:space="preserve">Rad Fleet API key registered (minimum)</w:t>
      </w:r>
      <w:r>
        <w:rPr>
          <w:rFonts w:ascii="Courier New" w:cs="Courier New" w:eastAsia="Courier New" w:hAnsi="Courier New"/>
          <w:color w:val="8888A0"/>
          <w:sz w:val="18"/>
          <w:szCs w:val="18"/>
        </w:rPr>
        <w:t xml:space="preserve">  — Free registration at radpowerbikes.com/fleet</w:t>
      </w:r>
    </w:p>
    <w:p>
      <w:pPr>
        <w:pStyle w:val="ListParagraph"/>
        <w:numPr>
          <w:ilvl w:val="0"/>
          <w:numId w:val="3"/>
        </w:numPr>
        <w:spacing w:after="80"/>
      </w:pPr>
      <w:r>
        <w:rPr>
          <w:rFonts w:ascii="Calibri" w:cs="Calibri" w:eastAsia="Calibri" w:hAnsi="Calibri"/>
          <w:color w:val="0A0A0F"/>
          <w:sz w:val="22"/>
          <w:szCs w:val="22"/>
        </w:rPr>
        <w:t xml:space="preserve">Bird or Lime operator agreement (optional but preferred)</w:t>
      </w:r>
      <w:r>
        <w:rPr>
          <w:rFonts w:ascii="Courier New" w:cs="Courier New" w:eastAsia="Courier New" w:hAnsi="Courier New"/>
          <w:color w:val="8888A0"/>
          <w:sz w:val="18"/>
          <w:szCs w:val="18"/>
        </w:rPr>
        <w:t xml:space="preserve">  — Expands dispatch eligibility</w:t>
      </w:r>
    </w:p>
    <w:p>
      <w:pPr>
        <w:spacing w:after="120"/>
      </w:pPr>
      <w:r>
        <w:t xml:space="preserve"/>
      </w:r>
    </w:p>
    <w:p>
      <w:pPr>
        <w:spacing w:after="80"/>
      </w:pPr>
      <w:r>
        <w:rPr>
          <w:rFonts w:ascii="Courier New" w:cs="Courier New" w:eastAsia="Courier New" w:hAnsi="Courier New"/>
          <w:caps/>
          <w:color w:val="E84E1B"/>
          <w:spacing w:val="120"/>
          <w:sz w:val="16"/>
          <w:szCs w:val="16"/>
        </w:rPr>
        <w:t xml:space="preserve">Ongoing Requirements</w:t>
      </w:r>
    </w:p>
    <w:p>
      <w:pPr>
        <w:pStyle w:val="ListParagraph"/>
        <w:numPr>
          <w:ilvl w:val="0"/>
          <w:numId w:val="3"/>
        </w:numPr>
        <w:spacing w:after="80"/>
      </w:pPr>
      <w:r>
        <w:rPr>
          <w:rFonts w:ascii="Calibri" w:cs="Calibri" w:eastAsia="Calibri" w:hAnsi="Calibri"/>
          <w:color w:val="0A0A0F"/>
          <w:sz w:val="22"/>
          <w:szCs w:val="22"/>
        </w:rPr>
        <w:t xml:space="preserve">Complete 1 dispatch per 90 days to maintain active status</w:t>
      </w:r>
    </w:p>
    <w:p>
      <w:pPr>
        <w:pStyle w:val="ListParagraph"/>
        <w:numPr>
          <w:ilvl w:val="0"/>
          <w:numId w:val="3"/>
        </w:numPr>
        <w:spacing w:after="80"/>
      </w:pPr>
      <w:r>
        <w:rPr>
          <w:rFonts w:ascii="Calibri" w:cs="Calibri" w:eastAsia="Calibri" w:hAnsi="Calibri"/>
          <w:color w:val="0A0A0F"/>
          <w:sz w:val="22"/>
          <w:szCs w:val="22"/>
        </w:rPr>
        <w:t xml:space="preserve">Submit service report within 24hrs of each dispatch via TechMedix</w:t>
      </w:r>
    </w:p>
    <w:p>
      <w:pPr>
        <w:pStyle w:val="ListParagraph"/>
        <w:numPr>
          <w:ilvl w:val="0"/>
          <w:numId w:val="3"/>
        </w:numPr>
        <w:spacing w:after="80"/>
      </w:pPr>
      <w:r>
        <w:rPr>
          <w:rFonts w:ascii="Calibri" w:cs="Calibri" w:eastAsia="Calibri" w:hAnsi="Calibri"/>
          <w:color w:val="0A0A0F"/>
          <w:sz w:val="22"/>
          <w:szCs w:val="22"/>
        </w:rPr>
        <w:t xml:space="preserve">Annual re-certification exam for new platform versions</w:t>
      </w:r>
    </w:p>
    <w:p>
      <w:pPr>
        <w:spacing w:after="160"/>
      </w:pPr>
      <w:r>
        <w:t xml:space="preserve"/>
      </w:r>
    </w:p>
    <w:p>
      <w:pPr>
        <w:pBdr>
          <w:bottom w:val="single" w:color="E84E1B" w:sz="6" w:space="1"/>
        </w:pBdr>
        <w:spacing w:after="200"/>
      </w:pPr>
      <w:r>
        <w:t xml:space="preserve"/>
      </w:r>
    </w:p>
    <w:p>
      <w:pPr>
        <w:spacing w:before="320" w:after="100"/>
      </w:pPr>
      <w:r>
        <w:rPr>
          <w:rFonts w:ascii="Georgia" w:cs="Georgia" w:eastAsia="Georgia" w:hAnsi="Georgia"/>
          <w:color w:val="0A0A0F"/>
          <w:sz w:val="40"/>
          <w:szCs w:val="40"/>
        </w:rPr>
        <w:t xml:space="preserve">Section 6 — BCR Tech Rate Card</w:t>
      </w:r>
    </w:p>
    <w:p>
      <w:pPr>
        <w:spacing w:after="120"/>
      </w:pPr>
      <w:r>
        <w:rPr>
          <w:rFonts w:ascii="Calibri" w:cs="Calibri" w:eastAsia="Calibri" w:hAnsi="Calibri"/>
          <w:color w:val="3A3A45"/>
          <w:sz w:val="22"/>
          <w:szCs w:val="22"/>
        </w:rPr>
        <w:t xml:space="preserve">Certified BCR techs set their own rates within the following BCR-recommended ranges. BCR takes a 15% platform fee per dispatched job. Operators pay through TechMedix — techs receive payment within 48hrs of service report approval.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z w:val="18"/>
                <w:szCs w:val="18"/>
              </w:rPr>
              <w:t xml:space="preserve">Service Type</w:t>
            </w:r>
          </w:p>
        </w:tc>
        <w:tc>
          <w:tcPr>
            <w:tcW w:type="dxa" w:w="200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z w:val="18"/>
                <w:szCs w:val="18"/>
              </w:rPr>
              <w:t xml:space="preserve">Rate Range</w:t>
            </w:r>
          </w:p>
        </w:tc>
        <w:tc>
          <w:tcPr>
            <w:tcW w:type="dxa" w:w="3860"/>
            <w:tcBorders>
              <w:top w:val="single" w:color="DDDDCC" w:sz="1"/>
              <w:left w:val="single" w:color="DDDDCC" w:sz="1"/>
              <w:bottom w:val="single" w:color="DDDDCC" w:sz="1"/>
              <w:right w:val="single" w:color="DDDDCC" w:sz="1"/>
            </w:tcBorders>
            <w:shd w:fill="0A0A0F" w:val="clear"/>
            <w:tcMar>
              <w:top w:type="dxa" w:w="80"/>
              <w:left w:type="dxa" w:w="120"/>
              <w:bottom w:type="dxa" w:w="80"/>
              <w:right w:type="dxa" w:w="120"/>
            </w:tcMar>
          </w:tcPr>
          <w:p>
            <w:r>
              <w:rPr>
                <w:rFonts w:ascii="Courier New" w:cs="Courier New" w:eastAsia="Courier New" w:hAnsi="Courier New"/>
                <w:caps/>
                <w:color w:val="FFFFFF"/>
                <w:sz w:val="18"/>
                <w:szCs w:val="18"/>
              </w:rPr>
              <w:t xml:space="preserve">Notes</w:t>
            </w:r>
          </w:p>
        </w:tc>
      </w:tr>
      <w:tr>
        <w:tc>
          <w:tcPr>
            <w:tcW w:type="dxa" w:w="35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Basic inspection + report</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$45–$75</w:t>
            </w:r>
          </w:p>
        </w:tc>
        <w:tc>
          <w:tcPr>
            <w:tcW w:type="dxa" w:w="38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No parts. TechMedix diagnostic run included.</w:t>
            </w:r>
          </w:p>
        </w:tc>
      </w:tr>
      <w:tr>
        <w:tc>
          <w:tcPr>
            <w:tcW w:type="dxa" w:w="35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Battery swap + test</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$60–$90</w:t>
            </w:r>
          </w:p>
        </w:tc>
        <w:tc>
          <w:tcPr>
            <w:tcW w:type="dxa" w:w="38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Includes MC3000 test and SOH log entry.</w:t>
            </w:r>
          </w:p>
        </w:tc>
      </w:tr>
      <w:tr>
        <w:tc>
          <w:tcPr>
            <w:tcW w:type="dxa" w:w="35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Brake service</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$50–$80</w:t>
            </w:r>
          </w:p>
        </w:tc>
        <w:tc>
          <w:tcPr>
            <w:tcW w:type="dxa" w:w="38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Pad replacement + lever adjustment.</w:t>
            </w:r>
          </w:p>
        </w:tc>
      </w:tr>
      <w:tr>
        <w:tc>
          <w:tcPr>
            <w:tcW w:type="dxa" w:w="35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Motor current baseline</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$55–$85</w:t>
            </w:r>
          </w:p>
        </w:tc>
        <w:tc>
          <w:tcPr>
            <w:tcW w:type="dxa" w:w="38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Clamp meter test + TechMedix baseline update.</w:t>
            </w:r>
          </w:p>
        </w:tc>
      </w:tr>
      <w:tr>
        <w:tc>
          <w:tcPr>
            <w:tcW w:type="dxa" w:w="35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Stem torque inspection</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$40–$60</w:t>
            </w:r>
          </w:p>
        </w:tc>
        <w:tc>
          <w:tcPr>
            <w:tcW w:type="dxa" w:w="38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Torque check + O-ring inspection.</w:t>
            </w:r>
          </w:p>
        </w:tc>
      </w:tr>
      <w:tr>
        <w:tc>
          <w:tcPr>
            <w:tcW w:type="dxa" w:w="35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Frame crack inspection</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$65–$95</w:t>
            </w:r>
          </w:p>
        </w:tc>
        <w:tc>
          <w:tcPr>
            <w:tcW w:type="dxa" w:w="38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Dye penetrant procedure + photo report.</w:t>
            </w:r>
          </w:p>
        </w:tc>
      </w:tr>
      <w:tr>
        <w:tc>
          <w:tcPr>
            <w:tcW w:type="dxa" w:w="35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Full platform service</w:t>
            </w:r>
          </w:p>
        </w:tc>
        <w:tc>
          <w:tcPr>
            <w:tcW w:type="dxa" w:w="200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ourier New" w:cs="Courier New" w:eastAsia="Courier New" w:hAnsi="Courier New"/>
                <w:color w:val="E84E1B"/>
                <w:sz w:val="18"/>
                <w:szCs w:val="18"/>
              </w:rPr>
              <w:t xml:space="preserve">$150–$220</w:t>
            </w:r>
          </w:p>
        </w:tc>
        <w:tc>
          <w:tcPr>
            <w:tcW w:type="dxa" w:w="3860"/>
            <w:tcBorders>
              <w:top w:val="single" w:color="DDDDCC" w:sz="1"/>
              <w:left w:val="single" w:color="DDDDCC" w:sz="1"/>
              <w:bottom w:val="single" w:color="DDDDCC" w:sz="1"/>
              <w:right w:val="single" w:color="DDDDCC" w:sz="1"/>
            </w:tcBorders>
            <w:shd w:fill="F8F7F0" w:val="clear"/>
            <w:tcMar>
              <w:top w:type="dxa" w:w="80"/>
              <w:left w:type="dxa" w:w="120"/>
              <w:bottom w:type="dxa" w:w="80"/>
              <w:right w:type="dxa" w:w="120"/>
            </w:tcMar>
          </w:tcPr>
          <w:p>
            <w:r>
              <w:rPr>
                <w:rFonts w:ascii="Calibri" w:cs="Calibri" w:eastAsia="Calibri" w:hAnsi="Calibri"/>
                <w:color w:val="3A3A45"/>
                <w:sz w:val="20"/>
                <w:szCs w:val="20"/>
              </w:rPr>
              <w:t xml:space="preserve">All above combined. Most common fleet contract item.</w:t>
            </w:r>
          </w:p>
        </w:tc>
      </w:tr>
      <w:tr>
        <w:tc>
          <w:tcPr>
            <w:tcW w:type="dxa" w:w="35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Emergency dispatch (&lt;2hr)</w:t>
            </w:r>
          </w:p>
        </w:tc>
        <w:tc>
          <w:tcPr>
            <w:tcW w:type="dxa" w:w="200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ourier New" w:cs="Courier New" w:eastAsia="Courier New" w:hAnsi="Courier New"/>
                <w:color w:val="E84E1B"/>
                <w:sz w:val="18"/>
                <w:szCs w:val="18"/>
              </w:rPr>
              <w:t xml:space="preserve">+$50 surcharge</w:t>
            </w:r>
          </w:p>
        </w:tc>
        <w:tc>
          <w:tcPr>
            <w:tcW w:type="dxa" w:w="3860"/>
            <w:tcBorders>
              <w:top w:val="single" w:color="DDDDCC" w:sz="1"/>
              <w:left w:val="single" w:color="DDDDCC" w:sz="1"/>
              <w:bottom w:val="single" w:color="DDDDCC" w:sz="1"/>
              <w:right w:val="single" w:color="DDDDCC" w:sz="1"/>
            </w:tcBorders>
            <w:shd w:fill="FFFFFF" w:val="clear"/>
            <w:tcMar>
              <w:top w:type="dxa" w:w="80"/>
              <w:left w:type="dxa" w:w="120"/>
              <w:bottom w:type="dxa" w:w="80"/>
              <w:right w:type="dxa" w:w="120"/>
            </w:tcMar>
          </w:tcPr>
          <w:p>
            <w:r>
              <w:rPr>
                <w:rFonts w:ascii="Calibri" w:cs="Calibri" w:eastAsia="Calibri" w:hAnsi="Calibri"/>
                <w:color w:val="3A3A45"/>
                <w:sz w:val="20"/>
                <w:szCs w:val="20"/>
              </w:rPr>
              <w:t xml:space="preserve">Operator-triggered. BCR auto-approves markup.</w:t>
            </w:r>
          </w:p>
        </w:tc>
      </w:tr>
    </w:tbl>
    <w:p>
      <w:pPr>
        <w:spacing w:after="320"/>
      </w:pPr>
      <w:r>
        <w:t xml:space="preserve"/>
      </w:r>
    </w:p>
    <w:p>
      <w:pPr>
        <w:pBdr>
          <w:bottom w:val="single" w:color="E84E1B"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E1B" w:sz="6"/>
              <w:left w:val="none" w:color="FFFFFF" w:sz="0"/>
              <w:bottom w:val="none" w:color="FFFFFF" w:sz="0"/>
              <w:right w:val="none" w:color="FFFFFF" w:sz="0"/>
            </w:tcBorders>
            <w:shd w:fill="F5F4ED" w:val="clear"/>
            <w:tcMar>
              <w:top w:type="dxa" w:w="360"/>
              <w:left w:type="dxa" w:w="480"/>
              <w:bottom w:type="dxa" w:w="360"/>
              <w:right w:type="dxa" w:w="480"/>
            </w:tcMar>
          </w:tcPr>
          <w:p>
            <w:pPr>
              <w:spacing w:after="160"/>
            </w:pPr>
            <w:r>
              <w:rPr>
                <w:rFonts w:ascii="Courier New" w:cs="Courier New" w:eastAsia="Courier New" w:hAnsi="Courier New"/>
                <w:caps/>
                <w:color w:val="E84E1B"/>
                <w:spacing w:val="120"/>
                <w:sz w:val="15"/>
                <w:szCs w:val="15"/>
              </w:rPr>
              <w:t xml:space="preserve">BCR CERTIFICATION + CONTACT</w:t>
            </w:r>
          </w:p>
          <w:p>
            <w:pPr>
              <w:spacing w:after="80"/>
            </w:pPr>
            <w:r>
              <w:rPr>
                <w:rFonts w:ascii="Courier New" w:cs="Courier New" w:eastAsia="Courier New" w:hAnsi="Courier New"/>
                <w:caps/>
                <w:color w:val="8888A0"/>
                <w:sz w:val="18"/>
                <w:szCs w:val="18"/>
              </w:rPr>
              <w:t xml:space="preserve">Certification Body    </w:t>
            </w:r>
            <w:r>
              <w:rPr>
                <w:rFonts w:ascii="Calibri" w:cs="Calibri" w:eastAsia="Calibri" w:hAnsi="Calibri"/>
                <w:b/>
                <w:bCs/>
                <w:color w:val="0A0A0F"/>
                <w:sz w:val="22"/>
                <w:szCs w:val="22"/>
              </w:rPr>
              <w:t xml:space="preserve">BlackCat Robotics Field Operations</w:t>
            </w:r>
          </w:p>
          <w:p>
            <w:pPr>
              <w:spacing w:after="80"/>
            </w:pPr>
            <w:r>
              <w:rPr>
                <w:rFonts w:ascii="Courier New" w:cs="Courier New" w:eastAsia="Courier New" w:hAnsi="Courier New"/>
                <w:caps/>
                <w:color w:val="8888A0"/>
                <w:sz w:val="18"/>
                <w:szCs w:val="18"/>
              </w:rPr>
              <w:t xml:space="preserve">Contact              </w:t>
            </w:r>
            <w:r>
              <w:rPr>
                <w:rFonts w:ascii="Calibri" w:cs="Calibri" w:eastAsia="Calibri" w:hAnsi="Calibri"/>
                <w:b/>
                <w:bCs/>
                <w:color w:val="0A0A0F"/>
                <w:sz w:val="22"/>
                <w:szCs w:val="22"/>
              </w:rPr>
              <w:t xml:space="preserve">(346) 256-5851</w:t>
            </w:r>
          </w:p>
          <w:p>
            <w:pPr>
              <w:spacing w:after="80"/>
            </w:pPr>
            <w:r>
              <w:rPr>
                <w:rFonts w:ascii="Courier New" w:cs="Courier New" w:eastAsia="Courier New" w:hAnsi="Courier New"/>
                <w:caps/>
                <w:color w:val="8888A0"/>
                <w:sz w:val="18"/>
                <w:szCs w:val="18"/>
              </w:rPr>
              <w:t xml:space="preserve">Email                </w:t>
            </w:r>
            <w:r>
              <w:rPr>
                <w:rFonts w:ascii="Calibri" w:cs="Calibri" w:eastAsia="Calibri" w:hAnsi="Calibri"/>
                <w:b/>
                <w:bCs/>
                <w:color w:val="E84E1B"/>
                <w:sz w:val="22"/>
                <w:szCs w:val="22"/>
              </w:rPr>
              <w:t xml:space="preserve">blackcatrobotics.ai@gmail.com</w:t>
            </w:r>
          </w:p>
          <w:p>
            <w:pPr>
              <w:spacing w:after="0"/>
            </w:pPr>
            <w:r>
              <w:rPr>
                <w:rFonts w:ascii="Courier New" w:cs="Courier New" w:eastAsia="Courier New" w:hAnsi="Courier New"/>
                <w:caps/>
                <w:color w:val="8888A0"/>
                <w:sz w:val="18"/>
                <w:szCs w:val="18"/>
              </w:rPr>
              <w:t xml:space="preserve">Platform             </w:t>
            </w:r>
            <w:r>
              <w:rPr>
                <w:rFonts w:ascii="Calibri" w:cs="Calibri" w:eastAsia="Calibri" w:hAnsi="Calibri"/>
                <w:b/>
                <w:bCs/>
                <w:color w:val="E84E1B"/>
                <w:sz w:val="22"/>
                <w:szCs w:val="22"/>
              </w:rPr>
              <w:t xml:space="preserve">dashboard.blackcatrobotics.com</w:t>
            </w:r>
          </w:p>
        </w:tc>
      </w:tr>
    </w:tbl>
    <w:p>
      <w:pPr>
        <w:spacing w:after="160"/>
      </w:pPr>
      <w:r>
        <w:t xml:space="preserve"/>
      </w:r>
    </w:p>
    <w:p>
      <w:pPr>
        <w:jc w:val="center"/>
      </w:pPr>
      <w:r>
        <w:rPr>
          <w:rFonts w:ascii="Courier New" w:cs="Courier New" w:eastAsia="Courier New" w:hAnsi="Courier New"/>
          <w:color w:val="8888A0"/>
          <w:spacing w:val="40"/>
          <w:sz w:val="15"/>
          <w:szCs w:val="15"/>
        </w:rPr>
        <w:t xml:space="preserve">© 2026 BlackCat Robotics · blackcatrobotics.com · All rights reserved.</w:t>
      </w:r>
    </w:p>
    <w:sectPr>
      <w:pgSz w:w="12240" w:h="15840" w:orient="portrait"/>
      <w:pgMar w:top="108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2026-03-29T22:45:27.987Z</dcterms:created>
  <dcterms:modified xsi:type="dcterms:W3CDTF">2026-03-29T22:45:27.988Z</dcterms:modified>
</cp:coreProperties>
</file>

<file path=docProps/custom.xml><?xml version="1.0" encoding="utf-8"?>
<Properties xmlns="http://schemas.openxmlformats.org/officeDocument/2006/custom-properties" xmlns:vt="http://schemas.openxmlformats.org/officeDocument/2006/docPropsVTypes"/>
</file>