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A0A0F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aps/>
                <w:color w:val="E84E1B"/>
                <w:spacing w:val="150"/>
                <w:sz w:val="16"/>
                <w:szCs w:val="16"/>
              </w:rPr>
              <w:t xml:space="preserve">BCR — BLACKCAT ROBOTICS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FFFFFF"/>
                <w:sz w:val="64"/>
                <w:szCs w:val="64"/>
              </w:rPr>
              <w:t xml:space="preserve">Partnership Inquiry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>Unitree Robotics × BlackCat Robotics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8888A0"/>
          <w:sz w:val="18"/>
          <w:szCs w:val="18"/>
        </w:rPr>
        <w:t xml:space="preserve">March 29, 2026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     |     </w:t>
      </w:r>
      <w:r>
        <w:rPr>
          <w:rFonts w:ascii="Courier New" w:cs="Courier New" w:eastAsia="Courier New" w:hAnsi="Courier New"/>
          <w:caps/>
          <w:color w:val="8888A0"/>
          <w:spacing w:val="60"/>
          <w:sz w:val="18"/>
          <w:szCs w:val="18"/>
        </w:rPr>
        <w:t xml:space="preserve">REF: BCR-UNIT-2026-001</w:t>
      </w:r>
    </w:p>
    <w:p>
      <w:pPr>
        <w:spacing w:after="160"/>
        <w:jc w:val="left"/>
      </w:pPr>
      <w:r>
        <w:rPr>
          <w:rFonts w:ascii="Calibri" w:cs="Calibri" w:eastAsia="Calibri" w:hAnsi="Calibri"/>
          <w:color w:val="0A0A0F"/>
          <w:sz w:val="24"/>
          <w:szCs w:val="24"/>
        </w:rPr>
        <w:t xml:space="preserve">To the Leadership Team,</w:t>
      </w:r>
    </w:p>
    <w:p>
      <w:pPr>
        <w:spacing w:after="160"/>
        <w:jc w:val="left"/>
      </w:pPr>
      <w:r>
        <w:rPr>
          <w:rFonts w:ascii="Calibri" w:cs="Calibri" w:eastAsia="Calibri" w:hAnsi="Calibri"/>
          <w:color w:val="0A0A0F"/>
          <w:sz w:val="24"/>
          <w:szCs w:val="24"/>
        </w:rPr>
        <w:t xml:space="preserve">Unitree Robotics Co., Ltd.</w:t>
      </w:r>
    </w:p>
    <w:p>
      <w:pPr>
        <w:spacing w:after="160"/>
        <w:jc w:val="left"/>
      </w:pPr>
      <w:r>
        <w:rPr>
          <w:rFonts w:ascii="Calibri" w:cs="Calibri" w:eastAsia="Calibri" w:hAnsi="Calibri"/>
          <w:color w:val="8888A0"/>
          <w:sz w:val="24"/>
          <w:szCs w:val="24"/>
        </w:rPr>
        <w:t xml:space="preserve">Shenzhen, Guangdong, China</w:t>
      </w:r>
    </w:p>
    <w:p>
      <w:pPr>
        <w:spacing w:after="160"/>
      </w:pPr>
      <w:r>
        <w:t xml:space="preserve"/>
      </w:r>
    </w:p>
    <w:p>
      <w:pPr>
        <w:pBdr>
          <w:bottom w:val="single" w:color="E84E1B" w:sz="6" w:space="1"/>
        </w:pBdr>
        <w:spacing w:after="20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caps/>
          <w:color w:val="E84E1B"/>
          <w:spacing w:val="120"/>
          <w:sz w:val="16"/>
          <w:szCs w:val="16"/>
        </w:rPr>
        <w:t xml:space="preserve">Letter of Intent — Strategic Partnership</w:t>
      </w:r>
    </w:p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color w:val="0A0A0F"/>
          <w:sz w:val="56"/>
          <w:szCs w:val="56"/>
        </w:rPr>
        <w:t xml:space="preserve">We keep the robots
you build running.</w:t>
      </w:r>
    </w:p>
    <w:p>
      <w:pPr>
        <w:spacing w:after="80"/>
      </w:pPr>
      <w:r>
        <w:t xml:space="preserve"/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My name is [Your Name], and I represent BlackCat Robotics — an AI maintenance intelligence company built specifically for the autonomous systems economy. We operate TechMedix, the world's first cross-platform predictive diagnostics and fleet maintenance platform for humanoid robots, drones, autonomous mobile robots, and EV ground support systems.</w:t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We are writing today with genuine interest, enthusiasm, and a clear business case for a formal partnership between BlackCat Robotics and Unitree Robotics.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4E1B" w:sz="4"/>
              <w:left w:val="none"/>
              <w:bottom w:val="none"/>
              <w:right w:val="none"/>
            </w:tcBorders>
            <w:shd w:fill="F5F4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E84E1B"/>
                <w:sz w:val="40"/>
                <w:szCs w:val="40"/>
              </w:rPr>
              <w:t xml:space="preserve">14+</w:t>
            </w:r>
          </w:p>
          <w:p>
            <w:r>
              <w:rPr>
                <w:rFonts w:ascii="Courier New" w:cs="Courier New" w:eastAsia="Courier New" w:hAnsi="Courier New"/>
                <w:caps/>
                <w:color w:val="8888A0"/>
                <w:spacing w:val="60"/>
                <w:sz w:val="16"/>
                <w:szCs w:val="16"/>
              </w:rPr>
              <w:t xml:space="preserve">Humanoid Platforms Supported</w:t>
            </w:r>
          </w:p>
        </w:tc>
        <w:tc>
          <w:tcPr>
            <w:tcW w:type="dxa" w:w="3120"/>
            <w:tcBorders>
              <w:top w:val="single" w:color="E84E1B" w:sz="4"/>
              <w:left w:val="none"/>
              <w:bottom w:val="none"/>
              <w:right w:val="none"/>
            </w:tcBorders>
            <w:shd w:fill="F5F4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E84E1B"/>
                <w:sz w:val="40"/>
                <w:szCs w:val="40"/>
              </w:rPr>
              <w:t xml:space="preserve">48 hrs</w:t>
            </w:r>
          </w:p>
          <w:p>
            <w:r>
              <w:rPr>
                <w:rFonts w:ascii="Courier New" w:cs="Courier New" w:eastAsia="Courier New" w:hAnsi="Courier New"/>
                <w:caps/>
                <w:color w:val="8888A0"/>
                <w:spacing w:val="60"/>
                <w:sz w:val="16"/>
                <w:szCs w:val="16"/>
              </w:rPr>
              <w:t xml:space="preserve">Avg Failure Prediction Lead</w:t>
            </w:r>
          </w:p>
        </w:tc>
        <w:tc>
          <w:tcPr>
            <w:tcW w:type="dxa" w:w="3120"/>
            <w:tcBorders>
              <w:top w:val="single" w:color="E84E1B" w:sz="4"/>
              <w:left w:val="none"/>
              <w:bottom w:val="none"/>
              <w:right w:val="none"/>
            </w:tcBorders>
            <w:shd w:fill="F5F4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E84E1B"/>
                <w:sz w:val="40"/>
                <w:szCs w:val="40"/>
              </w:rPr>
              <w:t xml:space="preserve">5,500+</w:t>
            </w:r>
          </w:p>
          <w:p>
            <w:r>
              <w:rPr>
                <w:rFonts w:ascii="Courier New" w:cs="Courier New" w:eastAsia="Courier New" w:hAnsi="Courier New"/>
                <w:caps/>
                <w:color w:val="8888A0"/>
                <w:spacing w:val="60"/>
                <w:sz w:val="16"/>
                <w:szCs w:val="16"/>
              </w:rPr>
              <w:t xml:space="preserve">Unitree Units Deployed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300" w:after="100"/>
      </w:pPr>
      <w:r>
        <w:rPr>
          <w:rFonts w:ascii="Georgia" w:cs="Georgia" w:eastAsia="Georgia" w:hAnsi="Georgia"/>
          <w:b w:val="false"/>
          <w:bCs w:val="false"/>
          <w:color w:val="0A0A0F"/>
          <w:sz w:val="36"/>
          <w:szCs w:val="36"/>
        </w:rPr>
        <w:t xml:space="preserve">Why Unitree.</w:t>
      </w:r>
    </w:p>
    <w:p>
      <w:pPr>
        <w:pBdr>
          <w:bottom w:val="single" w:color="E84E1B" w:sz="6" w:space="1"/>
        </w:pBdr>
        <w:spacing w:after="200"/>
      </w:pPr>
      <w:r>
        <w:t xml:space="preserve"/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Unitree Robotics has done something no other company in the humanoid space has accomplished at scale: you made robots accessible. The G1 at $16K, the H1-2 at industrial grade, the B2 quadruped — each platform represents a disciplined commitment to real-world deployment over laboratory theater.</w:t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Your $610M IPO filing and 5,500+ units deployed globally are not just financial milestones. They represent a maintenance challenge. Every humanoid in the field is a system that will need diagnostics, repair scheduling, part-failure prediction, and operator support. That is exactly what BlackCat Robotics was built to solve.</w:t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We already support the Unitree G1 natively within TechMedix. Our platform performs real-time telemetry analysis, predicts joint actuator wear, flags anomalies in force-torque sensor readings, and surfaces actionable repair protocols — before a failure grounds a unit.</w:t>
      </w:r>
    </w:p>
    <w:p>
      <w:pPr>
        <w:spacing w:before="300" w:after="100"/>
      </w:pPr>
      <w:r>
        <w:rPr>
          <w:rFonts w:ascii="Georgia" w:cs="Georgia" w:eastAsia="Georgia" w:hAnsi="Georgia"/>
          <w:b w:val="false"/>
          <w:bCs w:val="false"/>
          <w:color w:val="0A0A0F"/>
          <w:sz w:val="36"/>
          <w:szCs w:val="36"/>
        </w:rPr>
        <w:t xml:space="preserve">What We're Proposing.</w:t>
      </w:r>
    </w:p>
    <w:p>
      <w:pPr>
        <w:pBdr>
          <w:bottom w:val="single" w:color="E84E1B" w:sz="6" w:space="1"/>
        </w:pBdr>
        <w:spacing w:after="200"/>
      </w:pPr>
      <w:r>
        <w:t xml:space="preserve"/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We are seeking a structured partnership that serves both organizations and, most importantly, every Unitree operator in the field. Specifically, we propose: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Certified Integration Partnership — TechMedix becomes an officially listed maintenance and diagnostics solution for all Unitree platforms, co-marketed through your dealer and reseller network.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Telemetry API Access — Deepened access to Unitree platform telemetry data streams to expand our predictive model accuracy for G1, H1-2, and B2 hardware profiles.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Joint Go-to-Market — Co-branded materials, shared presence at robotics industry events, and a coordinated sales motion targeting enterprise fleet operators acquiring 5+ Unitree units.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Pilot Program — A structured 90-day paid pilot with 3–5 Unitree enterprise customers to validate TechMedix ROI: reduced downtime, lower repair labor costs, and extended hardware lifespan.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Maintenance-as-a-Service Bundle — Explore a white-labeled or co-branded TechMedix subscription included with Unitree enterprise hardware purchases, reducing friction for new operators.</w:t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Georgia" w:cs="Georgia" w:eastAsia="Georgia" w:hAnsi="Georgia"/>
          <w:b w:val="false"/>
          <w:bCs w:val="false"/>
          <w:color w:val="0A0A0F"/>
          <w:sz w:val="36"/>
          <w:szCs w:val="36"/>
        </w:rPr>
        <w:t xml:space="preserve">What We Bring.</w:t>
      </w:r>
    </w:p>
    <w:p>
      <w:pPr>
        <w:pBdr>
          <w:bottom w:val="single" w:color="E84E1B" w:sz="6" w:space="1"/>
        </w:pBdr>
        <w:spacing w:after="200"/>
      </w:pPr>
      <w:r>
        <w:t xml:space="preserve"/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BlackCat Robotics offers Unitree and its customers a purpose-built maintenance layer that no general-purpose software platform provides: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Predictive diagnostics powered by Claude AI — flagging failures 48 hours before they occur across 14+ robot platforms.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Cross-platform fleet operations console — one dashboard for mixed fleets of humanoids, drones, and AMRs.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Technician dispatch and repair routing — connecting operators to certified field technicians in their region.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Real-time Blackcat Signal intelligence feed — curated robotics industry news and market data, integrated directly into the operator dashboard.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Built for the field, not the lab — our platform is designed for operators managing working robots, not researchers managing test units.</w:t>
      </w:r>
    </w:p>
    <w:p>
      <w:pPr>
        <w:spacing w:after="160"/>
      </w:pPr>
      <w:r>
        <w:t xml:space="preserve"/>
      </w:r>
    </w:p>
    <w:p>
      <w:pPr>
        <w:spacing w:before="300" w:after="100"/>
      </w:pPr>
      <w:r>
        <w:rPr>
          <w:rFonts w:ascii="Georgia" w:cs="Georgia" w:eastAsia="Georgia" w:hAnsi="Georgia"/>
          <w:b w:val="false"/>
          <w:bCs w:val="false"/>
          <w:color w:val="0A0A0F"/>
          <w:sz w:val="36"/>
          <w:szCs w:val="36"/>
        </w:rPr>
        <w:t xml:space="preserve">Our Ask.</w:t>
      </w:r>
    </w:p>
    <w:p>
      <w:pPr>
        <w:pBdr>
          <w:bottom w:val="single" w:color="E84E1B" w:sz="6" w:space="1"/>
        </w:pBdr>
        <w:spacing w:after="200"/>
      </w:pPr>
      <w:r>
        <w:t xml:space="preserve"/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We are not asking for exclusivity, capital, or a long-term commitment before we've earned it. We are asking for a conversation.</w:t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We would like to schedule a 30-minute call with your partnerships or business development team to walk through the TechMedix platform, share our existing Unitree G1 integration, and explore whether there is mutual interest in a structured pilot program.</w:t>
      </w:r>
    </w:p>
    <w:p>
      <w:pPr>
        <w:spacing w:after="160"/>
        <w:jc w:val="left"/>
      </w:pPr>
      <w:r>
        <w:rPr>
          <w:rFonts w:ascii="Calibri" w:cs="Calibri" w:eastAsia="Calibri" w:hAnsi="Calibri"/>
          <w:color w:val="3A3A45"/>
          <w:sz w:val="24"/>
          <w:szCs w:val="24"/>
        </w:rPr>
        <w:t xml:space="preserve">We are prepared to move quickly. Our engineering team can deepen the Unitree integration on a 2-week timeline once access and data sharing parameters are agreed upon.</w:t>
      </w:r>
    </w:p>
    <w:p>
      <w:pPr>
        <w:spacing w:after="240"/>
      </w:pPr>
      <w:r>
        <w:t xml:space="preserve"/>
      </w:r>
    </w:p>
    <w:p>
      <w:pPr>
        <w:pBdr>
          <w:bottom w:val="single" w:color="E84E1B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E1B" w:sz="6"/>
              <w:left w:val="none"/>
              <w:bottom w:val="none"/>
              <w:right w:val="none"/>
            </w:tcBorders>
            <w:shd w:fill="F5F4ED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60"/>
            </w:pPr>
            <w:r>
              <w:rPr>
                <w:rFonts w:ascii="Courier New" w:cs="Courier New" w:eastAsia="Courier New" w:hAnsi="Courier New"/>
                <w:caps/>
                <w:color w:val="E84E1B"/>
                <w:spacing w:val="120"/>
                <w:sz w:val="16"/>
                <w:szCs w:val="16"/>
              </w:rPr>
              <w:t xml:space="preserve">CONTACT — BLACKCAT ROBOTICS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aps/>
                <w:color w:val="8888A0"/>
                <w:sz w:val="18"/>
                <w:szCs w:val="18"/>
              </w:rPr>
              <w:t xml:space="preserve">Phone    </w:t>
            </w:r>
            <w:r>
              <w:rPr>
                <w:rFonts w:ascii="Calibri" w:cs="Calibri" w:eastAsia="Calibri" w:hAnsi="Calibri"/>
                <w:b/>
                <w:bCs/>
                <w:color w:val="0A0A0F"/>
                <w:sz w:val="24"/>
                <w:szCs w:val="24"/>
              </w:rPr>
              <w:t xml:space="preserve">(346) 256-5851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aps/>
                <w:color w:val="8888A0"/>
                <w:sz w:val="18"/>
                <w:szCs w:val="18"/>
              </w:rPr>
              <w:t xml:space="preserve">Email    </w:t>
            </w:r>
            <w:r>
              <w:rPr>
                <w:rFonts w:ascii="Calibri" w:cs="Calibri" w:eastAsia="Calibri" w:hAnsi="Calibri"/>
                <w:b/>
                <w:bCs/>
                <w:color w:val="0A0A0F"/>
                <w:sz w:val="24"/>
                <w:szCs w:val="24"/>
              </w:rPr>
              <w:t xml:space="preserve">blackcatrobotics.ai@gmail.com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aps/>
                <w:color w:val="8888A0"/>
                <w:sz w:val="18"/>
                <w:szCs w:val="18"/>
              </w:rPr>
              <w:t xml:space="preserve">Web      </w:t>
            </w:r>
            <w:r>
              <w:rPr>
                <w:rFonts w:ascii="Calibri" w:cs="Calibri" w:eastAsia="Calibri" w:hAnsi="Calibri"/>
                <w:b/>
                <w:bCs/>
                <w:color w:val="E84E1B"/>
                <w:sz w:val="24"/>
                <w:szCs w:val="24"/>
              </w:rPr>
              <w:t xml:space="preserve">blackcatrobotics.com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160"/>
        <w:jc w:val="left"/>
      </w:pPr>
      <w:r>
        <w:rPr>
          <w:rFonts w:ascii="Calibri" w:cs="Calibri" w:eastAsia="Calibri" w:hAnsi="Calibri"/>
          <w:color w:val="0A0A0F"/>
          <w:sz w:val="24"/>
          <w:szCs w:val="24"/>
        </w:rPr>
        <w:t xml:space="preserve">With respect and genuine interest in what Unitree has built —</w:t>
      </w:r>
    </w:p>
    <w:p>
      <w:pPr>
        <w:spacing w:after="400"/>
      </w:pPr>
      <w:r>
        <w:t xml:space="preserve"/>
      </w:r>
    </w:p>
    <w:p>
      <w:pPr>
        <w:spacing w:after="60"/>
      </w:pPr>
      <w:r>
        <w:rPr>
          <w:rFonts w:ascii="Georgia" w:cs="Georgia" w:eastAsia="Georgia" w:hAnsi="Georgia"/>
          <w:color w:val="0A0A0F"/>
          <w:sz w:val="40"/>
          <w:szCs w:val="40"/>
        </w:rPr>
        <w:t xml:space="preserve">BlackCat Robotics</w:t>
      </w:r>
    </w:p>
    <w:p>
      <w:pPr>
        <w:spacing w:after="60"/>
      </w:pPr>
      <w:r>
        <w:rPr>
          <w:rFonts w:ascii="Courier New" w:cs="Courier New" w:eastAsia="Courier New" w:hAnsi="Courier New"/>
          <w:color w:val="8888A0"/>
          <w:spacing w:val="60"/>
          <w:sz w:val="16"/>
          <w:szCs w:val="16"/>
        </w:rPr>
        <w:t xml:space="preserve">AI Maintenance Intelligence  ·  TechMedix Platform</w:t>
      </w:r>
    </w:p>
    <w:p>
      <w:r>
        <w:rPr>
          <w:rFonts w:ascii="Courier New" w:cs="Courier New" w:eastAsia="Courier New" w:hAnsi="Courier New"/>
          <w:color w:val="E84E1B"/>
          <w:sz w:val="16"/>
          <w:szCs w:val="16"/>
        </w:rPr>
        <w:t xml:space="preserve">blackcatrobotics.com</w:t>
      </w:r>
    </w:p>
    <w:p>
      <w:pPr>
        <w:spacing w:after="160"/>
      </w:pPr>
      <w:r>
        <w:t xml:space="preserve"/>
      </w:r>
    </w:p>
    <w:p>
      <w:pPr>
        <w:pBdr>
          <w:bottom w:val="single" w:color="E84E1B" w:sz="6" w:space="1"/>
        </w:pBdr>
        <w:spacing w:after="200"/>
      </w:pPr>
      <w:r>
        <w:t xml:space="preserve"/>
      </w:r>
    </w:p>
    <w:sectPr>
      <w:pgSz w:w="12240" w:h="15840" w:orient="portrait"/>
      <w:pgMar w:top="108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2026-03-29T17:56:43.972Z</dcterms:created>
  <dcterms:modified xsi:type="dcterms:W3CDTF">2026-03-29T17:56:43.995Z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