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ATTESTATION OF COMPLIANCE: SERVICE PROVIDER (SAMPLE)</w:t>
      </w:r>
    </w:p>
    <w:p>
      <w:pPr>
        <w:keepNext/>
      </w:pPr>
      <w:r>
        <w:rPr>
          <w:b/>
          <w:sz w:val="22"/>
        </w:rPr>
        <w:t>Part 1. Service Provider Details</w:t>
      </w:r>
    </w:p>
    <w:p>
      <w:r>
        <w:t>Company: PayGate Payments Ltd</w:t>
      </w:r>
    </w:p>
    <w:p>
      <w:r>
        <w:t>Role: Third-party service provider (TPSP), payment processor</w:t>
      </w:r>
    </w:p>
    <w:p>
      <w:r>
        <w:t>Assessor: Northbridge Assurance (Qualified Security Assessor company)</w:t>
      </w:r>
    </w:p>
    <w:p>
      <w:r>
        <w:t>Report type: Report on Compliance (ROC)</w:t>
      </w:r>
    </w:p>
    <w:p>
      <w:pPr>
        <w:keepNext/>
      </w:pPr>
      <w:r>
        <w:rPr>
          <w:b/>
          <w:sz w:val="22"/>
        </w:rPr>
        <w:t>Part 2. Assessment Details</w:t>
      </w:r>
    </w:p>
    <w:p>
      <w:r>
        <w:t>Standard: PCI DSS v4.0.1</w:t>
      </w:r>
    </w:p>
    <w:p>
      <w:r>
        <w:t>Assessment end date: 30 September 2025</w:t>
      </w:r>
    </w:p>
    <w:p>
      <w:r>
        <w:t>Valid until: 30 September 2026</w:t>
      </w:r>
    </w:p>
    <w:p>
      <w:r>
        <w:t>Service provider level: Level 1</w:t>
      </w:r>
    </w:p>
    <w:p>
      <w:pPr>
        <w:keepNext/>
      </w:pPr>
      <w:r>
        <w:rPr>
          <w:b/>
          <w:sz w:val="22"/>
        </w:rPr>
        <w:t>Part 3. Services Covered</w:t>
      </w:r>
    </w:p>
    <w:p>
      <w:r>
        <w:t>Card authorization (online payments)</w:t>
      </w:r>
    </w:p>
    <w:p>
      <w:r>
        <w:t>Card settlement</w:t>
      </w:r>
    </w:p>
    <w:p>
      <w:r>
        <w:t>Tokenization service</w:t>
      </w:r>
    </w:p>
    <w:p>
      <w:pPr>
        <w:keepNext/>
      </w:pPr>
      <w:r>
        <w:rPr>
          <w:b/>
          <w:sz w:val="22"/>
        </w:rPr>
        <w:t>Services Not Covered by This Assessment</w:t>
      </w:r>
    </w:p>
    <w:p>
      <w:r>
        <w:t>Recurring billing vault</w:t>
      </w:r>
    </w:p>
    <w:p>
      <w:r>
        <w:t>Chargeback portal</w:t>
      </w:r>
    </w:p>
    <w:p>
      <w:pPr>
        <w:keepNext/>
      </w:pPr>
      <w:r>
        <w:rPr>
          <w:b/>
          <w:sz w:val="22"/>
        </w:rPr>
        <w:t>Part 4. Result</w:t>
      </w:r>
    </w:p>
    <w:p>
      <w:r>
        <w:t>All applicable requirements: In Place</w:t>
      </w:r>
    </w:p>
    <w:p>
      <w:r>
        <w:t>Requirements marked “In Place with Compensating Control”: 1 (Requirement 8, multi-factor authentication for one legacy admin console)</w:t>
      </w:r>
    </w:p>
    <w:p>
      <w:r>
        <w:t>Overall: Compliant</w:t>
      </w:r>
    </w:p>
    <w:p>
      <w:pPr>
        <w:keepNext/>
      </w:pPr>
      <w:r>
        <w:rPr>
          <w:b/>
          <w:sz w:val="22"/>
        </w:rPr>
        <w:t>Part 5. Customer Responsibilities</w:t>
      </w:r>
    </w:p>
    <w:p>
      <w:r>
        <w:t>PayGate's compliance covers only PayGate's own environment. Customers remain responsible for:</w:t>
      </w:r>
    </w:p>
    <w:p>
      <w:r>
        <w:t>Their own systems that touch card data</w:t>
      </w:r>
    </w:p>
    <w:p>
      <w:r>
        <w:t>Securing how card data reaches PayGate</w:t>
      </w:r>
    </w:p>
    <w:p>
      <w:r>
        <w:t>Their own PCI validation</w:t>
      </w:r>
    </w:p>
    <w:p>
      <w:pPr>
        <w:keepNext/>
      </w:pPr>
      <w:r>
        <w:rPr>
          <w:b/>
          <w:sz w:val="22"/>
        </w:rPr>
        <w:t>Part 6. Signatures</w:t>
      </w:r>
    </w:p>
    <w:p>
      <w:r>
        <w:t>Service provider officer: ____________________________________    Date: ______________</w:t>
      </w:r>
    </w:p>
    <w:p>
      <w:r>
        <w:t>QSA: _________________________________________________    Date: ______________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