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jc w:val="center"/>
        <w:rPr>
          <w:rFonts w:hint="default" w:ascii="Calibri" w:hAnsi="Calibri" w:cs="Calibri"/>
        </w:rPr>
      </w:pPr>
      <w:bookmarkStart w:id="0" w:name="_yxwy7jae7omi" w:colFirst="0" w:colLast="0"/>
      <w:bookmarkEnd w:id="0"/>
      <w:r>
        <w:rPr>
          <w:rFonts w:hint="default" w:ascii="Calibri" w:hAnsi="Calibri" w:eastAsia="Google Sans" w:cs="Calibri"/>
          <w:b/>
          <w:rtl w:val="0"/>
        </w:rPr>
        <w:t>Parking lot USB exercise</w:t>
      </w:r>
      <w:bookmarkStart w:id="1" w:name="_GoBack"/>
      <w:bookmarkEnd w:id="1"/>
    </w:p>
    <w:p w14:paraId="00000002">
      <w:pPr>
        <w:rPr>
          <w:rFonts w:hint="default" w:ascii="Calibri" w:hAnsi="Calibri" w:cs="Calibri"/>
        </w:rPr>
      </w:pPr>
      <w:r>
        <w:rPr>
          <w:rFonts w:hint="default" w:ascii="Calibri" w:hAnsi="Calibri" w:cs="Calibri"/>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3">
      <w:pPr>
        <w:rPr>
          <w:rFonts w:hint="default" w:ascii="Calibri" w:hAnsi="Calibri" w:cs="Calibri"/>
        </w:rPr>
      </w:pP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60"/>
        <w:gridCol w:w="6600"/>
      </w:tblGrid>
      <w:tr w14:paraId="448858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29" w:hRule="atLeast"/>
        </w:trPr>
        <w:tc>
          <w:tcPr>
            <w:shd w:val="clear" w:color="auto" w:fill="auto"/>
            <w:tcMar>
              <w:top w:w="100" w:type="dxa"/>
              <w:left w:w="100" w:type="dxa"/>
              <w:bottom w:w="100" w:type="dxa"/>
              <w:right w:w="100" w:type="dxa"/>
            </w:tcMar>
            <w:vAlign w:val="top"/>
          </w:tcPr>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eastAsia="Google Sans" w:cs="Calibri"/>
                <w:b/>
                <w:sz w:val="28"/>
                <w:szCs w:val="28"/>
              </w:rPr>
            </w:pPr>
            <w:r>
              <w:rPr>
                <w:rFonts w:hint="default" w:ascii="Calibri" w:hAnsi="Calibri" w:eastAsia="Google Sans" w:cs="Calibri"/>
                <w:b/>
                <w:sz w:val="28"/>
                <w:szCs w:val="28"/>
                <w:rtl w:val="0"/>
              </w:rPr>
              <w:t>Contents</w:t>
            </w:r>
          </w:p>
        </w:tc>
        <w:tc>
          <w:tcPr>
            <w:shd w:val="clear" w:color="auto" w:fill="auto"/>
            <w:tcMar>
              <w:top w:w="100" w:type="dxa"/>
              <w:left w:w="100" w:type="dxa"/>
              <w:bottom w:w="100" w:type="dxa"/>
              <w:right w:w="100" w:type="dxa"/>
            </w:tcMar>
            <w:vAlign w:val="top"/>
          </w:tcPr>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eastAsia="Google Sans" w:cs="Calibri"/>
                <w:i/>
              </w:rPr>
            </w:pPr>
            <w:r>
              <w:rPr>
                <w:rFonts w:hint="default" w:ascii="Calibri" w:hAnsi="Calibri" w:eastAsia="Google Sans" w:cs="Calibri"/>
                <w:rtl w:val="0"/>
              </w:rPr>
              <w:t>The USB contains both personal and work-related files. Work documents include sensitive HR materials like a new hire letter and employee shift schedules, which may contain PII such as names and contact details. Personal files include family photos, wedding details, and pet pictures, posing risks if personal data is exploited for social engineering or identity theft.</w:t>
            </w:r>
          </w:p>
        </w:tc>
      </w:tr>
      <w:tr w14:paraId="7307BE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29" w:hRule="atLeast"/>
        </w:trPr>
        <w:tc>
          <w:tcPr>
            <w:shd w:val="clear" w:color="auto" w:fill="auto"/>
            <w:tcMar>
              <w:top w:w="100" w:type="dxa"/>
              <w:left w:w="100" w:type="dxa"/>
              <w:bottom w:w="100" w:type="dxa"/>
              <w:right w:w="10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eastAsia="Google Sans" w:cs="Calibri"/>
                <w:b/>
                <w:sz w:val="28"/>
                <w:szCs w:val="28"/>
              </w:rPr>
            </w:pPr>
            <w:r>
              <w:rPr>
                <w:rFonts w:hint="default" w:ascii="Calibri" w:hAnsi="Calibri" w:eastAsia="Google Sans" w:cs="Calibri"/>
                <w:b/>
                <w:sz w:val="28"/>
                <w:szCs w:val="28"/>
                <w:rtl w:val="0"/>
              </w:rPr>
              <w:t>Attacker mindset</w:t>
            </w:r>
          </w:p>
        </w:tc>
        <w:tc>
          <w:tcPr>
            <w:shd w:val="clear" w:color="auto" w:fill="auto"/>
            <w:tcMar>
              <w:top w:w="100" w:type="dxa"/>
              <w:left w:w="100" w:type="dxa"/>
              <w:bottom w:w="100" w:type="dxa"/>
              <w:right w:w="100" w:type="dxa"/>
            </w:tcMar>
            <w:vAlign w:val="top"/>
          </w:tcPr>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eastAsia="Google Sans" w:cs="Calibri"/>
                <w:i/>
              </w:rPr>
            </w:pPr>
            <w:r>
              <w:rPr>
                <w:rFonts w:hint="default" w:ascii="Calibri" w:hAnsi="Calibri" w:eastAsia="Google Sans" w:cs="Calibri"/>
                <w:rtl w:val="0"/>
              </w:rPr>
              <w:t>An attacker could use HR files to impersonate Jorge, phish employees, or access hospital systems. Personal data like wedding details could target relatives via social engineering. If the USB was staged, plugging it in might trigger malware, granting attackers backdoor access to the hospital’s network, compromising both Jorge and organizational security.</w:t>
            </w:r>
          </w:p>
        </w:tc>
      </w:tr>
      <w:tr w14:paraId="61E1E0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29" w:hRule="atLeast"/>
        </w:trPr>
        <w:tc>
          <w:tcPr>
            <w:shd w:val="clear" w:color="auto" w:fill="auto"/>
            <w:tcMar>
              <w:top w:w="100" w:type="dxa"/>
              <w:left w:w="100" w:type="dxa"/>
              <w:bottom w:w="100" w:type="dxa"/>
              <w:right w:w="10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eastAsia="Google Sans" w:cs="Calibri"/>
                <w:b/>
                <w:sz w:val="28"/>
                <w:szCs w:val="28"/>
              </w:rPr>
            </w:pPr>
            <w:r>
              <w:rPr>
                <w:rFonts w:hint="default" w:ascii="Calibri" w:hAnsi="Calibri" w:eastAsia="Google Sans" w:cs="Calibri"/>
                <w:b/>
                <w:sz w:val="28"/>
                <w:szCs w:val="28"/>
                <w:rtl w:val="0"/>
              </w:rPr>
              <w:t>Risk analysis</w:t>
            </w:r>
          </w:p>
        </w:tc>
        <w:tc>
          <w:tcPr>
            <w:shd w:val="clear" w:color="auto" w:fill="auto"/>
            <w:tcMar>
              <w:top w:w="100" w:type="dxa"/>
              <w:left w:w="100" w:type="dxa"/>
              <w:bottom w:w="100" w:type="dxa"/>
              <w:right w:w="100" w:type="dxa"/>
            </w:tcMar>
            <w:vAlign w:val="top"/>
          </w:tcPr>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eastAsia="Google Sans" w:cs="Calibri"/>
                <w:i/>
              </w:rPr>
            </w:pPr>
            <w:r>
              <w:rPr>
                <w:rFonts w:hint="default" w:ascii="Calibri" w:hAnsi="Calibri" w:eastAsia="Google Sans" w:cs="Calibri"/>
                <w:rtl w:val="0"/>
              </w:rPr>
              <w:t>Technical controls: Disable USB auto-run and enforce encryption for external drives. Operational: Train staff to avoid unknown USBs and segregate personal/work files. Managerial: Implement strict USB usage policies and conduct audits. Malware like ransomware could spread if infected, while exposed PII enables identity theft. Sensitive HR data could be leveraged for blackmail or phishing, harming both individuals and the hospital’s reputation.</w:t>
            </w:r>
          </w:p>
        </w:tc>
      </w:tr>
    </w:tbl>
    <w:p w14:paraId="0000000A">
      <w:pPr>
        <w:rPr>
          <w:rFonts w:hint="default" w:ascii="Calibri" w:hAnsi="Calibri" w:cs="Calibri"/>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C9D14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 Normal1"/>
    <w:uiPriority w:val="0"/>
  </w:style>
  <w:style w:type="table" w:customStyle="1" w:styleId="13">
    <w:name w:val="_Style 10"/>
    <w:basedOn w:val="12"/>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2025-01-30T12:09:14Z</dcterms:created>
  <dc:creator>ilija</dc:creator>
  <cp:lastModifiedBy>Ilija Jovic</cp:lastModifiedBy>
  <dcterms:modified xsi:type="dcterms:W3CDTF">2025-01-30T12:09:23Z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7029D7C8530340FFA6851DF9A01CDA27_12</vt:lpwstr>
  </property>
</Properties>
</file>