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left="0" w:right="0" w:firstLine="0"/>
              <w:rPr>
                <w:i w:val="1"/>
              </w:rPr>
            </w:pPr>
            <w:r w:rsidDel="00000000" w:rsidR="00000000" w:rsidRPr="00000000">
              <w:rPr>
                <w:i w:val="1"/>
                <w:rtl w:val="0"/>
              </w:rPr>
              <w:t xml:space="preserve">Security events in the bank's operating environment are possible due to vulnerabilities in human behavior, system configurations, and external factors. For example, phishing attacks or social engineering can lead employees to unknowingly expose confidential data. Similarly, poor encryption or physical lapses like an unlocked safe provide opportunities for data theft or financial loss.</w:t>
            </w:r>
          </w:p>
        </w:tc>
      </w:tr>
    </w:tbl>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