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Calibri" w:hAnsi="Calibri" w:eastAsia="Proxima Nova" w:cs="Calibri"/>
          <w:b/>
          <w:color w:val="4A86E8"/>
          <w:sz w:val="58"/>
          <w:szCs w:val="58"/>
        </w:rPr>
      </w:pPr>
      <w:bookmarkStart w:id="0" w:name="_5x0d5h95i329" w:colFirst="0" w:colLast="0"/>
      <w:bookmarkEnd w:id="0"/>
      <w:r>
        <w:rPr>
          <w:rFonts w:hint="default" w:ascii="Calibri" w:hAnsi="Calibri" w:cs="Calibri"/>
          <w:b/>
          <w:color w:val="4A86E8"/>
          <w:sz w:val="58"/>
          <w:szCs w:val="58"/>
          <w:rtl w:val="0"/>
        </w:rPr>
        <w:t>Vulnerability Assessment Report</w:t>
      </w:r>
    </w:p>
    <w:p w14:paraId="00000002">
      <w:pPr>
        <w:pStyle w:val="10"/>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Calibri" w:hAnsi="Calibri" w:cs="Calibri"/>
          <w:b/>
          <w:sz w:val="28"/>
          <w:szCs w:val="28"/>
        </w:rPr>
      </w:pPr>
      <w:bookmarkStart w:id="1" w:name="_af80tl7prv5v" w:colFirst="0" w:colLast="0"/>
      <w:bookmarkEnd w:id="1"/>
      <w:r>
        <w:rPr>
          <w:rFonts w:hint="default" w:ascii="Calibri" w:hAnsi="Calibri" w:cs="Calibri"/>
          <w:b/>
          <w:sz w:val="28"/>
          <w:szCs w:val="28"/>
          <w:rtl w:val="0"/>
        </w:rPr>
        <w:t>1</w:t>
      </w:r>
      <w:r>
        <w:rPr>
          <w:rFonts w:hint="default" w:ascii="Calibri" w:hAnsi="Calibri" w:cs="Calibri"/>
          <w:b/>
          <w:sz w:val="28"/>
          <w:szCs w:val="28"/>
          <w:vertAlign w:val="superscript"/>
          <w:rtl w:val="0"/>
        </w:rPr>
        <w:t>st</w:t>
      </w:r>
      <w:r>
        <w:rPr>
          <w:rFonts w:hint="default" w:ascii="Calibri" w:hAnsi="Calibri" w:cs="Calibri"/>
          <w:b/>
          <w:sz w:val="28"/>
          <w:szCs w:val="28"/>
          <w:rtl w:val="0"/>
        </w:rPr>
        <w:t xml:space="preserve"> January 20XX</w:t>
      </w:r>
    </w:p>
    <w:p w14:paraId="00000003">
      <w:pPr>
        <w:pStyle w:val="10"/>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Calibri" w:hAnsi="Calibri" w:cs="Calibri"/>
          <w:b/>
          <w:sz w:val="28"/>
          <w:szCs w:val="28"/>
        </w:rPr>
      </w:pPr>
      <w:bookmarkStart w:id="2" w:name="_nhcy8rpxthcf" w:colFirst="0" w:colLast="0"/>
      <w:bookmarkEnd w:id="2"/>
      <w:r>
        <w:rPr>
          <w:rFonts w:hint="default" w:ascii="Calibri" w:hAnsi="Calibri" w:cs="Calibri"/>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4">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Calibri" w:hAnsi="Calibri" w:cs="Calibri"/>
        </w:rPr>
      </w:pPr>
      <w:bookmarkStart w:id="3" w:name="_buc6q0k08dmn" w:colFirst="0" w:colLast="0"/>
      <w:bookmarkEnd w:id="3"/>
      <w:r>
        <w:rPr>
          <w:rFonts w:hint="default" w:ascii="Calibri" w:hAnsi="Calibri" w:cs="Calibri"/>
          <w:rtl w:val="0"/>
        </w:rPr>
        <w:t>System Description</w:t>
      </w:r>
    </w:p>
    <w:p w14:paraId="00000005">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Calibri" w:hAnsi="Calibri" w:cs="Calibri"/>
        </w:rPr>
      </w:pPr>
      <w:r>
        <w:rPr>
          <w:rFonts w:hint="default" w:ascii="Calibri" w:hAnsi="Calibri" w:cs="Calibri"/>
          <w:rtl w:val="0"/>
        </w:rP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00000006">
      <w:pPr>
        <w:pStyle w:val="2"/>
        <w:rPr>
          <w:rFonts w:hint="default" w:ascii="Calibri" w:hAnsi="Calibri" w:cs="Calibri"/>
        </w:rPr>
      </w:pPr>
      <w:bookmarkStart w:id="4" w:name="_e64wndl8jmz1" w:colFirst="0" w:colLast="0"/>
      <w:bookmarkEnd w:id="4"/>
      <w:r>
        <w:rPr>
          <w:rFonts w:hint="default" w:ascii="Calibri" w:hAnsi="Calibri" w:cs="Calibri"/>
          <w:rtl w:val="0"/>
        </w:rPr>
        <w:t>Scope</w:t>
      </w:r>
    </w:p>
    <w:p w14:paraId="00000007">
      <w:pPr>
        <w:rPr>
          <w:rFonts w:hint="default" w:ascii="Calibri" w:hAnsi="Calibri" w:cs="Calibri"/>
        </w:rPr>
      </w:pPr>
      <w:r>
        <w:rPr>
          <w:rFonts w:hint="default" w:ascii="Calibri" w:hAnsi="Calibri" w:cs="Calibri"/>
          <w:rtl w:val="0"/>
        </w:rPr>
        <w:t xml:space="preserve">The scope of this vulnerability assessment relates to the current access controls of the system. The assessment will cover a period of three months, from June 20XX to August 20XX. </w:t>
      </w:r>
      <w:r>
        <w:rPr>
          <w:rFonts w:hint="default" w:ascii="Calibri" w:hAnsi="Calibri" w:cs="Calibri"/>
        </w:rPr>
        <w:fldChar w:fldCharType="begin"/>
      </w:r>
      <w:r>
        <w:rPr>
          <w:rFonts w:hint="default" w:ascii="Calibri" w:hAnsi="Calibri" w:cs="Calibri"/>
        </w:rPr>
        <w:instrText xml:space="preserve"> HYPERLINK "https://docs.google.com/document/d/1pRpdpQMEWskxSkwqEMv8W7A7x8GXQlcn0hEcDzWet3Y/template/preview?usp=sharing&amp;resourcekey=0-3GRRWAd8HryVgof-Jc33yA" \h </w:instrText>
      </w:r>
      <w:r>
        <w:rPr>
          <w:rFonts w:hint="default" w:ascii="Calibri" w:hAnsi="Calibri" w:cs="Calibri"/>
        </w:rPr>
        <w:fldChar w:fldCharType="separate"/>
      </w:r>
      <w:r>
        <w:rPr>
          <w:rFonts w:hint="default" w:ascii="Calibri" w:hAnsi="Calibri" w:cs="Calibri"/>
          <w:color w:val="1155CC"/>
          <w:u w:val="single"/>
          <w:rtl w:val="0"/>
        </w:rPr>
        <w:t>NIST SP 800-30 Rev. 1</w:t>
      </w:r>
      <w:r>
        <w:rPr>
          <w:rFonts w:hint="default" w:ascii="Calibri" w:hAnsi="Calibri" w:cs="Calibri"/>
          <w:color w:val="1155CC"/>
          <w:u w:val="single"/>
          <w:rtl w:val="0"/>
        </w:rPr>
        <w:fldChar w:fldCharType="end"/>
      </w:r>
      <w:r>
        <w:rPr>
          <w:rFonts w:hint="default" w:ascii="Calibri" w:hAnsi="Calibri" w:cs="Calibri"/>
          <w:rtl w:val="0"/>
        </w:rPr>
        <w:t xml:space="preserve"> is used to guide the risk analysis of the information system.</w:t>
      </w:r>
    </w:p>
    <w:p w14:paraId="00000008">
      <w:pPr>
        <w:pStyle w:val="2"/>
        <w:pageBreakBefore w:val="0"/>
        <w:rPr>
          <w:rFonts w:hint="default" w:ascii="Calibri" w:hAnsi="Calibri" w:cs="Calibri"/>
        </w:rPr>
      </w:pPr>
      <w:bookmarkStart w:id="5" w:name="_oymnw3nlvwib" w:colFirst="0" w:colLast="0"/>
      <w:bookmarkEnd w:id="5"/>
      <w:r>
        <w:rPr>
          <w:rFonts w:hint="default" w:ascii="Calibri" w:hAnsi="Calibri" w:cs="Calibri"/>
          <w:rtl w:val="0"/>
        </w:rPr>
        <w:t>Purpose</w:t>
      </w:r>
    </w:p>
    <w:p w14:paraId="00000009">
      <w:pPr>
        <w:spacing w:before="0" w:line="276" w:lineRule="auto"/>
        <w:ind w:left="0" w:firstLine="0"/>
        <w:rPr>
          <w:rFonts w:hint="default" w:ascii="Calibri" w:hAnsi="Calibri" w:cs="Calibri"/>
        </w:rPr>
      </w:pPr>
      <w:r>
        <w:rPr>
          <w:rFonts w:hint="default" w:ascii="Calibri" w:hAnsi="Calibri" w:cs="Calibri"/>
          <w:rtl w:val="0"/>
        </w:rPr>
        <w:t>The database server is critical to the business as it hosts sensitive payroll and employee data, enabling daily operations and financial transactions. Securing this server is essential to prevent unauthorized access, data breaches, and tampering—risks that could result in financial losses, legal penalties, and reputational harm. If the server were disabled, mission-critical functions like payroll processing and employee management would halt, severely disrupting business continuity and stakeholder trust. This vulnerability assessment aims to identify risks to the server’s access controls and recommend mitigations to align security with organizational resilience goals.</w:t>
      </w:r>
    </w:p>
    <w:p w14:paraId="0000000A">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Calibri" w:hAnsi="Calibri" w:cs="Calibri"/>
        </w:rPr>
      </w:pPr>
      <w:bookmarkStart w:id="6" w:name="_i2ip4lwifo50" w:colFirst="0" w:colLast="0"/>
      <w:bookmarkEnd w:id="6"/>
      <w:r>
        <w:rPr>
          <w:rFonts w:hint="default" w:ascii="Calibri" w:hAnsi="Calibri" w:cs="Calibri"/>
          <w:rtl w:val="0"/>
        </w:rPr>
        <w:t>Risk Assessment</w:t>
      </w:r>
    </w:p>
    <w:p w14:paraId="0000000B">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Calibri" w:hAnsi="Calibri" w:cs="Calibri"/>
        </w:rPr>
      </w:pPr>
    </w:p>
    <w:tbl>
      <w:tblPr>
        <w:tblStyle w:val="13"/>
        <w:tblW w:w="93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60"/>
        <w:gridCol w:w="3615"/>
        <w:gridCol w:w="1395"/>
        <w:gridCol w:w="1320"/>
        <w:gridCol w:w="1110"/>
      </w:tblGrid>
      <w:tr w14:paraId="66198D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C9DAF8"/>
            <w:tcMar>
              <w:top w:w="100" w:type="dxa"/>
              <w:left w:w="100" w:type="dxa"/>
              <w:bottom w:w="100" w:type="dxa"/>
              <w:right w:w="100" w:type="dxa"/>
            </w:tcMar>
            <w:vAlign w:val="top"/>
          </w:tcPr>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b/>
              </w:rPr>
            </w:pPr>
            <w:r>
              <w:rPr>
                <w:rFonts w:hint="default" w:ascii="Calibri" w:hAnsi="Calibri" w:cs="Calibri"/>
                <w:b/>
                <w:rtl w:val="0"/>
              </w:rPr>
              <w:t>Threat source</w:t>
            </w:r>
          </w:p>
        </w:tc>
        <w:tc>
          <w:tcPr>
            <w:shd w:val="clear" w:color="auto" w:fill="C9DAF8"/>
            <w:tcMar>
              <w:top w:w="100" w:type="dxa"/>
              <w:left w:w="100" w:type="dxa"/>
              <w:bottom w:w="100" w:type="dxa"/>
              <w:right w:w="100" w:type="dxa"/>
            </w:tcMar>
            <w:vAlign w:val="top"/>
          </w:tcPr>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b/>
              </w:rPr>
            </w:pPr>
            <w:r>
              <w:rPr>
                <w:rFonts w:hint="default" w:ascii="Calibri" w:hAnsi="Calibri" w:cs="Calibri"/>
                <w:b/>
                <w:rtl w:val="0"/>
              </w:rPr>
              <w:t>Threat event</w:t>
            </w:r>
          </w:p>
        </w:tc>
        <w:tc>
          <w:tcPr>
            <w:shd w:val="clear" w:color="auto" w:fill="C9DAF8"/>
            <w:tcMar>
              <w:top w:w="100" w:type="dxa"/>
              <w:left w:w="100" w:type="dxa"/>
              <w:bottom w:w="100" w:type="dxa"/>
              <w:right w:w="100" w:type="dxa"/>
            </w:tcMar>
            <w:vAlign w:val="top"/>
          </w:tcPr>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b/>
              </w:rPr>
            </w:pPr>
            <w:r>
              <w:rPr>
                <w:rFonts w:hint="default" w:ascii="Calibri" w:hAnsi="Calibri" w:cs="Calibri"/>
                <w:b/>
                <w:rtl w:val="0"/>
              </w:rPr>
              <w:t>Likelihood</w:t>
            </w:r>
          </w:p>
        </w:tc>
        <w:tc>
          <w:tcPr>
            <w:shd w:val="clear" w:color="auto" w:fill="C9DAF8"/>
            <w:tcMar>
              <w:top w:w="100" w:type="dxa"/>
              <w:left w:w="100" w:type="dxa"/>
              <w:bottom w:w="100" w:type="dxa"/>
              <w:right w:w="100" w:type="dxa"/>
            </w:tcMar>
            <w:vAlign w:val="top"/>
          </w:tcPr>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b/>
              </w:rPr>
            </w:pPr>
            <w:r>
              <w:rPr>
                <w:rFonts w:hint="default" w:ascii="Calibri" w:hAnsi="Calibri" w:cs="Calibri"/>
                <w:b/>
                <w:rtl w:val="0"/>
              </w:rPr>
              <w:t>Severity</w:t>
            </w:r>
          </w:p>
        </w:tc>
        <w:tc>
          <w:tcPr>
            <w:shd w:val="clear" w:color="auto" w:fill="C9DAF8"/>
            <w:tcMar>
              <w:top w:w="100" w:type="dxa"/>
              <w:left w:w="100" w:type="dxa"/>
              <w:bottom w:w="100" w:type="dxa"/>
              <w:right w:w="100" w:type="dxa"/>
            </w:tcMar>
            <w:vAlign w:val="top"/>
          </w:tcPr>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b/>
              </w:rPr>
            </w:pPr>
            <w:r>
              <w:rPr>
                <w:rFonts w:hint="default" w:ascii="Calibri" w:hAnsi="Calibri" w:cs="Calibri"/>
                <w:b/>
                <w:rtl w:val="0"/>
              </w:rPr>
              <w:t>Risk</w:t>
            </w:r>
          </w:p>
        </w:tc>
      </w:tr>
      <w:tr w14:paraId="23CF65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i/>
              </w:rPr>
            </w:pPr>
            <w:r>
              <w:rPr>
                <w:rFonts w:hint="default" w:ascii="Calibri" w:hAnsi="Calibri" w:cs="Calibri"/>
                <w:i/>
                <w:rtl w:val="0"/>
              </w:rPr>
              <w:t>Privileged User</w:t>
            </w:r>
          </w:p>
        </w:tc>
        <w:tc>
          <w:tcPr>
            <w:shd w:val="clear" w:color="auto" w:fill="auto"/>
            <w:tcMar>
              <w:top w:w="100" w:type="dxa"/>
              <w:left w:w="100" w:type="dxa"/>
              <w:bottom w:w="100" w:type="dxa"/>
              <w:right w:w="100" w:type="dxa"/>
            </w:tcMar>
            <w:vAlign w:val="top"/>
          </w:tcPr>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i/>
              </w:rPr>
            </w:pPr>
            <w:r>
              <w:rPr>
                <w:rFonts w:hint="default" w:ascii="Calibri" w:hAnsi="Calibri" w:cs="Calibri"/>
                <w:i/>
                <w:rtl w:val="0"/>
              </w:rPr>
              <w:t>Alter/Delete Critical Information</w:t>
            </w:r>
          </w:p>
        </w:tc>
        <w:tc>
          <w:tcPr>
            <w:shd w:val="clear" w:color="auto" w:fill="auto"/>
            <w:tcMar>
              <w:top w:w="100" w:type="dxa"/>
              <w:left w:w="100" w:type="dxa"/>
              <w:bottom w:w="100" w:type="dxa"/>
              <w:right w:w="100" w:type="dxa"/>
            </w:tcMar>
            <w:vAlign w:val="top"/>
          </w:tcPr>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i/>
              </w:rPr>
            </w:pPr>
            <w:r>
              <w:rPr>
                <w:rFonts w:hint="default" w:ascii="Calibri" w:hAnsi="Calibri" w:cs="Calibri"/>
                <w:i/>
                <w:rtl w:val="0"/>
              </w:rPr>
              <w:t>3</w:t>
            </w:r>
          </w:p>
        </w:tc>
        <w:tc>
          <w:tcPr>
            <w:shd w:val="clear" w:color="auto" w:fill="auto"/>
            <w:tcMar>
              <w:top w:w="100" w:type="dxa"/>
              <w:left w:w="100" w:type="dxa"/>
              <w:bottom w:w="100" w:type="dxa"/>
              <w:right w:w="10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i/>
              </w:rPr>
            </w:pPr>
            <w:r>
              <w:rPr>
                <w:rFonts w:hint="default" w:ascii="Calibri" w:hAnsi="Calibri" w:cs="Calibri"/>
                <w:i/>
                <w:rtl w:val="0"/>
              </w:rPr>
              <w:t>3</w:t>
            </w:r>
          </w:p>
        </w:tc>
        <w:tc>
          <w:tcPr>
            <w:shd w:val="clear" w:color="auto" w:fill="auto"/>
            <w:tcMar>
              <w:top w:w="100" w:type="dxa"/>
              <w:left w:w="100" w:type="dxa"/>
              <w:bottom w:w="100" w:type="dxa"/>
              <w:right w:w="10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i/>
              </w:rPr>
            </w:pPr>
            <w:r>
              <w:rPr>
                <w:rFonts w:hint="default" w:ascii="Calibri" w:hAnsi="Calibri" w:cs="Calibri"/>
                <w:i/>
                <w:rtl w:val="0"/>
              </w:rPr>
              <w:t>9</w:t>
            </w:r>
          </w:p>
        </w:tc>
      </w:tr>
      <w:tr w14:paraId="73CA4E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i/>
              </w:rPr>
            </w:pPr>
            <w:r>
              <w:rPr>
                <w:rFonts w:hint="default" w:ascii="Calibri" w:hAnsi="Calibri" w:cs="Calibri"/>
                <w:i/>
                <w:rtl w:val="0"/>
              </w:rPr>
              <w:t>Hacker (Outsider)</w:t>
            </w:r>
          </w:p>
        </w:tc>
        <w:tc>
          <w:tcPr>
            <w:shd w:val="clear" w:color="auto" w:fill="auto"/>
            <w:tcMar>
              <w:top w:w="100" w:type="dxa"/>
              <w:left w:w="100" w:type="dxa"/>
              <w:bottom w:w="100" w:type="dxa"/>
              <w:right w:w="10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i/>
              </w:rPr>
            </w:pPr>
            <w:r>
              <w:rPr>
                <w:rFonts w:hint="default" w:ascii="Calibri" w:hAnsi="Calibri" w:cs="Calibri"/>
                <w:i/>
                <w:rtl w:val="0"/>
              </w:rPr>
              <w:t>Conduct Denial of Service (DoS) attacks</w:t>
            </w:r>
          </w:p>
        </w:tc>
        <w:tc>
          <w:tcPr>
            <w:shd w:val="clear" w:color="auto" w:fill="auto"/>
            <w:tcMar>
              <w:top w:w="100" w:type="dxa"/>
              <w:left w:w="100" w:type="dxa"/>
              <w:bottom w:w="100" w:type="dxa"/>
              <w:right w:w="10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i/>
              </w:rPr>
            </w:pPr>
            <w:r>
              <w:rPr>
                <w:rFonts w:hint="default" w:ascii="Calibri" w:hAnsi="Calibri" w:cs="Calibri"/>
                <w:i/>
                <w:rtl w:val="0"/>
              </w:rPr>
              <w:t>2</w:t>
            </w:r>
          </w:p>
        </w:tc>
        <w:tc>
          <w:tcPr>
            <w:shd w:val="clear" w:color="auto" w:fill="auto"/>
            <w:tcMar>
              <w:top w:w="100" w:type="dxa"/>
              <w:left w:w="100" w:type="dxa"/>
              <w:bottom w:w="100" w:type="dxa"/>
              <w:right w:w="10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i/>
              </w:rPr>
            </w:pPr>
            <w:r>
              <w:rPr>
                <w:rFonts w:hint="default" w:ascii="Calibri" w:hAnsi="Calibri" w:cs="Calibri"/>
                <w:i/>
                <w:rtl w:val="0"/>
              </w:rPr>
              <w:t>3</w:t>
            </w:r>
          </w:p>
        </w:tc>
        <w:tc>
          <w:tcPr>
            <w:shd w:val="clear" w:color="auto" w:fill="auto"/>
            <w:tcMar>
              <w:top w:w="100" w:type="dxa"/>
              <w:left w:w="100" w:type="dxa"/>
              <w:bottom w:w="100" w:type="dxa"/>
              <w:right w:w="100" w:type="dxa"/>
            </w:tcMar>
            <w:vAlign w:val="top"/>
          </w:tcPr>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i/>
              </w:rPr>
            </w:pPr>
            <w:r>
              <w:rPr>
                <w:rFonts w:hint="default" w:ascii="Calibri" w:hAnsi="Calibri" w:cs="Calibri"/>
                <w:i/>
                <w:rtl w:val="0"/>
              </w:rPr>
              <w:t>6</w:t>
            </w:r>
          </w:p>
        </w:tc>
      </w:tr>
      <w:tr w14:paraId="2F10CB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i/>
              </w:rPr>
            </w:pPr>
            <w:r>
              <w:rPr>
                <w:rFonts w:hint="default" w:ascii="Calibri" w:hAnsi="Calibri" w:cs="Calibri"/>
                <w:i/>
                <w:rtl w:val="0"/>
              </w:rPr>
              <w:t>Malicious Software</w:t>
            </w:r>
          </w:p>
        </w:tc>
        <w:tc>
          <w:tcPr>
            <w:shd w:val="clear" w:color="auto" w:fill="auto"/>
            <w:tcMar>
              <w:top w:w="100" w:type="dxa"/>
              <w:left w:w="100" w:type="dxa"/>
              <w:bottom w:w="100" w:type="dxa"/>
              <w:right w:w="100" w:type="dxa"/>
            </w:tcMar>
            <w:vAlign w:val="top"/>
          </w:tcPr>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i/>
              </w:rPr>
            </w:pPr>
            <w:r>
              <w:rPr>
                <w:rFonts w:hint="default" w:ascii="Calibri" w:hAnsi="Calibri" w:cs="Calibri"/>
                <w:i/>
                <w:rtl w:val="0"/>
              </w:rPr>
              <w:t>Obtain sensitive information via exfiltration</w:t>
            </w:r>
          </w:p>
        </w:tc>
        <w:tc>
          <w:tcPr>
            <w:shd w:val="clear" w:color="auto" w:fill="auto"/>
            <w:tcMar>
              <w:top w:w="100" w:type="dxa"/>
              <w:left w:w="100" w:type="dxa"/>
              <w:bottom w:w="100" w:type="dxa"/>
              <w:right w:w="100" w:type="dxa"/>
            </w:tcMar>
            <w:vAlign w:val="top"/>
          </w:tcPr>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i/>
              </w:rPr>
            </w:pPr>
            <w:r>
              <w:rPr>
                <w:rFonts w:hint="default" w:ascii="Calibri" w:hAnsi="Calibri" w:cs="Calibri"/>
                <w:i/>
                <w:rtl w:val="0"/>
              </w:rPr>
              <w:t>2</w:t>
            </w:r>
          </w:p>
        </w:tc>
        <w:tc>
          <w:tcPr>
            <w:shd w:val="clear" w:color="auto" w:fill="auto"/>
            <w:tcMar>
              <w:top w:w="100" w:type="dxa"/>
              <w:left w:w="100" w:type="dxa"/>
              <w:bottom w:w="100" w:type="dxa"/>
              <w:right w:w="100" w:type="dxa"/>
            </w:tcMar>
            <w:vAlign w:val="top"/>
          </w:tcPr>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i/>
              </w:rPr>
            </w:pPr>
            <w:r>
              <w:rPr>
                <w:rFonts w:hint="default" w:ascii="Calibri" w:hAnsi="Calibri" w:cs="Calibri"/>
                <w:i/>
                <w:rtl w:val="0"/>
              </w:rPr>
              <w:t>3</w:t>
            </w:r>
          </w:p>
        </w:tc>
        <w:tc>
          <w:tcPr>
            <w:shd w:val="clear" w:color="auto" w:fill="auto"/>
            <w:tcMar>
              <w:top w:w="100" w:type="dxa"/>
              <w:left w:w="100" w:type="dxa"/>
              <w:bottom w:w="100" w:type="dxa"/>
              <w:right w:w="100" w:type="dxa"/>
            </w:tcMar>
            <w:vAlign w:val="top"/>
          </w:tcPr>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cs="Calibri"/>
                <w:i/>
              </w:rPr>
            </w:pPr>
            <w:r>
              <w:rPr>
                <w:rFonts w:hint="default" w:ascii="Calibri" w:hAnsi="Calibri" w:cs="Calibri"/>
                <w:i/>
                <w:rtl w:val="0"/>
              </w:rPr>
              <w:t>6</w:t>
            </w:r>
          </w:p>
        </w:tc>
      </w:tr>
    </w:tbl>
    <w:p w14:paraId="00000020">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Calibri" w:hAnsi="Calibri" w:cs="Calibri"/>
        </w:rPr>
      </w:pPr>
    </w:p>
    <w:p w14:paraId="00000021">
      <w:pPr>
        <w:pStyle w:val="2"/>
        <w:rPr>
          <w:rFonts w:hint="default" w:ascii="Calibri" w:hAnsi="Calibri" w:cs="Calibri"/>
        </w:rPr>
      </w:pPr>
      <w:bookmarkStart w:id="7" w:name="_a9ivkvfuz16w" w:colFirst="0" w:colLast="0"/>
      <w:bookmarkEnd w:id="7"/>
      <w:r>
        <w:rPr>
          <w:rFonts w:hint="default" w:ascii="Calibri" w:hAnsi="Calibri" w:cs="Calibri"/>
          <w:rtl w:val="0"/>
        </w:rPr>
        <w:t>Approach</w:t>
      </w:r>
    </w:p>
    <w:p w14:paraId="00000022">
      <w:pPr>
        <w:rPr>
          <w:rFonts w:hint="default" w:ascii="Calibri" w:hAnsi="Calibri" w:cs="Calibri"/>
        </w:rPr>
      </w:pPr>
      <w:r>
        <w:rPr>
          <w:rFonts w:hint="default" w:ascii="Calibri" w:hAnsi="Calibri" w:cs="Calibri"/>
          <w:rtl w:val="0"/>
        </w:rPr>
        <w:t>The three threat sources/events were selected based on the system’s exposure and historical vulnerabilities. Privileged Users (e.g., contractors with lingering Admin access) were prioritized due to past incidents demonstrating high misuse potential. Hackers targeting the publicly accessible server pose significant risks, as DoS attacks could disrupt operations. Malicious Software was included due to outdated access controls increasing exfiltration risks. These threats align with NIST’s guidance on internal/external threat sources and reflect critical gaps in current security practices, making them high-priority risks to business continuity and data integrity.</w:t>
      </w:r>
    </w:p>
    <w:p w14:paraId="00000023">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Calibri" w:hAnsi="Calibri" w:cs="Calibri"/>
        </w:rPr>
      </w:pPr>
      <w:bookmarkStart w:id="8" w:name="_vf6vykh0xvv7" w:colFirst="0" w:colLast="0"/>
      <w:bookmarkEnd w:id="8"/>
      <w:r>
        <w:rPr>
          <w:rFonts w:hint="default" w:ascii="Calibri" w:hAnsi="Calibri" w:cs="Calibri"/>
          <w:rtl w:val="0"/>
        </w:rPr>
        <w:t>Remediation Strategy</w:t>
      </w:r>
    </w:p>
    <w:p w14:paraId="00000024">
      <w:pPr>
        <w:rPr>
          <w:rFonts w:hint="default" w:ascii="Calibri" w:hAnsi="Calibri" w:cs="Calibri"/>
        </w:rPr>
      </w:pPr>
      <w:r>
        <w:rPr>
          <w:rFonts w:hint="default" w:ascii="Calibri" w:hAnsi="Calibri" w:cs="Calibri"/>
          <w:rtl w:val="0"/>
        </w:rPr>
        <w:t>To mitigate risks:</w:t>
      </w:r>
    </w:p>
    <w:p w14:paraId="00000025">
      <w:pPr>
        <w:numPr>
          <w:ilvl w:val="0"/>
          <w:numId w:val="1"/>
        </w:numPr>
        <w:spacing w:after="0" w:afterAutospacing="0"/>
        <w:ind w:left="720" w:hanging="360"/>
        <w:rPr>
          <w:rFonts w:hint="default" w:ascii="Calibri" w:hAnsi="Calibri" w:cs="Calibri"/>
          <w:u w:val="none"/>
        </w:rPr>
      </w:pPr>
      <w:r>
        <w:rPr>
          <w:rFonts w:hint="default" w:ascii="Calibri" w:hAnsi="Calibri" w:cs="Calibri"/>
          <w:rtl w:val="0"/>
        </w:rPr>
        <w:t>Principle of Least Privilege: Restrict privileged users (e.g., contractors) to minimal necessary access, coupled with automated deprovisioning upon contract termination.</w:t>
      </w:r>
    </w:p>
    <w:p w14:paraId="00000026">
      <w:pPr>
        <w:numPr>
          <w:ilvl w:val="0"/>
          <w:numId w:val="1"/>
        </w:numPr>
        <w:spacing w:before="0" w:beforeAutospacing="0" w:after="0" w:afterAutospacing="0"/>
        <w:ind w:left="720" w:hanging="360"/>
        <w:rPr>
          <w:rFonts w:hint="default" w:ascii="Calibri" w:hAnsi="Calibri" w:cs="Calibri"/>
          <w:u w:val="none"/>
        </w:rPr>
      </w:pPr>
      <w:r>
        <w:rPr>
          <w:rFonts w:hint="default" w:ascii="Calibri" w:hAnsi="Calibri" w:cs="Calibri"/>
          <w:rtl w:val="0"/>
        </w:rPr>
        <w:t>Defense in Depth: Deploy firewalls, intrusion detection systems (IDS), and rate-limiting to deter DoS attacks from external hackers.</w:t>
      </w:r>
    </w:p>
    <w:p w14:paraId="00000027">
      <w:pPr>
        <w:numPr>
          <w:ilvl w:val="0"/>
          <w:numId w:val="1"/>
        </w:numPr>
        <w:spacing w:before="0" w:beforeAutospacing="0" w:after="0" w:afterAutospacing="0"/>
        <w:ind w:left="720" w:hanging="360"/>
        <w:rPr>
          <w:rFonts w:hint="default" w:ascii="Calibri" w:hAnsi="Calibri" w:cs="Calibri"/>
          <w:u w:val="none"/>
        </w:rPr>
      </w:pPr>
      <w:r>
        <w:rPr>
          <w:rFonts w:hint="default" w:ascii="Calibri" w:hAnsi="Calibri" w:cs="Calibri"/>
          <w:rtl w:val="0"/>
        </w:rPr>
        <w:t>Multi-Factor Authentication (MFA): Require MFA for Admin actions and remote access to reduce unauthorized alterations or breaches.</w:t>
      </w:r>
    </w:p>
    <w:p w14:paraId="00000028">
      <w:pPr>
        <w:numPr>
          <w:ilvl w:val="0"/>
          <w:numId w:val="1"/>
        </w:numPr>
        <w:spacing w:before="0" w:beforeAutospacing="0"/>
        <w:ind w:left="720" w:hanging="360"/>
        <w:rPr>
          <w:rFonts w:hint="default" w:ascii="Calibri" w:hAnsi="Calibri" w:cs="Calibri"/>
          <w:u w:val="none"/>
        </w:rPr>
      </w:pPr>
      <w:r>
        <w:rPr>
          <w:rFonts w:hint="default" w:ascii="Calibri" w:hAnsi="Calibri" w:cs="Calibri"/>
          <w:rtl w:val="0"/>
        </w:rPr>
        <w:t>Regular Audits &amp; AAA Framework: Conduct quarterly access reviews and enforce Authentication, Authorization, and Accounting (AAA) to detect/prevent malware-related exfiltration. These controls address root causes while aligning with NIST’s risk management strategies.</w:t>
      </w:r>
    </w:p>
    <w:p w14:paraId="00000029">
      <w:pPr>
        <w:pageBreakBefore w:val="0"/>
        <w:pBdr>
          <w:top w:val="none" w:color="auto" w:sz="0" w:space="0"/>
          <w:left w:val="none" w:color="auto" w:sz="0" w:space="0"/>
          <w:bottom w:val="none" w:color="auto" w:sz="0" w:space="0"/>
          <w:right w:val="none" w:color="auto" w:sz="0" w:space="0"/>
          <w:between w:val="none" w:color="auto" w:sz="0" w:space="0"/>
        </w:pBdr>
        <w:shd w:val="clear" w:fill="auto"/>
      </w:pPr>
      <w:bookmarkStart w:id="9" w:name="_GoBack"/>
      <w:bookmarkEnd w:id="9"/>
    </w:p>
    <w:sectPr>
      <w:headerReference r:id="rId6" w:type="first"/>
      <w:footerReference r:id="rId8" w:type="first"/>
      <w:headerReference r:id="rId5" w:type="default"/>
      <w:footerReference r:id="rId7" w:type="default"/>
      <w:pgSz w:w="12240" w:h="15840"/>
      <w:pgMar w:top="1080" w:right="1440" w:bottom="1080" w:left="1440" w:header="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oogle Sans">
    <w:altName w:val="SimSun"/>
    <w:panose1 w:val="00000000000000000000"/>
    <w:charset w:val="86"/>
    <w:family w:val="auto"/>
    <w:pitch w:val="default"/>
    <w:sig w:usb0="00000000" w:usb1="00000000" w:usb2="00000000" w:usb3="00000000" w:csb0="00000000" w:csb1="00000000"/>
  </w:font>
  <w:font w:name="Proxima Nova">
    <w:altName w:val="Segoe Print"/>
    <w:panose1 w:val="00000000000000000000"/>
    <w:charset w:val="00"/>
    <w:family w:val="auto"/>
    <w:pitch w:val="default"/>
    <w:sig w:usb0="00000000" w:usb1="00000000" w:usb2="00000000" w:usb3="00000000" w:csb0="00000000" w:csb1="00000000"/>
  </w:font>
  <w:font w:name="Trebuchet MS">
    <w:panose1 w:val="020B0603020202020204"/>
    <w:charset w:val="00"/>
    <w:family w:val="auto"/>
    <w:pitch w:val="default"/>
    <w:sig w:usb0="00000687"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D">
    <w:pPr>
      <w:pageBreakBefore w:val="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C">
    <w:pPr>
      <w:pageBreakBefore w:val="0"/>
      <w:pBdr>
        <w:top w:val="none" w:color="auto" w:sz="0" w:space="0"/>
        <w:left w:val="none" w:color="auto" w:sz="0" w:space="0"/>
        <w:bottom w:val="none" w:color="auto" w:sz="0" w:space="0"/>
        <w:right w:val="none" w:color="auto" w:sz="0" w:space="0"/>
        <w:between w:val="none" w:color="auto" w:sz="0" w:space="0"/>
      </w:pBdr>
      <w:shd w:val="clear" w:fill="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A">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B">
    <w:pPr>
      <w:pageBreakBefore w:val="0"/>
      <w:pBdr>
        <w:top w:val="none" w:color="auto" w:sz="0" w:space="0"/>
        <w:left w:val="none" w:color="auto" w:sz="0" w:space="0"/>
        <w:bottom w:val="none" w:color="auto" w:sz="0" w:space="0"/>
        <w:right w:val="none" w:color="auto" w:sz="0" w:space="0"/>
        <w:between w:val="none" w:color="auto" w:sz="0" w:space="0"/>
      </w:pBdr>
      <w:shd w:val="clear" w:fill="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D7C41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oogle Sans" w:hAnsi="Google Sans" w:eastAsia="Google Sans" w:cs="Google Sans"/>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200" w:line="312" w:lineRule="auto"/>
    </w:pPr>
    <w:rPr>
      <w:rFonts w:ascii="Google Sans" w:hAnsi="Google Sans" w:eastAsia="Google Sans" w:cs="Google Sans"/>
      <w:color w:val="353744"/>
      <w:sz w:val="22"/>
      <w:szCs w:val="22"/>
      <w:lang w:val="en"/>
    </w:rPr>
  </w:style>
  <w:style w:type="paragraph" w:styleId="2">
    <w:name w:val="heading 1"/>
    <w:basedOn w:val="1"/>
    <w:next w:val="1"/>
    <w:qFormat/>
    <w:uiPriority w:val="0"/>
    <w:pPr>
      <w:pageBreakBefore w:val="0"/>
      <w:spacing w:before="480" w:line="240" w:lineRule="auto"/>
    </w:pPr>
    <w:rPr>
      <w:rFonts w:ascii="Proxima Nova" w:hAnsi="Proxima Nova" w:eastAsia="Proxima Nova" w:cs="Proxima Nova"/>
      <w:b/>
      <w:color w:val="353744"/>
      <w:sz w:val="28"/>
      <w:szCs w:val="28"/>
    </w:rPr>
  </w:style>
  <w:style w:type="paragraph" w:styleId="3">
    <w:name w:val="heading 2"/>
    <w:basedOn w:val="1"/>
    <w:next w:val="1"/>
    <w:qFormat/>
    <w:uiPriority w:val="0"/>
    <w:pPr>
      <w:pageBreakBefore w:val="0"/>
      <w:spacing w:before="320" w:line="240" w:lineRule="auto"/>
    </w:pPr>
    <w:rPr>
      <w:b/>
      <w:color w:val="00AB44"/>
      <w:sz w:val="28"/>
      <w:szCs w:val="28"/>
    </w:rPr>
  </w:style>
  <w:style w:type="paragraph" w:styleId="4">
    <w:name w:val="heading 3"/>
    <w:basedOn w:val="1"/>
    <w:next w:val="1"/>
    <w:qFormat/>
    <w:uiPriority w:val="0"/>
    <w:pPr>
      <w:pageBreakBefore w:val="0"/>
      <w:spacing w:line="240" w:lineRule="auto"/>
    </w:pPr>
    <w:rPr>
      <w:sz w:val="26"/>
      <w:szCs w:val="26"/>
    </w:rPr>
  </w:style>
  <w:style w:type="paragraph" w:styleId="5">
    <w:name w:val="heading 4"/>
    <w:basedOn w:val="1"/>
    <w:next w:val="1"/>
    <w:qFormat/>
    <w:uiPriority w:val="0"/>
    <w:pPr>
      <w:keepNext/>
      <w:keepLines/>
      <w:pageBreakBefore w:val="0"/>
      <w:spacing w:before="160" w:after="0"/>
    </w:pPr>
    <w:rPr>
      <w:rFonts w:ascii="Trebuchet MS" w:hAnsi="Trebuchet MS" w:eastAsia="Trebuchet MS" w:cs="Trebuchet MS"/>
      <w:color w:val="666666"/>
      <w:sz w:val="22"/>
      <w:szCs w:val="22"/>
      <w:u w:val="single"/>
    </w:rPr>
  </w:style>
  <w:style w:type="paragraph" w:styleId="6">
    <w:name w:val="heading 5"/>
    <w:basedOn w:val="1"/>
    <w:next w:val="1"/>
    <w:qFormat/>
    <w:uiPriority w:val="0"/>
    <w:pPr>
      <w:keepNext/>
      <w:keepLines/>
      <w:pageBreakBefore w:val="0"/>
      <w:spacing w:before="160" w:after="0"/>
    </w:pPr>
    <w:rPr>
      <w:rFonts w:ascii="Trebuchet MS" w:hAnsi="Trebuchet MS" w:eastAsia="Trebuchet MS" w:cs="Trebuchet MS"/>
      <w:color w:val="666666"/>
      <w:sz w:val="22"/>
      <w:szCs w:val="22"/>
    </w:rPr>
  </w:style>
  <w:style w:type="paragraph" w:styleId="7">
    <w:name w:val="heading 6"/>
    <w:basedOn w:val="1"/>
    <w:next w:val="1"/>
    <w:qFormat/>
    <w:uiPriority w:val="0"/>
    <w:pPr>
      <w:keepNext/>
      <w:keepLines/>
      <w:pageBreakBefore w:val="0"/>
      <w:spacing w:before="160" w:after="0"/>
    </w:pPr>
    <w:rPr>
      <w:rFonts w:ascii="Trebuchet MS" w:hAnsi="Trebuchet MS" w:eastAsia="Trebuchet MS" w:cs="Trebuchet MS"/>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pageBreakBefore w:val="0"/>
      <w:spacing w:before="0" w:line="240" w:lineRule="auto"/>
    </w:pPr>
    <w:rPr>
      <w:color w:val="666666"/>
      <w:sz w:val="26"/>
      <w:szCs w:val="26"/>
    </w:rPr>
  </w:style>
  <w:style w:type="paragraph" w:styleId="11">
    <w:name w:val="Title"/>
    <w:basedOn w:val="1"/>
    <w:next w:val="1"/>
    <w:qFormat/>
    <w:uiPriority w:val="0"/>
    <w:pPr>
      <w:pageBreakBefore w:val="0"/>
      <w:spacing w:before="320" w:line="240" w:lineRule="auto"/>
    </w:pPr>
    <w:rPr>
      <w:color w:val="353744"/>
      <w:sz w:val="72"/>
      <w:szCs w:val="72"/>
    </w:rPr>
  </w:style>
  <w:style w:type="table" w:customStyle="1" w:styleId="12">
    <w:name w:val="Table Normal1"/>
    <w:qFormat/>
    <w:uiPriority w:val="0"/>
  </w:style>
  <w:style w:type="table" w:customStyle="1" w:styleId="13">
    <w:name w:val="_Style 10"/>
    <w:basedOn w:val="1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2025-01-29T21:19:18Z</dcterms:created>
  <dc:creator>ilija</dc:creator>
  <cp:lastModifiedBy>Ilija Jovic</cp:lastModifiedBy>
  <dcterms:modified xsi:type="dcterms:W3CDTF">2025-01-29T21:19:33Z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135072C1728346C3BC2780868E7AB0F3_12</vt:lpwstr>
  </property>
</Properties>
</file>