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A9C" w:rsidRDefault="00C36A9C">
      <w:pPr>
        <w:rPr>
          <w:rFonts w:ascii="Helvetica" w:hAnsi="Helvetica" w:cs="Helvetica"/>
          <w:color w:val="5E5E5E"/>
          <w:spacing w:val="-8"/>
          <w:sz w:val="44"/>
          <w:szCs w:val="44"/>
          <w:shd w:val="clear" w:color="auto" w:fill="FFFFFF"/>
        </w:rPr>
      </w:pPr>
      <w:r>
        <w:rPr>
          <w:rFonts w:ascii="Helvetica" w:hAnsi="Helvetica" w:cs="Helvetica"/>
          <w:color w:val="5E5E5E"/>
          <w:spacing w:val="-8"/>
          <w:sz w:val="44"/>
          <w:szCs w:val="44"/>
          <w:shd w:val="clear" w:color="auto" w:fill="FFFFFF"/>
        </w:rPr>
        <w:t>Récidive de 3 ans pour les délinquants libérés de prison dans l'Iowa</w:t>
      </w:r>
    </w:p>
    <w:p w:rsidR="00C36A9C" w:rsidRDefault="00C36A9C">
      <w:pPr>
        <w:rPr>
          <w:rFonts w:ascii="Helvetica" w:hAnsi="Helvetica" w:cs="Helvetica"/>
          <w:color w:val="5E5E5E"/>
          <w:spacing w:val="-8"/>
          <w:sz w:val="44"/>
          <w:szCs w:val="44"/>
          <w:shd w:val="clear" w:color="auto" w:fill="FFFFFF"/>
        </w:rPr>
      </w:pPr>
      <w:r>
        <w:rPr>
          <w:rStyle w:val="meta-title"/>
          <w:rFonts w:ascii="Helvetica" w:hAnsi="Helvetica" w:cs="Helvetica"/>
          <w:b/>
          <w:bCs/>
          <w:color w:val="767676"/>
          <w:sz w:val="20"/>
          <w:szCs w:val="20"/>
          <w:shd w:val="clear" w:color="auto" w:fill="FFFFFF"/>
        </w:rPr>
        <w:t xml:space="preserve">Données fournies par : </w:t>
      </w:r>
      <w:r>
        <w:rPr>
          <w:rStyle w:val="Date1"/>
          <w:rFonts w:ascii="Helvetica" w:hAnsi="Helvetica" w:cs="Helvetica"/>
          <w:color w:val="5E5E5E"/>
          <w:sz w:val="20"/>
          <w:szCs w:val="20"/>
          <w:shd w:val="clear" w:color="auto" w:fill="FFFFFF"/>
        </w:rPr>
        <w:t>Département des services correctionnels de l'Iowa</w:t>
      </w:r>
    </w:p>
    <w:p w:rsidR="00C36A9C" w:rsidRDefault="00C36A9C">
      <w:pPr>
        <w:rPr>
          <w:rFonts w:ascii="Helvetica" w:hAnsi="Helvetica" w:cs="Helvetica"/>
          <w:color w:val="5E5E5E"/>
          <w:sz w:val="23"/>
          <w:szCs w:val="23"/>
          <w:shd w:val="clear" w:color="auto" w:fill="FFFFFF"/>
        </w:rPr>
      </w:pPr>
      <w:r>
        <w:rPr>
          <w:rFonts w:ascii="Helvetica" w:hAnsi="Helvetica" w:cs="Helvetica"/>
          <w:color w:val="5E5E5E"/>
          <w:sz w:val="23"/>
          <w:szCs w:val="23"/>
          <w:shd w:val="clear" w:color="auto" w:fill="FFFFFF"/>
        </w:rPr>
        <w:t>Cet ensemble de données indique si un délinquant est réincarcéré ou non dans les trois ans suivant sa sortie de prison dans l'Iowa. L'année de déclaration de la récidive est l'année fiscale (année se terminant le 30 juin) marquant la fin de la période de suivi de trois ans.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Le Département des services correctionnels utilise la récidive comme indicateur pour déterminer si les stratégies réduisent les rechutes des délinquants dans un comportement criminel. Un délai de trois ans est utilisé, car des études ont montré que si un délinquant rechute dans un comportement criminel, il est plus probable que cela se produise dans les trois ans suivant sa libération.</w:t>
      </w:r>
    </w:p>
    <w:p w:rsidR="00C36A9C" w:rsidRDefault="00C36A9C" w:rsidP="00C36A9C">
      <w:pPr>
        <w:spacing w:after="0" w:line="240" w:lineRule="auto"/>
        <w:outlineLvl w:val="1"/>
        <w:rPr>
          <w:rFonts w:ascii="inherit" w:eastAsia="Times New Roman" w:hAnsi="inherit" w:cs="Times New Roman"/>
          <w:spacing w:val="-5"/>
          <w:sz w:val="30"/>
          <w:szCs w:val="30"/>
          <w:lang w:eastAsia="fr-FR"/>
        </w:rPr>
      </w:pPr>
      <w:r w:rsidRPr="00C36A9C">
        <w:rPr>
          <w:rFonts w:ascii="inherit" w:eastAsia="Times New Roman" w:hAnsi="inherit" w:cs="Times New Roman"/>
          <w:spacing w:val="-5"/>
          <w:sz w:val="30"/>
          <w:szCs w:val="30"/>
          <w:lang w:eastAsia="fr-FR"/>
        </w:rPr>
        <w:t>Colonnes de cet ensemble de données</w:t>
      </w:r>
    </w:p>
    <w:p w:rsidR="00215424" w:rsidRPr="00C36A9C" w:rsidRDefault="00215424" w:rsidP="00C36A9C">
      <w:pPr>
        <w:spacing w:after="0" w:line="240" w:lineRule="auto"/>
        <w:outlineLvl w:val="1"/>
        <w:rPr>
          <w:rFonts w:ascii="inherit" w:eastAsia="Times New Roman" w:hAnsi="inherit" w:cs="Times New Roman"/>
          <w:spacing w:val="-5"/>
          <w:sz w:val="30"/>
          <w:szCs w:val="30"/>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410"/>
        <w:gridCol w:w="4111"/>
        <w:gridCol w:w="1113"/>
        <w:gridCol w:w="1438"/>
      </w:tblGrid>
      <w:tr w:rsidR="00C36A9C" w:rsidRPr="00C36A9C" w:rsidTr="00215424">
        <w:trPr>
          <w:gridAfter w:val="1"/>
          <w:wAfter w:w="1438" w:type="dxa"/>
          <w:tblHeader/>
        </w:trPr>
        <w:tc>
          <w:tcPr>
            <w:tcW w:w="2410"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C36A9C" w:rsidRPr="00C36A9C" w:rsidRDefault="00C36A9C" w:rsidP="00C36A9C">
            <w:pPr>
              <w:spacing w:before="225" w:after="0" w:line="240" w:lineRule="auto"/>
              <w:rPr>
                <w:rFonts w:ascii="Times New Roman" w:eastAsia="Times New Roman" w:hAnsi="Times New Roman" w:cs="Times New Roman"/>
                <w:color w:val="6A6A6A"/>
                <w:sz w:val="20"/>
                <w:szCs w:val="20"/>
                <w:lang w:eastAsia="fr-FR"/>
              </w:rPr>
            </w:pPr>
            <w:r w:rsidRPr="00C36A9C">
              <w:rPr>
                <w:rFonts w:ascii="Times New Roman" w:eastAsia="Times New Roman" w:hAnsi="Times New Roman" w:cs="Times New Roman"/>
                <w:color w:val="6A6A6A"/>
                <w:sz w:val="20"/>
                <w:szCs w:val="20"/>
                <w:lang w:eastAsia="fr-FR"/>
              </w:rPr>
              <w:t>Nom de colonne</w:t>
            </w:r>
          </w:p>
        </w:tc>
        <w:tc>
          <w:tcPr>
            <w:tcW w:w="4111"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C36A9C" w:rsidRPr="00C36A9C" w:rsidRDefault="00215424" w:rsidP="00C36A9C">
            <w:pPr>
              <w:spacing w:before="225" w:after="0" w:line="240" w:lineRule="auto"/>
              <w:rPr>
                <w:rFonts w:ascii="Times New Roman" w:eastAsia="Times New Roman" w:hAnsi="Times New Roman" w:cs="Times New Roman"/>
                <w:color w:val="6A6A6A"/>
                <w:sz w:val="20"/>
                <w:szCs w:val="20"/>
                <w:lang w:eastAsia="fr-FR"/>
              </w:rPr>
            </w:pPr>
            <w:r>
              <w:rPr>
                <w:rFonts w:ascii="Times New Roman" w:eastAsia="Times New Roman" w:hAnsi="Times New Roman" w:cs="Times New Roman"/>
                <w:color w:val="6A6A6A"/>
                <w:sz w:val="20"/>
                <w:szCs w:val="20"/>
                <w:lang w:eastAsia="fr-FR"/>
              </w:rPr>
              <w:t>D</w:t>
            </w:r>
            <w:r w:rsidR="00C36A9C" w:rsidRPr="00C36A9C">
              <w:rPr>
                <w:rFonts w:ascii="Times New Roman" w:eastAsia="Times New Roman" w:hAnsi="Times New Roman" w:cs="Times New Roman"/>
                <w:color w:val="6A6A6A"/>
                <w:sz w:val="20"/>
                <w:szCs w:val="20"/>
                <w:lang w:eastAsia="fr-FR"/>
              </w:rPr>
              <w:t>escription</w:t>
            </w:r>
          </w:p>
        </w:tc>
        <w:tc>
          <w:tcPr>
            <w:tcW w:w="1113" w:type="dxa"/>
            <w:tcBorders>
              <w:top w:val="nil"/>
              <w:left w:val="nil"/>
              <w:bottom w:val="single" w:sz="6" w:space="0" w:color="E4E4E4"/>
              <w:right w:val="nil"/>
            </w:tcBorders>
            <w:shd w:val="clear" w:color="auto" w:fill="auto"/>
            <w:tcMar>
              <w:top w:w="0" w:type="dxa"/>
              <w:left w:w="225" w:type="dxa"/>
              <w:bottom w:w="150" w:type="dxa"/>
              <w:right w:w="225" w:type="dxa"/>
            </w:tcMar>
            <w:vAlign w:val="bottom"/>
            <w:hideMark/>
          </w:tcPr>
          <w:p w:rsidR="00C36A9C" w:rsidRPr="00C36A9C" w:rsidRDefault="00215424" w:rsidP="00C36A9C">
            <w:pPr>
              <w:spacing w:before="225" w:after="0" w:line="240" w:lineRule="auto"/>
              <w:rPr>
                <w:rFonts w:ascii="Times New Roman" w:eastAsia="Times New Roman" w:hAnsi="Times New Roman" w:cs="Times New Roman"/>
                <w:color w:val="6A6A6A"/>
                <w:sz w:val="20"/>
                <w:szCs w:val="20"/>
                <w:lang w:eastAsia="fr-FR"/>
              </w:rPr>
            </w:pPr>
            <w:r>
              <w:rPr>
                <w:rFonts w:ascii="Times New Roman" w:eastAsia="Times New Roman" w:hAnsi="Times New Roman" w:cs="Times New Roman"/>
                <w:color w:val="6A6A6A"/>
                <w:sz w:val="20"/>
                <w:szCs w:val="20"/>
                <w:lang w:eastAsia="fr-FR"/>
              </w:rPr>
              <w:t>Type</w:t>
            </w: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before="225"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Fiscal.Year.Released</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before="225"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Année fiscale (année se terminant le 30 juin) pour laquelle le contrevenant a été libéré de prison.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before="225"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Nombre</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before="225" w:after="0" w:line="240" w:lineRule="auto"/>
              <w:rPr>
                <w:rFonts w:ascii="Times New Roman" w:eastAsia="Times New Roman" w:hAnsi="Times New Roman" w:cs="Times New Roman"/>
                <w:color w:val="565656"/>
                <w:sz w:val="20"/>
                <w:szCs w:val="20"/>
                <w:lang w:eastAsia="fr-FR"/>
              </w:rPr>
            </w:pPr>
          </w:p>
        </w:tc>
      </w:tr>
      <w:tr w:rsidR="00C36A9C" w:rsidRPr="00C36A9C" w:rsidTr="00C36A9C">
        <w:tc>
          <w:tcPr>
            <w:tcW w:w="0" w:type="auto"/>
            <w:gridSpan w:val="4"/>
            <w:tcBorders>
              <w:top w:val="single" w:sz="6" w:space="0" w:color="E4E4E4"/>
              <w:left w:val="nil"/>
              <w:bottom w:val="single" w:sz="6" w:space="0" w:color="E4E4E4"/>
              <w:right w:val="nil"/>
            </w:tcBorders>
            <w:tcMar>
              <w:top w:w="0" w:type="dxa"/>
              <w:left w:w="0" w:type="dxa"/>
              <w:bottom w:w="0" w:type="dxa"/>
              <w:right w:w="0" w:type="dxa"/>
            </w:tcMar>
            <w:vAlign w:val="center"/>
            <w:hideMark/>
          </w:tcPr>
          <w:p w:rsidR="00C36A9C" w:rsidRPr="00C36A9C" w:rsidRDefault="00C36A9C" w:rsidP="00215424">
            <w:pPr>
              <w:spacing w:after="0" w:line="240" w:lineRule="auto"/>
              <w:rPr>
                <w:rFonts w:ascii="Times New Roman" w:eastAsia="Times New Roman" w:hAnsi="Times New Roman" w:cs="Times New Roman"/>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Recidivism.Reporting.Year</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Exercice fiscal (année se terminant le 30 juin) qui marque la fin de la période de suivi de 3 ans. Par exemple, les délinquants sortis de prison au cours de l'exercice 2012 se retrouvent dans le rapport sur la récidive de l'exercice 2015.</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Nombre</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C36A9C">
        <w:tc>
          <w:tcPr>
            <w:tcW w:w="0" w:type="auto"/>
            <w:gridSpan w:val="4"/>
            <w:tcBorders>
              <w:top w:val="single" w:sz="6" w:space="0" w:color="E4E4E4"/>
              <w:left w:val="nil"/>
              <w:bottom w:val="single" w:sz="6" w:space="0" w:color="E4E4E4"/>
              <w:right w:val="nil"/>
            </w:tcBorders>
            <w:tcMar>
              <w:top w:w="0" w:type="dxa"/>
              <w:left w:w="0" w:type="dxa"/>
              <w:bottom w:w="0" w:type="dxa"/>
              <w:right w:w="0" w:type="dxa"/>
            </w:tcMar>
            <w:vAlign w:val="center"/>
            <w:hideMark/>
          </w:tcPr>
          <w:p w:rsidR="00C36A9C" w:rsidRPr="00C36A9C" w:rsidRDefault="00C36A9C" w:rsidP="00215424">
            <w:pPr>
              <w:spacing w:after="0" w:line="240" w:lineRule="auto"/>
              <w:rPr>
                <w:rFonts w:ascii="Times New Roman" w:eastAsia="Times New Roman" w:hAnsi="Times New Roman" w:cs="Times New Roman"/>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Main.Supervising.District</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Le district judiciaire qui a supervisé le contrevenant le plus longtemps au cours de la période de suivi.</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C36A9C">
        <w:tc>
          <w:tcPr>
            <w:tcW w:w="0" w:type="auto"/>
            <w:gridSpan w:val="4"/>
            <w:tcBorders>
              <w:top w:val="single" w:sz="6" w:space="0" w:color="E4E4E4"/>
              <w:left w:val="nil"/>
              <w:bottom w:val="single" w:sz="6" w:space="0" w:color="E4E4E4"/>
              <w:right w:val="nil"/>
            </w:tcBorders>
            <w:tcMar>
              <w:top w:w="0" w:type="dxa"/>
              <w:left w:w="0" w:type="dxa"/>
              <w:bottom w:w="0" w:type="dxa"/>
              <w:right w:w="0" w:type="dxa"/>
            </w:tcMar>
            <w:vAlign w:val="center"/>
            <w:hideMark/>
          </w:tcPr>
          <w:p w:rsidR="00C36A9C" w:rsidRPr="00C36A9C" w:rsidRDefault="00C36A9C" w:rsidP="00215424">
            <w:pPr>
              <w:spacing w:after="0" w:line="240" w:lineRule="auto"/>
              <w:rPr>
                <w:rFonts w:ascii="Times New Roman" w:eastAsia="Times New Roman" w:hAnsi="Times New Roman" w:cs="Times New Roman"/>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Release.Type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Raisons de la sortie de prison du délinquant.</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r w:rsidRPr="00215424">
              <w:rPr>
                <w:rFonts w:ascii="Times New Roman" w:eastAsia="Times New Roman" w:hAnsi="Times New Roman" w:cs="Times New Roman"/>
                <w:b/>
                <w:bCs/>
                <w:color w:val="1C6387"/>
                <w:sz w:val="20"/>
                <w:szCs w:val="20"/>
                <w:lang w:eastAsia="fr-FR"/>
              </w:rPr>
              <w:t>Race...</w:t>
            </w:r>
            <w:proofErr w:type="spellStart"/>
            <w:r w:rsidRPr="00215424">
              <w:rPr>
                <w:rFonts w:ascii="Times New Roman" w:eastAsia="Times New Roman" w:hAnsi="Times New Roman" w:cs="Times New Roman"/>
                <w:b/>
                <w:bCs/>
                <w:color w:val="1C6387"/>
                <w:sz w:val="20"/>
                <w:szCs w:val="20"/>
                <w:lang w:eastAsia="fr-FR"/>
              </w:rPr>
              <w:t>Ethnicity</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Race et origine ethnique du contrevenant</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Age.At.Release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Groupe d'âge du délinquant à la sortie de prison.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215424">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C36A9C">
              <w:rPr>
                <w:rFonts w:ascii="Times New Roman" w:eastAsia="Times New Roman" w:hAnsi="Times New Roman" w:cs="Times New Roman"/>
                <w:b/>
                <w:bCs/>
                <w:color w:val="1C6387"/>
                <w:sz w:val="20"/>
                <w:szCs w:val="20"/>
                <w:lang w:eastAsia="fr-FR"/>
              </w:rPr>
              <w:lastRenderedPageBreak/>
              <w:t>Sex</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Sexe de notre délinquant</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Offense.Classification</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Sanctions maximales : A Crime = Vie ; B Crime = 25 ou 50 ans ; C Crime = 10 ans ; D Crime = 5 ans ; délit aggravé = 2 ans ; délit grave = 1 an ; Délit simple = 30 jours</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Offense.Type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Catégorie générale de l'infraction la plus grave pour laquelle le délinquant a été incarcéré.</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Offense.Subtype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Classification supplémentaire de l'infraction la plus grave pour laquelle le délinquant a été placé en prison.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Return.to.Prison</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Non = n'est pas retourné en prison au cours de la période de suivi de trois ans ; Oui = Admis en prison pour quelque raison que ce soit au cours de la période de suivi de trois ans</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Days.to.Return</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Nombre de jours qu'il a fallu avant que le délinquant ne retourne en prison.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Nombre</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Recidivism.Type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Indique le motif du retour en prison.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New.Offense.Classification</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 xml:space="preserve">Nouvelles peines maximales de condamnation : A </w:t>
            </w:r>
            <w:proofErr w:type="spellStart"/>
            <w:r w:rsidRPr="00C36A9C">
              <w:rPr>
                <w:rFonts w:ascii="Times New Roman" w:eastAsia="Times New Roman" w:hAnsi="Times New Roman" w:cs="Times New Roman"/>
                <w:color w:val="2C2C2C"/>
                <w:sz w:val="20"/>
                <w:szCs w:val="20"/>
                <w:lang w:eastAsia="fr-FR"/>
              </w:rPr>
              <w:t>Felony</w:t>
            </w:r>
            <w:proofErr w:type="spellEnd"/>
            <w:r w:rsidRPr="00C36A9C">
              <w:rPr>
                <w:rFonts w:ascii="Times New Roman" w:eastAsia="Times New Roman" w:hAnsi="Times New Roman" w:cs="Times New Roman"/>
                <w:color w:val="2C2C2C"/>
                <w:sz w:val="20"/>
                <w:szCs w:val="20"/>
                <w:lang w:eastAsia="fr-FR"/>
              </w:rPr>
              <w:t xml:space="preserve"> = Life; B Crime = 25 ou 50 ans ; C Crime = 10 ans ; D Crime = 5 ans ; délit aggravé = 2 ans ; délit grave = 1 an ; Délit simple = 30 jours</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New.Offense.Type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Catégorie générale pour la nouvelle condamnation pendant que le délinquant est hors de prison.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Times New Roman" w:eastAsia="Times New Roman" w:hAnsi="Times New Roman" w:cs="Times New Roman"/>
                <w:b/>
                <w:bCs/>
                <w:color w:val="1C6387"/>
                <w:sz w:val="20"/>
                <w:szCs w:val="20"/>
                <w:lang w:eastAsia="fr-FR"/>
              </w:rPr>
            </w:pPr>
            <w:proofErr w:type="spellStart"/>
            <w:r w:rsidRPr="00215424">
              <w:rPr>
                <w:rFonts w:ascii="Times New Roman" w:eastAsia="Times New Roman" w:hAnsi="Times New Roman" w:cs="Times New Roman"/>
                <w:b/>
                <w:bCs/>
                <w:color w:val="1C6387"/>
                <w:sz w:val="20"/>
                <w:szCs w:val="20"/>
                <w:lang w:eastAsia="fr-FR"/>
              </w:rPr>
              <w:t>New.Offense.Sub.Type</w:t>
            </w:r>
            <w:proofErr w:type="spellEnd"/>
          </w:p>
        </w:tc>
        <w:tc>
          <w:tcPr>
            <w:tcW w:w="4111"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2C2C2C"/>
                <w:sz w:val="20"/>
                <w:szCs w:val="20"/>
                <w:lang w:eastAsia="fr-FR"/>
              </w:rPr>
            </w:pPr>
            <w:r w:rsidRPr="00C36A9C">
              <w:rPr>
                <w:rFonts w:ascii="Times New Roman" w:eastAsia="Times New Roman" w:hAnsi="Times New Roman" w:cs="Times New Roman"/>
                <w:color w:val="2C2C2C"/>
                <w:sz w:val="20"/>
                <w:szCs w:val="20"/>
                <w:lang w:eastAsia="fr-FR"/>
              </w:rPr>
              <w:t>Classification supplémentaire de la nouvelle condamnation.</w:t>
            </w:r>
          </w:p>
        </w:tc>
        <w:tc>
          <w:tcPr>
            <w:tcW w:w="1113"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r w:rsidRPr="00C36A9C">
              <w:rPr>
                <w:rFonts w:ascii="Times New Roman" w:eastAsia="Times New Roman" w:hAnsi="Times New Roman" w:cs="Times New Roman"/>
                <w:color w:val="565656"/>
                <w:sz w:val="20"/>
                <w:szCs w:val="20"/>
                <w:lang w:eastAsia="fr-FR"/>
              </w:rPr>
              <w:t>Texte brut</w:t>
            </w:r>
          </w:p>
        </w:tc>
        <w:tc>
          <w:tcPr>
            <w:tcW w:w="1438" w:type="dxa"/>
            <w:tcBorders>
              <w:top w:val="single" w:sz="6" w:space="0" w:color="E4E4E4"/>
              <w:left w:val="nil"/>
              <w:bottom w:val="single" w:sz="6" w:space="0" w:color="E4E4E4"/>
              <w:right w:val="nil"/>
            </w:tcBorders>
            <w:tcMar>
              <w:top w:w="150" w:type="dxa"/>
              <w:left w:w="225" w:type="dxa"/>
              <w:bottom w:w="225" w:type="dxa"/>
              <w:right w:w="225" w:type="dxa"/>
            </w:tcMar>
            <w:vAlign w:val="bottom"/>
            <w:hideMark/>
          </w:tcPr>
          <w:p w:rsidR="00C36A9C" w:rsidRPr="00C36A9C" w:rsidRDefault="00C36A9C" w:rsidP="00C36A9C">
            <w:pPr>
              <w:spacing w:after="0" w:line="240" w:lineRule="auto"/>
              <w:rPr>
                <w:rFonts w:ascii="Times New Roman" w:eastAsia="Times New Roman" w:hAnsi="Times New Roman" w:cs="Times New Roman"/>
                <w:color w:val="565656"/>
                <w:sz w:val="20"/>
                <w:szCs w:val="20"/>
                <w:lang w:eastAsia="fr-FR"/>
              </w:rPr>
            </w:pPr>
          </w:p>
        </w:tc>
      </w:tr>
      <w:tr w:rsidR="00C36A9C" w:rsidRPr="00C36A9C" w:rsidTr="00215424">
        <w:tc>
          <w:tcPr>
            <w:tcW w:w="2410"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C36A9C" w:rsidRPr="00C36A9C" w:rsidRDefault="00215424" w:rsidP="00C36A9C">
            <w:pPr>
              <w:wordWrap w:val="0"/>
              <w:spacing w:after="0" w:line="240" w:lineRule="auto"/>
              <w:rPr>
                <w:rFonts w:ascii="Helvetica" w:eastAsia="Times New Roman" w:hAnsi="Helvetica" w:cs="Helvetica"/>
                <w:b/>
                <w:bCs/>
                <w:color w:val="1C6387"/>
                <w:sz w:val="20"/>
                <w:szCs w:val="20"/>
                <w:lang w:eastAsia="fr-FR"/>
              </w:rPr>
            </w:pPr>
            <w:r w:rsidRPr="00215424">
              <w:rPr>
                <w:rFonts w:ascii="Helvetica" w:eastAsia="Times New Roman" w:hAnsi="Helvetica" w:cs="Helvetica"/>
                <w:b/>
                <w:bCs/>
                <w:color w:val="1C6387"/>
                <w:sz w:val="20"/>
                <w:szCs w:val="20"/>
                <w:lang w:eastAsia="fr-FR"/>
              </w:rPr>
              <w:t>Target.Population</w:t>
            </w:r>
            <w:bookmarkStart w:id="0" w:name="_GoBack"/>
            <w:bookmarkEnd w:id="0"/>
          </w:p>
        </w:tc>
        <w:tc>
          <w:tcPr>
            <w:tcW w:w="4111"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C36A9C" w:rsidRPr="00C36A9C" w:rsidRDefault="00C36A9C" w:rsidP="00C36A9C">
            <w:pPr>
              <w:spacing w:after="0" w:line="240" w:lineRule="auto"/>
              <w:rPr>
                <w:rFonts w:ascii="Helvetica" w:eastAsia="Times New Roman" w:hAnsi="Helvetica" w:cs="Helvetica"/>
                <w:color w:val="2C2C2C"/>
                <w:sz w:val="20"/>
                <w:szCs w:val="20"/>
                <w:lang w:eastAsia="fr-FR"/>
              </w:rPr>
            </w:pPr>
            <w:r w:rsidRPr="00C36A9C">
              <w:rPr>
                <w:rFonts w:ascii="Helvetica" w:eastAsia="Times New Roman" w:hAnsi="Helvetica" w:cs="Helvetica"/>
                <w:color w:val="2C2C2C"/>
                <w:sz w:val="20"/>
                <w:szCs w:val="20"/>
                <w:lang w:eastAsia="fr-FR"/>
              </w:rPr>
              <w:t>Le Département des services correctionnels a mis en place des stratégies spécifiques pour réduire les taux de récidive chez les détenus en liberté conditionnelle.</w:t>
            </w:r>
          </w:p>
        </w:tc>
        <w:tc>
          <w:tcPr>
            <w:tcW w:w="1113"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C36A9C" w:rsidRPr="00C36A9C" w:rsidRDefault="00C36A9C" w:rsidP="00C36A9C">
            <w:pPr>
              <w:spacing w:after="0" w:line="240" w:lineRule="auto"/>
              <w:rPr>
                <w:rFonts w:ascii="Helvetica" w:eastAsia="Times New Roman" w:hAnsi="Helvetica" w:cs="Helvetica"/>
                <w:color w:val="565656"/>
                <w:sz w:val="20"/>
                <w:szCs w:val="20"/>
                <w:lang w:eastAsia="fr-FR"/>
              </w:rPr>
            </w:pPr>
            <w:r w:rsidRPr="00C36A9C">
              <w:rPr>
                <w:rFonts w:ascii="Helvetica" w:eastAsia="Times New Roman" w:hAnsi="Helvetica" w:cs="Helvetica"/>
                <w:color w:val="565656"/>
                <w:sz w:val="20"/>
                <w:szCs w:val="20"/>
                <w:lang w:eastAsia="fr-FR"/>
              </w:rPr>
              <w:t>Texte brut</w:t>
            </w:r>
          </w:p>
        </w:tc>
        <w:tc>
          <w:tcPr>
            <w:tcW w:w="1438" w:type="dxa"/>
            <w:tcBorders>
              <w:top w:val="single" w:sz="6" w:space="0" w:color="E4E4E4"/>
              <w:left w:val="nil"/>
              <w:bottom w:val="single" w:sz="6" w:space="0" w:color="E4E4E4"/>
              <w:right w:val="nil"/>
            </w:tcBorders>
            <w:shd w:val="clear" w:color="auto" w:fill="FFFFFF"/>
            <w:tcMar>
              <w:top w:w="150" w:type="dxa"/>
              <w:left w:w="225" w:type="dxa"/>
              <w:bottom w:w="225" w:type="dxa"/>
              <w:right w:w="225" w:type="dxa"/>
            </w:tcMar>
            <w:vAlign w:val="bottom"/>
            <w:hideMark/>
          </w:tcPr>
          <w:p w:rsidR="00C36A9C" w:rsidRPr="00C36A9C" w:rsidRDefault="00C36A9C" w:rsidP="00C36A9C">
            <w:pPr>
              <w:spacing w:after="0" w:line="240" w:lineRule="auto"/>
              <w:rPr>
                <w:rFonts w:ascii="Helvetica" w:eastAsia="Times New Roman" w:hAnsi="Helvetica" w:cs="Helvetica"/>
                <w:color w:val="5E5E5E"/>
                <w:sz w:val="20"/>
                <w:szCs w:val="20"/>
                <w:lang w:eastAsia="fr-FR"/>
              </w:rPr>
            </w:pPr>
          </w:p>
        </w:tc>
      </w:tr>
    </w:tbl>
    <w:p w:rsidR="00C36A9C" w:rsidRDefault="00C36A9C"/>
    <w:sectPr w:rsidR="00C36A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9C"/>
    <w:rsid w:val="00074986"/>
    <w:rsid w:val="00215424"/>
    <w:rsid w:val="00C36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5FCA7-9795-48C6-BC7A-04D68D9C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36A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eta-title">
    <w:name w:val="meta-title"/>
    <w:basedOn w:val="Policepardfaut"/>
    <w:rsid w:val="00C36A9C"/>
  </w:style>
  <w:style w:type="character" w:customStyle="1" w:styleId="Date1">
    <w:name w:val="Date1"/>
    <w:basedOn w:val="Policepardfaut"/>
    <w:rsid w:val="00C36A9C"/>
  </w:style>
  <w:style w:type="character" w:customStyle="1" w:styleId="Titre2Car">
    <w:name w:val="Titre 2 Car"/>
    <w:basedOn w:val="Policepardfaut"/>
    <w:link w:val="Titre2"/>
    <w:uiPriority w:val="9"/>
    <w:rsid w:val="00C36A9C"/>
    <w:rPr>
      <w:rFonts w:ascii="Times New Roman" w:eastAsia="Times New Roman" w:hAnsi="Times New Roman" w:cs="Times New Roman"/>
      <w:b/>
      <w:bCs/>
      <w:sz w:val="36"/>
      <w:szCs w:val="36"/>
      <w:lang w:eastAsia="fr-FR"/>
    </w:rPr>
  </w:style>
  <w:style w:type="character" w:customStyle="1" w:styleId="linkify">
    <w:name w:val="linkify"/>
    <w:basedOn w:val="Policepardfaut"/>
    <w:rsid w:val="00C36A9C"/>
  </w:style>
  <w:style w:type="character" w:customStyle="1" w:styleId="type-name">
    <w:name w:val="type-name"/>
    <w:basedOn w:val="Policepardfaut"/>
    <w:rsid w:val="00C36A9C"/>
  </w:style>
  <w:style w:type="character" w:styleId="Lienhypertexte">
    <w:name w:val="Hyperlink"/>
    <w:basedOn w:val="Policepardfaut"/>
    <w:uiPriority w:val="99"/>
    <w:semiHidden/>
    <w:unhideWhenUsed/>
    <w:rsid w:val="00C36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145061">
      <w:bodyDiv w:val="1"/>
      <w:marLeft w:val="0"/>
      <w:marRight w:val="0"/>
      <w:marTop w:val="0"/>
      <w:marBottom w:val="0"/>
      <w:divBdr>
        <w:top w:val="none" w:sz="0" w:space="0" w:color="auto"/>
        <w:left w:val="none" w:sz="0" w:space="0" w:color="auto"/>
        <w:bottom w:val="none" w:sz="0" w:space="0" w:color="auto"/>
        <w:right w:val="none" w:sz="0" w:space="0" w:color="auto"/>
      </w:divBdr>
      <w:divsChild>
        <w:div w:id="1213151828">
          <w:marLeft w:val="0"/>
          <w:marRight w:val="0"/>
          <w:marTop w:val="0"/>
          <w:marBottom w:val="0"/>
          <w:divBdr>
            <w:top w:val="single" w:sz="6" w:space="0" w:color="E4E4E4"/>
            <w:left w:val="single" w:sz="6" w:space="0" w:color="E4E4E4"/>
            <w:bottom w:val="single" w:sz="12" w:space="0" w:color="E4E4E4"/>
            <w:right w:val="single" w:sz="6" w:space="0" w:color="E4E4E4"/>
          </w:divBdr>
          <w:divsChild>
            <w:div w:id="1089079715">
              <w:marLeft w:val="0"/>
              <w:marRight w:val="0"/>
              <w:marTop w:val="0"/>
              <w:marBottom w:val="0"/>
              <w:divBdr>
                <w:top w:val="none" w:sz="0" w:space="0" w:color="auto"/>
                <w:left w:val="none" w:sz="0" w:space="0" w:color="auto"/>
                <w:bottom w:val="none" w:sz="0" w:space="0" w:color="auto"/>
                <w:right w:val="none" w:sz="0" w:space="0" w:color="auto"/>
              </w:divBdr>
              <w:divsChild>
                <w:div w:id="446585514">
                  <w:marLeft w:val="0"/>
                  <w:marRight w:val="0"/>
                  <w:marTop w:val="0"/>
                  <w:marBottom w:val="0"/>
                  <w:divBdr>
                    <w:top w:val="none" w:sz="0" w:space="0" w:color="auto"/>
                    <w:left w:val="none" w:sz="0" w:space="0" w:color="auto"/>
                    <w:bottom w:val="none" w:sz="0" w:space="0" w:color="auto"/>
                    <w:right w:val="none" w:sz="0" w:space="0" w:color="auto"/>
                  </w:divBdr>
                </w:div>
                <w:div w:id="1087968148">
                  <w:marLeft w:val="0"/>
                  <w:marRight w:val="0"/>
                  <w:marTop w:val="0"/>
                  <w:marBottom w:val="0"/>
                  <w:divBdr>
                    <w:top w:val="none" w:sz="0" w:space="0" w:color="auto"/>
                    <w:left w:val="none" w:sz="0" w:space="0" w:color="auto"/>
                    <w:bottom w:val="none" w:sz="0" w:space="0" w:color="auto"/>
                    <w:right w:val="none" w:sz="0" w:space="0" w:color="auto"/>
                  </w:divBdr>
                </w:div>
                <w:div w:id="500319885">
                  <w:marLeft w:val="0"/>
                  <w:marRight w:val="300"/>
                  <w:marTop w:val="0"/>
                  <w:marBottom w:val="0"/>
                  <w:divBdr>
                    <w:top w:val="none" w:sz="0" w:space="0" w:color="auto"/>
                    <w:left w:val="none" w:sz="0" w:space="0" w:color="auto"/>
                    <w:bottom w:val="none" w:sz="0" w:space="0" w:color="auto"/>
                    <w:right w:val="none" w:sz="0" w:space="0" w:color="auto"/>
                  </w:divBdr>
                </w:div>
                <w:div w:id="1030451019">
                  <w:marLeft w:val="0"/>
                  <w:marRight w:val="300"/>
                  <w:marTop w:val="0"/>
                  <w:marBottom w:val="0"/>
                  <w:divBdr>
                    <w:top w:val="none" w:sz="0" w:space="0" w:color="auto"/>
                    <w:left w:val="none" w:sz="0" w:space="0" w:color="auto"/>
                    <w:bottom w:val="none" w:sz="0" w:space="0" w:color="auto"/>
                    <w:right w:val="none" w:sz="0" w:space="0" w:color="auto"/>
                  </w:divBdr>
                </w:div>
                <w:div w:id="1265919914">
                  <w:marLeft w:val="0"/>
                  <w:marRight w:val="0"/>
                  <w:marTop w:val="0"/>
                  <w:marBottom w:val="0"/>
                  <w:divBdr>
                    <w:top w:val="none" w:sz="0" w:space="0" w:color="auto"/>
                    <w:left w:val="none" w:sz="0" w:space="0" w:color="auto"/>
                    <w:bottom w:val="none" w:sz="0" w:space="0" w:color="auto"/>
                    <w:right w:val="none" w:sz="0" w:space="0" w:color="auto"/>
                  </w:divBdr>
                </w:div>
                <w:div w:id="2072849556">
                  <w:marLeft w:val="0"/>
                  <w:marRight w:val="0"/>
                  <w:marTop w:val="0"/>
                  <w:marBottom w:val="0"/>
                  <w:divBdr>
                    <w:top w:val="none" w:sz="0" w:space="0" w:color="auto"/>
                    <w:left w:val="none" w:sz="0" w:space="0" w:color="auto"/>
                    <w:bottom w:val="none" w:sz="0" w:space="0" w:color="auto"/>
                    <w:right w:val="none" w:sz="0" w:space="0" w:color="auto"/>
                  </w:divBdr>
                </w:div>
                <w:div w:id="1241140776">
                  <w:marLeft w:val="0"/>
                  <w:marRight w:val="300"/>
                  <w:marTop w:val="0"/>
                  <w:marBottom w:val="0"/>
                  <w:divBdr>
                    <w:top w:val="none" w:sz="0" w:space="0" w:color="auto"/>
                    <w:left w:val="none" w:sz="0" w:space="0" w:color="auto"/>
                    <w:bottom w:val="none" w:sz="0" w:space="0" w:color="auto"/>
                    <w:right w:val="none" w:sz="0" w:space="0" w:color="auto"/>
                  </w:divBdr>
                </w:div>
                <w:div w:id="1766265899">
                  <w:marLeft w:val="0"/>
                  <w:marRight w:val="300"/>
                  <w:marTop w:val="0"/>
                  <w:marBottom w:val="0"/>
                  <w:divBdr>
                    <w:top w:val="none" w:sz="0" w:space="0" w:color="auto"/>
                    <w:left w:val="none" w:sz="0" w:space="0" w:color="auto"/>
                    <w:bottom w:val="none" w:sz="0" w:space="0" w:color="auto"/>
                    <w:right w:val="none" w:sz="0" w:space="0" w:color="auto"/>
                  </w:divBdr>
                </w:div>
                <w:div w:id="1157262158">
                  <w:marLeft w:val="0"/>
                  <w:marRight w:val="0"/>
                  <w:marTop w:val="0"/>
                  <w:marBottom w:val="0"/>
                  <w:divBdr>
                    <w:top w:val="none" w:sz="0" w:space="0" w:color="auto"/>
                    <w:left w:val="none" w:sz="0" w:space="0" w:color="auto"/>
                    <w:bottom w:val="none" w:sz="0" w:space="0" w:color="auto"/>
                    <w:right w:val="none" w:sz="0" w:space="0" w:color="auto"/>
                  </w:divBdr>
                </w:div>
                <w:div w:id="1231499571">
                  <w:marLeft w:val="0"/>
                  <w:marRight w:val="0"/>
                  <w:marTop w:val="0"/>
                  <w:marBottom w:val="0"/>
                  <w:divBdr>
                    <w:top w:val="none" w:sz="0" w:space="0" w:color="auto"/>
                    <w:left w:val="none" w:sz="0" w:space="0" w:color="auto"/>
                    <w:bottom w:val="none" w:sz="0" w:space="0" w:color="auto"/>
                    <w:right w:val="none" w:sz="0" w:space="0" w:color="auto"/>
                  </w:divBdr>
                </w:div>
                <w:div w:id="13312162">
                  <w:marLeft w:val="0"/>
                  <w:marRight w:val="300"/>
                  <w:marTop w:val="0"/>
                  <w:marBottom w:val="0"/>
                  <w:divBdr>
                    <w:top w:val="none" w:sz="0" w:space="0" w:color="auto"/>
                    <w:left w:val="none" w:sz="0" w:space="0" w:color="auto"/>
                    <w:bottom w:val="none" w:sz="0" w:space="0" w:color="auto"/>
                    <w:right w:val="none" w:sz="0" w:space="0" w:color="auto"/>
                  </w:divBdr>
                </w:div>
                <w:div w:id="2117167768">
                  <w:marLeft w:val="0"/>
                  <w:marRight w:val="300"/>
                  <w:marTop w:val="0"/>
                  <w:marBottom w:val="0"/>
                  <w:divBdr>
                    <w:top w:val="none" w:sz="0" w:space="0" w:color="auto"/>
                    <w:left w:val="none" w:sz="0" w:space="0" w:color="auto"/>
                    <w:bottom w:val="none" w:sz="0" w:space="0" w:color="auto"/>
                    <w:right w:val="none" w:sz="0" w:space="0" w:color="auto"/>
                  </w:divBdr>
                </w:div>
                <w:div w:id="1676031103">
                  <w:marLeft w:val="0"/>
                  <w:marRight w:val="0"/>
                  <w:marTop w:val="0"/>
                  <w:marBottom w:val="0"/>
                  <w:divBdr>
                    <w:top w:val="none" w:sz="0" w:space="0" w:color="auto"/>
                    <w:left w:val="none" w:sz="0" w:space="0" w:color="auto"/>
                    <w:bottom w:val="none" w:sz="0" w:space="0" w:color="auto"/>
                    <w:right w:val="none" w:sz="0" w:space="0" w:color="auto"/>
                  </w:divBdr>
                </w:div>
                <w:div w:id="2044552287">
                  <w:marLeft w:val="0"/>
                  <w:marRight w:val="0"/>
                  <w:marTop w:val="0"/>
                  <w:marBottom w:val="0"/>
                  <w:divBdr>
                    <w:top w:val="none" w:sz="0" w:space="0" w:color="auto"/>
                    <w:left w:val="none" w:sz="0" w:space="0" w:color="auto"/>
                    <w:bottom w:val="none" w:sz="0" w:space="0" w:color="auto"/>
                    <w:right w:val="none" w:sz="0" w:space="0" w:color="auto"/>
                  </w:divBdr>
                </w:div>
                <w:div w:id="925069939">
                  <w:marLeft w:val="0"/>
                  <w:marRight w:val="0"/>
                  <w:marTop w:val="0"/>
                  <w:marBottom w:val="0"/>
                  <w:divBdr>
                    <w:top w:val="none" w:sz="0" w:space="0" w:color="auto"/>
                    <w:left w:val="none" w:sz="0" w:space="0" w:color="auto"/>
                    <w:bottom w:val="none" w:sz="0" w:space="0" w:color="auto"/>
                    <w:right w:val="none" w:sz="0" w:space="0" w:color="auto"/>
                  </w:divBdr>
                </w:div>
                <w:div w:id="1508010950">
                  <w:marLeft w:val="0"/>
                  <w:marRight w:val="0"/>
                  <w:marTop w:val="0"/>
                  <w:marBottom w:val="0"/>
                  <w:divBdr>
                    <w:top w:val="none" w:sz="0" w:space="0" w:color="auto"/>
                    <w:left w:val="none" w:sz="0" w:space="0" w:color="auto"/>
                    <w:bottom w:val="none" w:sz="0" w:space="0" w:color="auto"/>
                    <w:right w:val="none" w:sz="0" w:space="0" w:color="auto"/>
                  </w:divBdr>
                </w:div>
                <w:div w:id="634918528">
                  <w:marLeft w:val="0"/>
                  <w:marRight w:val="0"/>
                  <w:marTop w:val="0"/>
                  <w:marBottom w:val="0"/>
                  <w:divBdr>
                    <w:top w:val="none" w:sz="0" w:space="0" w:color="auto"/>
                    <w:left w:val="none" w:sz="0" w:space="0" w:color="auto"/>
                    <w:bottom w:val="none" w:sz="0" w:space="0" w:color="auto"/>
                    <w:right w:val="none" w:sz="0" w:space="0" w:color="auto"/>
                  </w:divBdr>
                </w:div>
                <w:div w:id="826482152">
                  <w:marLeft w:val="0"/>
                  <w:marRight w:val="0"/>
                  <w:marTop w:val="0"/>
                  <w:marBottom w:val="0"/>
                  <w:divBdr>
                    <w:top w:val="none" w:sz="0" w:space="0" w:color="auto"/>
                    <w:left w:val="none" w:sz="0" w:space="0" w:color="auto"/>
                    <w:bottom w:val="none" w:sz="0" w:space="0" w:color="auto"/>
                    <w:right w:val="none" w:sz="0" w:space="0" w:color="auto"/>
                  </w:divBdr>
                </w:div>
                <w:div w:id="1305894417">
                  <w:marLeft w:val="0"/>
                  <w:marRight w:val="0"/>
                  <w:marTop w:val="0"/>
                  <w:marBottom w:val="0"/>
                  <w:divBdr>
                    <w:top w:val="none" w:sz="0" w:space="0" w:color="auto"/>
                    <w:left w:val="none" w:sz="0" w:space="0" w:color="auto"/>
                    <w:bottom w:val="none" w:sz="0" w:space="0" w:color="auto"/>
                    <w:right w:val="none" w:sz="0" w:space="0" w:color="auto"/>
                  </w:divBdr>
                </w:div>
                <w:div w:id="1541627655">
                  <w:marLeft w:val="0"/>
                  <w:marRight w:val="0"/>
                  <w:marTop w:val="0"/>
                  <w:marBottom w:val="0"/>
                  <w:divBdr>
                    <w:top w:val="none" w:sz="0" w:space="0" w:color="auto"/>
                    <w:left w:val="none" w:sz="0" w:space="0" w:color="auto"/>
                    <w:bottom w:val="none" w:sz="0" w:space="0" w:color="auto"/>
                    <w:right w:val="none" w:sz="0" w:space="0" w:color="auto"/>
                  </w:divBdr>
                </w:div>
                <w:div w:id="968701860">
                  <w:marLeft w:val="0"/>
                  <w:marRight w:val="0"/>
                  <w:marTop w:val="0"/>
                  <w:marBottom w:val="0"/>
                  <w:divBdr>
                    <w:top w:val="none" w:sz="0" w:space="0" w:color="auto"/>
                    <w:left w:val="none" w:sz="0" w:space="0" w:color="auto"/>
                    <w:bottom w:val="none" w:sz="0" w:space="0" w:color="auto"/>
                    <w:right w:val="none" w:sz="0" w:space="0" w:color="auto"/>
                  </w:divBdr>
                </w:div>
                <w:div w:id="931620937">
                  <w:marLeft w:val="0"/>
                  <w:marRight w:val="0"/>
                  <w:marTop w:val="0"/>
                  <w:marBottom w:val="0"/>
                  <w:divBdr>
                    <w:top w:val="none" w:sz="0" w:space="0" w:color="auto"/>
                    <w:left w:val="none" w:sz="0" w:space="0" w:color="auto"/>
                    <w:bottom w:val="none" w:sz="0" w:space="0" w:color="auto"/>
                    <w:right w:val="none" w:sz="0" w:space="0" w:color="auto"/>
                  </w:divBdr>
                </w:div>
                <w:div w:id="1790127358">
                  <w:marLeft w:val="0"/>
                  <w:marRight w:val="0"/>
                  <w:marTop w:val="0"/>
                  <w:marBottom w:val="0"/>
                  <w:divBdr>
                    <w:top w:val="none" w:sz="0" w:space="0" w:color="auto"/>
                    <w:left w:val="none" w:sz="0" w:space="0" w:color="auto"/>
                    <w:bottom w:val="none" w:sz="0" w:space="0" w:color="auto"/>
                    <w:right w:val="none" w:sz="0" w:space="0" w:color="auto"/>
                  </w:divBdr>
                </w:div>
                <w:div w:id="742726884">
                  <w:marLeft w:val="0"/>
                  <w:marRight w:val="0"/>
                  <w:marTop w:val="0"/>
                  <w:marBottom w:val="0"/>
                  <w:divBdr>
                    <w:top w:val="none" w:sz="0" w:space="0" w:color="auto"/>
                    <w:left w:val="none" w:sz="0" w:space="0" w:color="auto"/>
                    <w:bottom w:val="none" w:sz="0" w:space="0" w:color="auto"/>
                    <w:right w:val="none" w:sz="0" w:space="0" w:color="auto"/>
                  </w:divBdr>
                </w:div>
                <w:div w:id="1925603611">
                  <w:marLeft w:val="0"/>
                  <w:marRight w:val="0"/>
                  <w:marTop w:val="0"/>
                  <w:marBottom w:val="0"/>
                  <w:divBdr>
                    <w:top w:val="none" w:sz="0" w:space="0" w:color="auto"/>
                    <w:left w:val="none" w:sz="0" w:space="0" w:color="auto"/>
                    <w:bottom w:val="none" w:sz="0" w:space="0" w:color="auto"/>
                    <w:right w:val="none" w:sz="0" w:space="0" w:color="auto"/>
                  </w:divBdr>
                </w:div>
                <w:div w:id="2041935731">
                  <w:marLeft w:val="0"/>
                  <w:marRight w:val="0"/>
                  <w:marTop w:val="0"/>
                  <w:marBottom w:val="0"/>
                  <w:divBdr>
                    <w:top w:val="none" w:sz="0" w:space="0" w:color="auto"/>
                    <w:left w:val="none" w:sz="0" w:space="0" w:color="auto"/>
                    <w:bottom w:val="none" w:sz="0" w:space="0" w:color="auto"/>
                    <w:right w:val="none" w:sz="0" w:space="0" w:color="auto"/>
                  </w:divBdr>
                </w:div>
                <w:div w:id="876745066">
                  <w:marLeft w:val="0"/>
                  <w:marRight w:val="0"/>
                  <w:marTop w:val="0"/>
                  <w:marBottom w:val="0"/>
                  <w:divBdr>
                    <w:top w:val="none" w:sz="0" w:space="0" w:color="auto"/>
                    <w:left w:val="none" w:sz="0" w:space="0" w:color="auto"/>
                    <w:bottom w:val="none" w:sz="0" w:space="0" w:color="auto"/>
                    <w:right w:val="none" w:sz="0" w:space="0" w:color="auto"/>
                  </w:divBdr>
                </w:div>
                <w:div w:id="780539213">
                  <w:marLeft w:val="0"/>
                  <w:marRight w:val="0"/>
                  <w:marTop w:val="0"/>
                  <w:marBottom w:val="0"/>
                  <w:divBdr>
                    <w:top w:val="none" w:sz="0" w:space="0" w:color="auto"/>
                    <w:left w:val="none" w:sz="0" w:space="0" w:color="auto"/>
                    <w:bottom w:val="none" w:sz="0" w:space="0" w:color="auto"/>
                    <w:right w:val="none" w:sz="0" w:space="0" w:color="auto"/>
                  </w:divBdr>
                </w:div>
                <w:div w:id="667944641">
                  <w:marLeft w:val="0"/>
                  <w:marRight w:val="0"/>
                  <w:marTop w:val="0"/>
                  <w:marBottom w:val="0"/>
                  <w:divBdr>
                    <w:top w:val="none" w:sz="0" w:space="0" w:color="auto"/>
                    <w:left w:val="none" w:sz="0" w:space="0" w:color="auto"/>
                    <w:bottom w:val="none" w:sz="0" w:space="0" w:color="auto"/>
                    <w:right w:val="none" w:sz="0" w:space="0" w:color="auto"/>
                  </w:divBdr>
                </w:div>
                <w:div w:id="817577984">
                  <w:marLeft w:val="0"/>
                  <w:marRight w:val="0"/>
                  <w:marTop w:val="0"/>
                  <w:marBottom w:val="0"/>
                  <w:divBdr>
                    <w:top w:val="none" w:sz="0" w:space="0" w:color="auto"/>
                    <w:left w:val="none" w:sz="0" w:space="0" w:color="auto"/>
                    <w:bottom w:val="none" w:sz="0" w:space="0" w:color="auto"/>
                    <w:right w:val="none" w:sz="0" w:space="0" w:color="auto"/>
                  </w:divBdr>
                </w:div>
                <w:div w:id="1287664518">
                  <w:marLeft w:val="0"/>
                  <w:marRight w:val="0"/>
                  <w:marTop w:val="0"/>
                  <w:marBottom w:val="0"/>
                  <w:divBdr>
                    <w:top w:val="none" w:sz="0" w:space="0" w:color="auto"/>
                    <w:left w:val="none" w:sz="0" w:space="0" w:color="auto"/>
                    <w:bottom w:val="none" w:sz="0" w:space="0" w:color="auto"/>
                    <w:right w:val="none" w:sz="0" w:space="0" w:color="auto"/>
                  </w:divBdr>
                </w:div>
                <w:div w:id="850417629">
                  <w:marLeft w:val="0"/>
                  <w:marRight w:val="0"/>
                  <w:marTop w:val="0"/>
                  <w:marBottom w:val="0"/>
                  <w:divBdr>
                    <w:top w:val="none" w:sz="0" w:space="0" w:color="auto"/>
                    <w:left w:val="none" w:sz="0" w:space="0" w:color="auto"/>
                    <w:bottom w:val="none" w:sz="0" w:space="0" w:color="auto"/>
                    <w:right w:val="none" w:sz="0" w:space="0" w:color="auto"/>
                  </w:divBdr>
                </w:div>
                <w:div w:id="1642733142">
                  <w:marLeft w:val="0"/>
                  <w:marRight w:val="0"/>
                  <w:marTop w:val="0"/>
                  <w:marBottom w:val="0"/>
                  <w:divBdr>
                    <w:top w:val="none" w:sz="0" w:space="0" w:color="auto"/>
                    <w:left w:val="none" w:sz="0" w:space="0" w:color="auto"/>
                    <w:bottom w:val="none" w:sz="0" w:space="0" w:color="auto"/>
                    <w:right w:val="none" w:sz="0" w:space="0" w:color="auto"/>
                  </w:divBdr>
                </w:div>
                <w:div w:id="1702629243">
                  <w:marLeft w:val="0"/>
                  <w:marRight w:val="0"/>
                  <w:marTop w:val="0"/>
                  <w:marBottom w:val="0"/>
                  <w:divBdr>
                    <w:top w:val="none" w:sz="0" w:space="0" w:color="auto"/>
                    <w:left w:val="none" w:sz="0" w:space="0" w:color="auto"/>
                    <w:bottom w:val="none" w:sz="0" w:space="0" w:color="auto"/>
                    <w:right w:val="none" w:sz="0" w:space="0" w:color="auto"/>
                  </w:divBdr>
                </w:div>
                <w:div w:id="1592281072">
                  <w:marLeft w:val="0"/>
                  <w:marRight w:val="0"/>
                  <w:marTop w:val="0"/>
                  <w:marBottom w:val="0"/>
                  <w:divBdr>
                    <w:top w:val="none" w:sz="0" w:space="0" w:color="auto"/>
                    <w:left w:val="none" w:sz="0" w:space="0" w:color="auto"/>
                    <w:bottom w:val="none" w:sz="0" w:space="0" w:color="auto"/>
                    <w:right w:val="none" w:sz="0" w:space="0" w:color="auto"/>
                  </w:divBdr>
                </w:div>
                <w:div w:id="1687441429">
                  <w:marLeft w:val="0"/>
                  <w:marRight w:val="0"/>
                  <w:marTop w:val="0"/>
                  <w:marBottom w:val="0"/>
                  <w:divBdr>
                    <w:top w:val="none" w:sz="0" w:space="0" w:color="auto"/>
                    <w:left w:val="none" w:sz="0" w:space="0" w:color="auto"/>
                    <w:bottom w:val="none" w:sz="0" w:space="0" w:color="auto"/>
                    <w:right w:val="none" w:sz="0" w:space="0" w:color="auto"/>
                  </w:divBdr>
                </w:div>
                <w:div w:id="1215965410">
                  <w:marLeft w:val="0"/>
                  <w:marRight w:val="0"/>
                  <w:marTop w:val="0"/>
                  <w:marBottom w:val="0"/>
                  <w:divBdr>
                    <w:top w:val="none" w:sz="0" w:space="0" w:color="auto"/>
                    <w:left w:val="none" w:sz="0" w:space="0" w:color="auto"/>
                    <w:bottom w:val="none" w:sz="0" w:space="0" w:color="auto"/>
                    <w:right w:val="none" w:sz="0" w:space="0" w:color="auto"/>
                  </w:divBdr>
                </w:div>
                <w:div w:id="180363512">
                  <w:marLeft w:val="0"/>
                  <w:marRight w:val="0"/>
                  <w:marTop w:val="0"/>
                  <w:marBottom w:val="0"/>
                  <w:divBdr>
                    <w:top w:val="none" w:sz="0" w:space="0" w:color="auto"/>
                    <w:left w:val="none" w:sz="0" w:space="0" w:color="auto"/>
                    <w:bottom w:val="none" w:sz="0" w:space="0" w:color="auto"/>
                    <w:right w:val="none" w:sz="0" w:space="0" w:color="auto"/>
                  </w:divBdr>
                </w:div>
                <w:div w:id="1445995607">
                  <w:marLeft w:val="0"/>
                  <w:marRight w:val="0"/>
                  <w:marTop w:val="0"/>
                  <w:marBottom w:val="0"/>
                  <w:divBdr>
                    <w:top w:val="none" w:sz="0" w:space="0" w:color="auto"/>
                    <w:left w:val="none" w:sz="0" w:space="0" w:color="auto"/>
                    <w:bottom w:val="none" w:sz="0" w:space="0" w:color="auto"/>
                    <w:right w:val="none" w:sz="0" w:space="0" w:color="auto"/>
                  </w:divBdr>
                </w:div>
                <w:div w:id="1054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490</Words>
  <Characters>2695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Meyssa BEDDAR</dc:creator>
  <cp:keywords/>
  <dc:description/>
  <cp:lastModifiedBy>Meyssa BEDDAR</cp:lastModifiedBy>
  <cp:revision>2</cp:revision>
  <dcterms:created xsi:type="dcterms:W3CDTF">2021-12-04T23:44:00Z</dcterms:created>
  <dcterms:modified xsi:type="dcterms:W3CDTF">2023-03-20T15:25:00Z</dcterms:modified>
</cp:coreProperties>
</file>