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300"/>
        <w:jc w:val="center"/>
      </w:pPr>
      <w:r>
        <w:rPr>
          <w:rFonts w:ascii="David" w:cs="David" w:eastAsia="David" w:hAnsi="David"/>
          <w:b/>
          <w:bCs/>
          <w:sz w:val="40"/>
          <w:szCs w:val="40"/>
          <w:rtl/>
        </w:rPr>
        <w:t xml:space="preserve">סילבוס השתלמות </w:t>
      </w:r>
      <w:r>
        <w:rPr>
          <w:rFonts w:ascii="David" w:cs="David" w:eastAsia="David" w:hAnsi="David"/>
          <w:b/>
          <w:bCs/>
          <w:sz w:val="40"/>
          <w:szCs w:val="40"/>
          <w:u w:val="single"/>
          <w:rtl/>
        </w:rPr>
        <w:t xml:space="preserve">מיטיב – פסיכולוגיה חיובית – שנה ראשונה</w:t>
      </w:r>
    </w:p>
    <w:p>
      <w:pPr>
        <w:bidi/>
        <w:spacing w:after="80"/>
        <w:jc w:val="right"/>
      </w:pPr>
      <w:r>
        <w:rPr>
          <w:rFonts w:ascii="David" w:cs="David" w:eastAsia="David" w:hAnsi="David"/>
          <w:sz w:val="22"/>
          <w:szCs w:val="22"/>
          <w:rtl/>
        </w:rPr>
        <w:t xml:space="preserve">• </w:t>
      </w:r>
      <w:r>
        <w:rPr>
          <w:rFonts w:ascii="David" w:cs="David" w:eastAsia="David" w:hAnsi="David"/>
          <w:b/>
          <w:bCs/>
          <w:sz w:val="22"/>
          <w:szCs w:val="22"/>
          <w:rtl/>
        </w:rPr>
        <w:t xml:space="preserve">תחום דעת: </w:t>
      </w:r>
      <w:r>
        <w:rPr>
          <w:rFonts w:ascii="David" w:cs="David" w:eastAsia="David" w:hAnsi="David"/>
          <w:sz w:val="22"/>
          <w:szCs w:val="22"/>
          <w:rtl/>
        </w:rPr>
        <w:t xml:space="preserve">פסיכולוגיה חיובית</w:t>
      </w:r>
    </w:p>
    <w:p>
      <w:pPr>
        <w:bidi/>
        <w:spacing w:after="80"/>
        <w:jc w:val="right"/>
      </w:pPr>
      <w:r>
        <w:rPr>
          <w:rFonts w:ascii="David" w:cs="David" w:eastAsia="David" w:hAnsi="David"/>
          <w:sz w:val="22"/>
          <w:szCs w:val="22"/>
          <w:rtl/>
        </w:rPr>
        <w:t xml:space="preserve">• </w:t>
      </w:r>
      <w:r>
        <w:rPr>
          <w:rFonts w:ascii="David" w:cs="David" w:eastAsia="David" w:hAnsi="David"/>
          <w:b/>
          <w:bCs/>
          <w:sz w:val="22"/>
          <w:szCs w:val="22"/>
          <w:rtl/>
        </w:rPr>
        <w:t xml:space="preserve">קהל יעד: </w:t>
      </w:r>
      <w:r>
        <w:rPr>
          <w:rFonts w:ascii="David" w:cs="David" w:eastAsia="David" w:hAnsi="David"/>
          <w:sz w:val="22"/>
          <w:szCs w:val="22"/>
          <w:rtl/>
        </w:rPr>
        <w:t xml:space="preserve">אנשי חינוך – מורים, יועצים, מנהלים</w:t>
      </w:r>
    </w:p>
    <w:p>
      <w:pPr>
        <w:bidi/>
        <w:spacing w:after="80"/>
        <w:jc w:val="right"/>
      </w:pPr>
      <w:r>
        <w:rPr>
          <w:rFonts w:ascii="David" w:cs="David" w:eastAsia="David" w:hAnsi="David"/>
          <w:sz w:val="22"/>
          <w:szCs w:val="22"/>
          <w:rtl/>
        </w:rPr>
        <w:t xml:space="preserve">• </w:t>
      </w:r>
      <w:r>
        <w:rPr>
          <w:rFonts w:ascii="David" w:cs="David" w:eastAsia="David" w:hAnsi="David"/>
          <w:b/>
          <w:bCs/>
          <w:sz w:val="22"/>
          <w:szCs w:val="22"/>
          <w:rtl/>
        </w:rPr>
        <w:t xml:space="preserve">מידע מורחב: </w:t>
      </w:r>
      <w:r>
        <w:rPr>
          <w:rFonts w:ascii="David" w:cs="David" w:eastAsia="David" w:hAnsi="David"/>
          <w:sz w:val="22"/>
          <w:szCs w:val="22"/>
          <w:shd w:fill="FFFF00" w:val="clear"/>
          <w:rtl/>
        </w:rPr>
        <w:t xml:space="preserve">תוכנית מיטיב מבוססת על מחקר מתחום הפסיכולוגיה החיובית ועוסקת בתפקוד המיטבי של אנשים וקבוצות. התוכנית מספקת כלים מעשיים לקידום רגשות חיוביים, חוזקות אישיות, מימוש עצמי ורווחה נפשית בקרב אנשי חינוך ותלמידים.</w:t>
      </w:r>
    </w:p>
    <w:p>
      <w:pPr>
        <w:bidi/>
        <w:spacing w:after="80"/>
        <w:jc w:val="right"/>
      </w:pPr>
      <w:r>
        <w:rPr>
          <w:rFonts w:ascii="David" w:cs="David" w:eastAsia="David" w:hAnsi="David"/>
          <w:sz w:val="22"/>
          <w:szCs w:val="22"/>
          <w:rtl/>
        </w:rPr>
        <w:t xml:space="preserve">• </w:t>
      </w:r>
      <w:r>
        <w:rPr>
          <w:rFonts w:ascii="David" w:cs="David" w:eastAsia="David" w:hAnsi="David"/>
          <w:b/>
          <w:bCs/>
          <w:sz w:val="22"/>
          <w:szCs w:val="22"/>
          <w:rtl/>
        </w:rPr>
        <w:t xml:space="preserve">נושאים מרכזיים: </w:t>
      </w:r>
      <w:r>
        <w:rPr>
          <w:rFonts w:ascii="David" w:cs="David" w:eastAsia="David" w:hAnsi="David"/>
          <w:sz w:val="22"/>
          <w:szCs w:val="22"/>
          <w:shd w:fill="FFFF00" w:val="clear"/>
          <w:rtl/>
        </w:rPr>
        <w:t xml:space="preserve">רגשות חיוביים ורווחה נפשית; חוזקות אישיות ומימוש עצמי; קשיבות, זרימה ואיזון גוף-נפש; מערכות יחסים ותמיכה חברתית</w:t>
      </w:r>
    </w:p>
    <w:p>
      <w:pPr>
        <w:bidi/>
        <w:spacing w:after="80"/>
        <w:jc w:val="right"/>
      </w:pPr>
      <w:r>
        <w:rPr>
          <w:rFonts w:ascii="David" w:cs="David" w:eastAsia="David" w:hAnsi="David"/>
          <w:sz w:val="22"/>
          <w:szCs w:val="22"/>
          <w:rtl/>
        </w:rPr>
        <w:t xml:space="preserve">• </w:t>
      </w:r>
      <w:r>
        <w:rPr>
          <w:rFonts w:ascii="David" w:cs="David" w:eastAsia="David" w:hAnsi="David"/>
          <w:b/>
          <w:bCs/>
          <w:sz w:val="22"/>
          <w:szCs w:val="22"/>
          <w:rtl/>
        </w:rPr>
        <w:t xml:space="preserve">מטרות: </w:t>
      </w:r>
      <w:r>
        <w:rPr>
          <w:rFonts w:ascii="David" w:cs="David" w:eastAsia="David" w:hAnsi="David"/>
          <w:sz w:val="22"/>
          <w:szCs w:val="22"/>
          <w:shd w:fill="FFFF00" w:val="clear"/>
          <w:rtl/>
        </w:rPr>
        <w:t xml:space="preserve">הכרת עקרונות הפסיכולוגיה החיובית; פיתוח כלים מעשיים לקידום רווחה נפשית; זיהוי וחיזוק חוזקות אישיות; יישום בסביבה החינוכית</w:t>
      </w:r>
    </w:p>
    <w:p>
      <w:pPr>
        <w:bidi/>
        <w:spacing w:after="80"/>
        <w:jc w:val="right"/>
      </w:pPr>
      <w:r>
        <w:rPr>
          <w:rFonts w:ascii="David" w:cs="David" w:eastAsia="David" w:hAnsi="David"/>
          <w:sz w:val="22"/>
          <w:szCs w:val="22"/>
          <w:rtl/>
        </w:rPr>
        <w:t xml:space="preserve">• </w:t>
      </w:r>
      <w:r>
        <w:rPr>
          <w:rFonts w:ascii="David" w:cs="David" w:eastAsia="David" w:hAnsi="David"/>
          <w:b/>
          <w:bCs/>
          <w:sz w:val="22"/>
          <w:szCs w:val="22"/>
          <w:rtl/>
        </w:rPr>
        <w:t xml:space="preserve">מבנה ההשתלמות: </w:t>
      </w:r>
      <w:r>
        <w:rPr>
          <w:rFonts w:ascii="David" w:cs="David" w:eastAsia="David" w:hAnsi="David"/>
          <w:sz w:val="22"/>
          <w:szCs w:val="22"/>
          <w:rtl/>
        </w:rPr>
        <w:t xml:space="preserve">15 מפגשים פרונטליים</w:t>
      </w:r>
    </w:p>
    <w:p>
      <w:pPr>
        <w:bidi/>
        <w:spacing w:after="80"/>
        <w:jc w:val="right"/>
      </w:pPr>
      <w:r>
        <w:rPr>
          <w:rFonts w:ascii="David" w:cs="David" w:eastAsia="David" w:hAnsi="David"/>
          <w:sz w:val="22"/>
          <w:szCs w:val="22"/>
          <w:rtl/>
        </w:rPr>
        <w:t xml:space="preserve">• </w:t>
      </w:r>
      <w:r>
        <w:rPr>
          <w:rFonts w:ascii="David" w:cs="David" w:eastAsia="David" w:hAnsi="David"/>
          <w:b/>
          <w:bCs/>
          <w:sz w:val="22"/>
          <w:szCs w:val="22"/>
          <w:rtl/>
        </w:rPr>
        <w:t xml:space="preserve">דרישות לקבלת גמול: </w:t>
      </w:r>
      <w:r>
        <w:rPr>
          <w:rFonts w:ascii="David" w:cs="David" w:eastAsia="David" w:hAnsi="David"/>
          <w:sz w:val="22"/>
          <w:szCs w:val="22"/>
          <w:rtl/>
        </w:rPr>
        <w:t xml:space="preserve">נוכחות במפגשים והגשת משימת סיכום</w:t>
      </w:r>
    </w:p>
    <w:p>
      <w:pPr>
        <w:bidi/>
        <w:spacing w:after="80"/>
        <w:jc w:val="right"/>
      </w:pPr>
      <w:r>
        <w:rPr>
          <w:rFonts w:ascii="David" w:cs="David" w:eastAsia="David" w:hAnsi="David"/>
          <w:sz w:val="22"/>
          <w:szCs w:val="22"/>
          <w:rtl/>
        </w:rPr>
        <w:t xml:space="preserve">• </w:t>
      </w:r>
      <w:r>
        <w:rPr>
          <w:rFonts w:ascii="David" w:cs="David" w:eastAsia="David" w:hAnsi="David"/>
          <w:b/>
          <w:bCs/>
          <w:sz w:val="22"/>
          <w:szCs w:val="22"/>
          <w:rtl/>
        </w:rPr>
        <w:t xml:space="preserve">לוח זמנים: </w:t>
      </w:r>
      <w:r>
        <w:rPr>
          <w:rFonts w:ascii="David" w:cs="David" w:eastAsia="David" w:hAnsi="David"/>
          <w:sz w:val="22"/>
          <w:szCs w:val="22"/>
          <w:rtl/>
        </w:rPr>
        <w:t xml:space="preserve"/>
      </w:r>
    </w:p>
    <w:p>
      <w:pPr>
        <w:spacing w:after="20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100"/>
        <w:gridCol w:w="4200"/>
        <w:gridCol w:w="1200"/>
        <w:gridCol w:w="2600"/>
        <w:gridCol w:w="1100"/>
      </w:tblGrid>
      <w:tr>
        <w:trPr>
          <w:tblHeader/>
        </w:trPr>
        <w:tc>
          <w:tcPr>
            <w:tcW w:type="dxa" w:w="1400"/>
            <w:tcBorders>
              <w:top w:val="single" w:color="000000" w:sz="1"/>
              <w:left w:val="single" w:color="000000" w:sz="1"/>
              <w:bottom w:val="single" w:color="000000" w:sz="1"/>
              <w:right w:val="single" w:color="000000" w:sz="1"/>
            </w:tcBorders>
            <w:shd w:fill="F2F2F2" w:val="clear"/>
            <w:tcMar>
              <w:top w:type="dxa" w:w="40"/>
              <w:left w:type="dxa" w:w="80"/>
              <w:bottom w:type="dxa" w:w="40"/>
              <w:right w:type="dxa" w:w="80"/>
            </w:tcMar>
            <w:vAlign w:val="center"/>
          </w:tcPr>
          <w:p>
            <w:pPr>
              <w:bidi/>
              <w:jc w:val="center"/>
            </w:pPr>
            <w:r>
              <w:rPr>
                <w:rFonts w:ascii="David" w:cs="David" w:eastAsia="David" w:hAnsi="David"/>
                <w:b/>
                <w:bCs/>
                <w:sz w:val="20"/>
                <w:szCs w:val="20"/>
                <w:rtl/>
              </w:rPr>
              <w:t xml:space="preserve">מנחה המפגש</w:t>
            </w:r>
          </w:p>
        </w:tc>
        <w:tc>
          <w:tcPr>
            <w:tcW w:type="dxa" w:w="1400"/>
            <w:tcBorders>
              <w:top w:val="single" w:color="000000" w:sz="1"/>
              <w:left w:val="single" w:color="000000" w:sz="1"/>
              <w:bottom w:val="single" w:color="000000" w:sz="1"/>
              <w:right w:val="single" w:color="000000" w:sz="1"/>
            </w:tcBorders>
            <w:shd w:fill="F2F2F2" w:val="clear"/>
            <w:tcMar>
              <w:top w:type="dxa" w:w="40"/>
              <w:left w:type="dxa" w:w="80"/>
              <w:bottom w:type="dxa" w:w="40"/>
              <w:right w:type="dxa" w:w="80"/>
            </w:tcMar>
            <w:vAlign w:val="center"/>
          </w:tcPr>
          <w:p>
            <w:pPr>
              <w:bidi/>
              <w:jc w:val="center"/>
            </w:pPr>
            <w:r>
              <w:rPr>
                <w:rFonts w:ascii="David" w:cs="David" w:eastAsia="David" w:hAnsi="David"/>
                <w:b/>
                <w:bCs/>
                <w:sz w:val="20"/>
                <w:szCs w:val="20"/>
                <w:rtl/>
              </w:rPr>
              <w:t xml:space="preserve">שעות המפגש</w:t>
            </w:r>
          </w:p>
        </w:tc>
        <w:tc>
          <w:tcPr>
            <w:tcW w:type="dxa" w:w="1400"/>
            <w:tcBorders>
              <w:top w:val="single" w:color="000000" w:sz="1"/>
              <w:left w:val="single" w:color="000000" w:sz="1"/>
              <w:bottom w:val="single" w:color="000000" w:sz="1"/>
              <w:right w:val="single" w:color="000000" w:sz="1"/>
            </w:tcBorders>
            <w:shd w:fill="F2F2F2" w:val="clear"/>
            <w:tcMar>
              <w:top w:type="dxa" w:w="40"/>
              <w:left w:type="dxa" w:w="80"/>
              <w:bottom w:type="dxa" w:w="40"/>
              <w:right w:type="dxa" w:w="80"/>
            </w:tcMar>
            <w:vAlign w:val="center"/>
          </w:tcPr>
          <w:p>
            <w:pPr>
              <w:bidi/>
              <w:jc w:val="center"/>
            </w:pPr>
            <w:r>
              <w:rPr>
                <w:rFonts w:ascii="David" w:cs="David" w:eastAsia="David" w:hAnsi="David"/>
                <w:b/>
                <w:bCs/>
                <w:sz w:val="20"/>
                <w:szCs w:val="20"/>
                <w:rtl/>
              </w:rPr>
              <w:t xml:space="preserve">תאריך מפגש</w:t>
            </w:r>
          </w:p>
        </w:tc>
        <w:tc>
          <w:tcPr>
            <w:tcW w:type="dxa" w:w="1100"/>
            <w:tcBorders>
              <w:top w:val="single" w:color="000000" w:sz="1"/>
              <w:left w:val="single" w:color="000000" w:sz="1"/>
              <w:bottom w:val="single" w:color="000000" w:sz="1"/>
              <w:right w:val="single" w:color="000000" w:sz="1"/>
            </w:tcBorders>
            <w:shd w:fill="F2F2F2" w:val="clear"/>
            <w:tcMar>
              <w:top w:type="dxa" w:w="40"/>
              <w:left w:type="dxa" w:w="80"/>
              <w:bottom w:type="dxa" w:w="40"/>
              <w:right w:type="dxa" w:w="80"/>
            </w:tcMar>
            <w:vAlign w:val="center"/>
          </w:tcPr>
          <w:p>
            <w:pPr>
              <w:bidi/>
              <w:jc w:val="center"/>
            </w:pPr>
            <w:r>
              <w:rPr>
                <w:rFonts w:ascii="David" w:cs="David" w:eastAsia="David" w:hAnsi="David"/>
                <w:b/>
                <w:bCs/>
                <w:sz w:val="20"/>
                <w:szCs w:val="20"/>
                <w:rtl/>
              </w:rPr>
              <w:t xml:space="preserve">סך שעות אקדמיות</w:t>
            </w:r>
          </w:p>
        </w:tc>
        <w:tc>
          <w:tcPr>
            <w:tcW w:type="dxa" w:w="4200"/>
            <w:tcBorders>
              <w:top w:val="single" w:color="000000" w:sz="1"/>
              <w:left w:val="single" w:color="000000" w:sz="1"/>
              <w:bottom w:val="single" w:color="000000" w:sz="1"/>
              <w:right w:val="single" w:color="000000" w:sz="1"/>
            </w:tcBorders>
            <w:shd w:fill="F2F2F2" w:val="clear"/>
            <w:tcMar>
              <w:top w:type="dxa" w:w="40"/>
              <w:left w:type="dxa" w:w="80"/>
              <w:bottom w:type="dxa" w:w="40"/>
              <w:right w:type="dxa" w:w="80"/>
            </w:tcMar>
            <w:vAlign w:val="center"/>
          </w:tcPr>
          <w:p>
            <w:pPr>
              <w:bidi/>
              <w:jc w:val="center"/>
            </w:pPr>
            <w:r>
              <w:rPr>
                <w:rFonts w:ascii="David" w:cs="David" w:eastAsia="David" w:hAnsi="David"/>
                <w:b/>
                <w:bCs/>
                <w:sz w:val="20"/>
                <w:szCs w:val="20"/>
                <w:rtl/>
              </w:rPr>
              <w:t xml:space="preserve">מטרות/תוכן</w:t>
            </w:r>
          </w:p>
        </w:tc>
        <w:tc>
          <w:tcPr>
            <w:tcW w:type="dxa" w:w="1200"/>
            <w:tcBorders>
              <w:top w:val="single" w:color="000000" w:sz="1"/>
              <w:left w:val="single" w:color="000000" w:sz="1"/>
              <w:bottom w:val="single" w:color="000000" w:sz="1"/>
              <w:right w:val="single" w:color="000000" w:sz="1"/>
            </w:tcBorders>
            <w:shd w:fill="F2F2F2" w:val="clear"/>
            <w:tcMar>
              <w:top w:type="dxa" w:w="40"/>
              <w:left w:type="dxa" w:w="80"/>
              <w:bottom w:type="dxa" w:w="40"/>
              <w:right w:type="dxa" w:w="80"/>
            </w:tcMar>
            <w:vAlign w:val="center"/>
          </w:tcPr>
          <w:p>
            <w:pPr>
              <w:bidi/>
              <w:jc w:val="center"/>
            </w:pPr>
            <w:r>
              <w:rPr>
                <w:rFonts w:ascii="David" w:cs="David" w:eastAsia="David" w:hAnsi="David"/>
                <w:b/>
                <w:bCs/>
                <w:sz w:val="20"/>
                <w:szCs w:val="20"/>
                <w:rtl/>
              </w:rPr>
              <w:t xml:space="preserve">סוג מפגש
מקוון? פרונטלי?</w:t>
            </w:r>
          </w:p>
        </w:tc>
        <w:tc>
          <w:tcPr>
            <w:tcW w:type="dxa" w:w="2600"/>
            <w:tcBorders>
              <w:top w:val="single" w:color="000000" w:sz="1"/>
              <w:left w:val="single" w:color="000000" w:sz="1"/>
              <w:bottom w:val="single" w:color="000000" w:sz="1"/>
              <w:right w:val="single" w:color="000000" w:sz="1"/>
            </w:tcBorders>
            <w:shd w:fill="F2F2F2" w:val="clear"/>
            <w:tcMar>
              <w:top w:type="dxa" w:w="40"/>
              <w:left w:type="dxa" w:w="80"/>
              <w:bottom w:type="dxa" w:w="40"/>
              <w:right w:type="dxa" w:w="80"/>
            </w:tcMar>
            <w:vAlign w:val="center"/>
          </w:tcPr>
          <w:p>
            <w:pPr>
              <w:bidi/>
              <w:jc w:val="center"/>
            </w:pPr>
            <w:r>
              <w:rPr>
                <w:rFonts w:ascii="David" w:cs="David" w:eastAsia="David" w:hAnsi="David"/>
                <w:b/>
                <w:bCs/>
                <w:sz w:val="20"/>
                <w:szCs w:val="20"/>
                <w:rtl/>
              </w:rPr>
              <w:t xml:space="preserve">נושא המפגש</w:t>
            </w:r>
          </w:p>
        </w:tc>
        <w:tc>
          <w:tcPr>
            <w:tcW w:type="dxa" w:w="1100"/>
            <w:tcBorders>
              <w:top w:val="single" w:color="000000" w:sz="1"/>
              <w:left w:val="single" w:color="000000" w:sz="1"/>
              <w:bottom w:val="single" w:color="000000" w:sz="1"/>
              <w:right w:val="single" w:color="000000" w:sz="1"/>
            </w:tcBorders>
            <w:shd w:fill="F2F2F2" w:val="clear"/>
            <w:tcMar>
              <w:top w:type="dxa" w:w="40"/>
              <w:left w:type="dxa" w:w="80"/>
              <w:bottom w:type="dxa" w:w="40"/>
              <w:right w:type="dxa" w:w="80"/>
            </w:tcMar>
            <w:vAlign w:val="center"/>
          </w:tcPr>
          <w:p>
            <w:pPr>
              <w:bidi/>
              <w:jc w:val="center"/>
            </w:pPr>
            <w:r>
              <w:rPr>
                <w:rFonts w:ascii="David" w:cs="David" w:eastAsia="David" w:hAnsi="David"/>
                <w:b/>
                <w:bCs/>
                <w:sz w:val="20"/>
                <w:szCs w:val="20"/>
                <w:rtl/>
              </w:rPr>
              <w:t xml:space="preserve">יחידת לימוד</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מיכל גולדפרב</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13:30-15:30</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18.1</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2</w:t>
            </w:r>
          </w:p>
        </w:tc>
        <w:tc>
          <w:tcPr>
            <w:tcW w:type="dxa" w:w="4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חשיפה למרכיבי הליבה, הרעיונות והנחות היסוד של הפסיכולוגיה החיובית</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פרונטלי</w:t>
            </w:r>
          </w:p>
        </w:tc>
        <w:tc>
          <w:tcPr>
            <w:tcW w:type="dxa" w:w="2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מבוא לפסיכולוגיה חיובית</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1</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מיכל גולדפרב</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13:30-15:30</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1.2</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2</w:t>
            </w:r>
          </w:p>
        </w:tc>
        <w:tc>
          <w:tcPr>
            <w:tcW w:type="dxa" w:w="4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כוחה של האמונה בשינוי, התערבויות חינוכיות מבוססות מחקר שחוללו שינויים חיוביים</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פרונטלי</w:t>
            </w:r>
          </w:p>
        </w:tc>
        <w:tc>
          <w:tcPr>
            <w:tcW w:type="dxa" w:w="2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שינוי הינו אפשרי – הלכה למעשה</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2</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מיכל גולדפרב</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13:30-15:30</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15.2</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2</w:t>
            </w:r>
          </w:p>
        </w:tc>
        <w:tc>
          <w:tcPr>
            <w:tcW w:type="dxa" w:w="4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היכולת לאפשר לעצמנו מרחב להרגיש ולבטא את מגוון הרגשות האנושיים</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פרונטלי</w:t>
            </w:r>
          </w:p>
        </w:tc>
        <w:tc>
          <w:tcPr>
            <w:tcW w:type="dxa" w:w="2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הרשות להיות אנושי</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3</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מיכל גולדפרב</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13:30-15:30</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1.3</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2</w:t>
            </w:r>
          </w:p>
        </w:tc>
        <w:tc>
          <w:tcPr>
            <w:tcW w:type="dxa" w:w="4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גישת ההרחבה והבניה – חשיבות העלאת רגשות חיוביים באופן יזום לקידום צמיחה פסיכולוגית</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פרונטלי</w:t>
            </w:r>
          </w:p>
        </w:tc>
        <w:tc>
          <w:tcPr>
            <w:tcW w:type="dxa" w:w="2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רגשות חיוביים</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4</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מיכל גולדפרב</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13:30-15:30</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15.3</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2</w:t>
            </w:r>
          </w:p>
        </w:tc>
        <w:tc>
          <w:tcPr>
            <w:tcW w:type="dxa" w:w="4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הקשר בין אמונות למציאות – ציפיות חיוביות, אופטימיות ותקווה, מיקוד ופרשנות חיובית</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פרונטלי</w:t>
            </w:r>
          </w:p>
        </w:tc>
        <w:tc>
          <w:tcPr>
            <w:tcW w:type="dxa" w:w="2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מאמונות למציאות</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5</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מיכל גולדפרב</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13:30-15:30</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12.4</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2</w:t>
            </w:r>
          </w:p>
        </w:tc>
        <w:tc>
          <w:tcPr>
            <w:tcW w:type="dxa" w:w="4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דרכים ליצירת שינוי מהותי, יציב וממושך – ה-ABC של הפסיכולוגיה: רגש, התנהגות ומחשבה</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פרונטלי</w:t>
            </w:r>
          </w:p>
        </w:tc>
        <w:tc>
          <w:tcPr>
            <w:tcW w:type="dxa" w:w="2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שינוי – הלכה למעשה</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6</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מיכל גולדפרב</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13:30-15:30</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19.4</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2</w:t>
            </w:r>
          </w:p>
        </w:tc>
        <w:tc>
          <w:tcPr>
            <w:tcW w:type="dxa" w:w="4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תפקיד המיקוד והפרשנות ביצירת מציאות חיינו; כלים לטיפוח הכרת תודה והערכה</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פרונטלי</w:t>
            </w:r>
          </w:p>
        </w:tc>
        <w:tc>
          <w:tcPr>
            <w:tcW w:type="dxa" w:w="2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פוקוס והכרת תודה כדרך חיים</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7</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מיכל גולדפרב</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13:30-15:30</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3.5</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2</w:t>
            </w:r>
          </w:p>
        </w:tc>
        <w:tc>
          <w:tcPr>
            <w:tcW w:type="dxa" w:w="4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זיהוי חוזקות אופי אישיות והגברת מודעות לשימוש בהן בתחומי חיים שונים</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פרונטלי</w:t>
            </w:r>
          </w:p>
        </w:tc>
        <w:tc>
          <w:tcPr>
            <w:tcW w:type="dxa" w:w="2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חוזקות אישיות</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8</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מיכל גולדפרב</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13:30-15:30</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10.5</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2</w:t>
            </w:r>
          </w:p>
        </w:tc>
        <w:tc>
          <w:tcPr>
            <w:tcW w:type="dxa" w:w="4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הצבת מטרות מותאמות לעצמי (Self Concordant Goals), ניסוח ותכנון מטרות משמעותיות</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פרונטלי</w:t>
            </w:r>
          </w:p>
        </w:tc>
        <w:tc>
          <w:tcPr>
            <w:tcW w:type="dxa" w:w="2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הצבת מטרות אישיות ויישומן</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9</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מיכל גולדפרב</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13:30-15:30</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17.5</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2</w:t>
            </w:r>
          </w:p>
        </w:tc>
        <w:tc>
          <w:tcPr>
            <w:tcW w:type="dxa" w:w="4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איזון בין גוף ונפש – שינה, תזונה, אימון גופני, איזון רגשי וקשיבות פנימית</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פרונטלי</w:t>
            </w:r>
          </w:p>
        </w:tc>
        <w:tc>
          <w:tcPr>
            <w:tcW w:type="dxa" w:w="2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גוף ונפש בעבודה החינוכית</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10</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מיכל גולדפרב</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13:30-15:30</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24.5</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2</w:t>
            </w:r>
          </w:p>
        </w:tc>
        <w:tc>
          <w:tcPr>
            <w:tcW w:type="dxa" w:w="4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מיינדפולנס – היכולת להיות נוכח בהווה; הפחתת מתח, שיפור איכות חיים ויציבות נפשית</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פרונטלי</w:t>
            </w:r>
          </w:p>
        </w:tc>
        <w:tc>
          <w:tcPr>
            <w:tcW w:type="dxa" w:w="2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מדיטציה מודעת – קשיבות</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11</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מיכל גולדפרב</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13:30-15:30</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31.5</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2</w:t>
            </w:r>
          </w:p>
        </w:tc>
        <w:tc>
          <w:tcPr>
            <w:tcW w:type="dxa" w:w="4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כלים מבוססי מחקר למיתון חווית לחץ והגברת חוויות של זרימה (Flow) ושלווה</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פרונטלי</w:t>
            </w:r>
          </w:p>
        </w:tc>
        <w:tc>
          <w:tcPr>
            <w:tcW w:type="dxa" w:w="2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לחץ וזרימה</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12</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מיכל גולדפרב</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13:30-15:30</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7.6</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2</w:t>
            </w:r>
          </w:p>
        </w:tc>
        <w:tc>
          <w:tcPr>
            <w:tcW w:type="dxa" w:w="4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התמודדות עם ביקורת עצמית, קבלה עצמית, והצמיחה מכשלונות</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פרונטלי</w:t>
            </w:r>
          </w:p>
        </w:tc>
        <w:tc>
          <w:tcPr>
            <w:tcW w:type="dxa" w:w="2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פרפקציוניזם וקבלה עצמית</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13</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מיכל גולדפרב</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13:30-15:30</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2</w:t>
            </w:r>
          </w:p>
        </w:tc>
        <w:tc>
          <w:tcPr>
            <w:tcW w:type="dxa" w:w="4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קידום מערכות יחסים חיוביות ויצירת סביבות תפקוד תומכות</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פרונטלי</w:t>
            </w:r>
          </w:p>
        </w:tc>
        <w:tc>
          <w:tcPr>
            <w:tcW w:type="dxa" w:w="2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מערכות יחסים ותמיכה חברתית</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14</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מיכל גולדפרב</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13:30-15:30</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2</w:t>
            </w:r>
          </w:p>
        </w:tc>
        <w:tc>
          <w:tcPr>
            <w:tcW w:type="dxa" w:w="4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שיתוף תובנות ותהליכים, העלאת אפשרויות ליישום בתחום החברתי והקהילתי</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פרונטלי</w:t>
            </w:r>
          </w:p>
        </w:tc>
        <w:tc>
          <w:tcPr>
            <w:tcW w:type="dxa" w:w="2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"תעביר את זה הלאה"</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15</w:t>
            </w:r>
          </w:p>
        </w:tc>
      </w:tr>
    </w:tbl>
    <w:p>
      <w:pPr>
        <w:spacing w:before="200"/>
      </w:pPr>
    </w:p>
    <w:p>
      <w:pPr>
        <w:bidi/>
        <w:jc w:val="center"/>
      </w:pPr>
      <w:r>
        <w:rPr>
          <w:rFonts w:ascii="David" w:cs="David" w:eastAsia="David" w:hAnsi="David"/>
          <w:b/>
          <w:bCs/>
          <w:sz w:val="20"/>
          <w:szCs w:val="20"/>
          <w:rtl/>
        </w:rPr>
        <w:t xml:space="preserve">הגשת מטלת סיום עד לתאריך– (לא יאוחר מה 1.6)</w:t>
      </w:r>
    </w:p>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2026-03-27T04:07:34.124Z</dcterms:created>
  <dcterms:modified xsi:type="dcterms:W3CDTF">2026-03-27T04:07:34.125Z</dcterms:modified>
</cp:coreProperties>
</file>

<file path=docProps/custom.xml><?xml version="1.0" encoding="utf-8"?>
<Properties xmlns="http://schemas.openxmlformats.org/officeDocument/2006/custom-properties" xmlns:vt="http://schemas.openxmlformats.org/officeDocument/2006/docPropsVTypes"/>
</file>