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300"/>
        <w:jc w:val="center"/>
      </w:pPr>
      <w:r>
        <w:rPr>
          <w:rFonts w:ascii="David" w:cs="David" w:eastAsia="David" w:hAnsi="David"/>
          <w:b/>
          <w:bCs/>
          <w:sz w:val="40"/>
          <w:szCs w:val="40"/>
          <w:rtl/>
        </w:rPr>
        <w:t xml:space="preserve">סילבוס השתלמות </w:t>
      </w:r>
      <w:r>
        <w:rPr>
          <w:rFonts w:ascii="David" w:cs="David" w:eastAsia="David" w:hAnsi="David"/>
          <w:b/>
          <w:bCs/>
          <w:sz w:val="40"/>
          <w:szCs w:val="40"/>
          <w:u w:val="single"/>
          <w:rtl/>
        </w:rPr>
        <w:t xml:space="preserve">מיטיב – פסיכולוגיה חיובית – שנה ראשונה</w:t>
      </w:r>
    </w:p>
    <w:p>
      <w:pPr>
        <w:bidi/>
        <w:spacing w:after="80"/>
        <w:jc w:val="right"/>
      </w:pPr>
      <w:r>
        <w:rPr>
          <w:rFonts w:ascii="David" w:cs="David" w:eastAsia="David" w:hAnsi="David"/>
          <w:sz w:val="22"/>
          <w:szCs w:val="22"/>
          <w:rtl/>
        </w:rPr>
        <w:t xml:space="preserve">• </w:t>
      </w:r>
      <w:r>
        <w:rPr>
          <w:rFonts w:ascii="David" w:cs="David" w:eastAsia="David" w:hAnsi="David"/>
          <w:b/>
          <w:bCs/>
          <w:sz w:val="22"/>
          <w:szCs w:val="22"/>
          <w:rtl/>
        </w:rPr>
        <w:t xml:space="preserve">תחום דעת: </w:t>
      </w:r>
      <w:r>
        <w:rPr>
          <w:rFonts w:ascii="David" w:cs="David" w:eastAsia="David" w:hAnsi="David"/>
          <w:sz w:val="22"/>
          <w:szCs w:val="22"/>
          <w:rtl/>
        </w:rPr>
        <w:t xml:space="preserve">פסיכולוגיה חיובית</w:t>
      </w:r>
    </w:p>
    <w:p>
      <w:pPr>
        <w:bidi/>
        <w:spacing w:after="80"/>
        <w:jc w:val="right"/>
      </w:pPr>
      <w:r>
        <w:rPr>
          <w:rFonts w:ascii="David" w:cs="David" w:eastAsia="David" w:hAnsi="David"/>
          <w:sz w:val="22"/>
          <w:szCs w:val="22"/>
          <w:rtl/>
        </w:rPr>
        <w:t xml:space="preserve">• </w:t>
      </w:r>
      <w:r>
        <w:rPr>
          <w:rFonts w:ascii="David" w:cs="David" w:eastAsia="David" w:hAnsi="David"/>
          <w:b/>
          <w:bCs/>
          <w:sz w:val="22"/>
          <w:szCs w:val="22"/>
          <w:rtl/>
        </w:rPr>
        <w:t xml:space="preserve">קהל יעד: </w:t>
      </w:r>
      <w:r>
        <w:rPr>
          <w:rFonts w:ascii="David" w:cs="David" w:eastAsia="David" w:hAnsi="David"/>
          <w:sz w:val="22"/>
          <w:szCs w:val="22"/>
          <w:rtl/>
        </w:rPr>
        <w:t xml:space="preserve">אנשי חינוך – מורים, יועצים, מנהלים</w:t>
      </w:r>
    </w:p>
    <w:p>
      <w:pPr>
        <w:bidi/>
        <w:spacing w:after="80"/>
        <w:jc w:val="right"/>
      </w:pPr>
      <w:r>
        <w:rPr>
          <w:rFonts w:ascii="David" w:cs="David" w:eastAsia="David" w:hAnsi="David"/>
          <w:sz w:val="22"/>
          <w:szCs w:val="22"/>
          <w:rtl/>
        </w:rPr>
        <w:t xml:space="preserve">• </w:t>
      </w:r>
      <w:r>
        <w:rPr>
          <w:rFonts w:ascii="David" w:cs="David" w:eastAsia="David" w:hAnsi="David"/>
          <w:b/>
          <w:bCs/>
          <w:sz w:val="22"/>
          <w:szCs w:val="22"/>
          <w:rtl/>
        </w:rPr>
        <w:t xml:space="preserve">מידע מורחב: </w:t>
      </w:r>
      <w:r>
        <w:rPr>
          <w:rFonts w:ascii="David" w:cs="David" w:eastAsia="David" w:hAnsi="David"/>
          <w:sz w:val="22"/>
          <w:szCs w:val="22"/>
          <w:shd w:fill="FFFF00" w:val="clear"/>
          <w:rtl/>
        </w:rPr>
        <w:t xml:space="preserve">תוכנית מיטיב מבוססת על מחקר מתחום הפסיכולוגיה החיובית ועוסקת בתפקוד המיטבי של אנשים וקבוצות. התוכנית מספקת כלים מעשיים לקידום רגשות חיוביים, חוזקות אישיות, מימוש עצמי ורווחה נפשית בקרב אנשי חינוך ותלמידים.</w:t>
      </w:r>
    </w:p>
    <w:p>
      <w:pPr>
        <w:bidi/>
        <w:spacing w:after="80"/>
        <w:jc w:val="right"/>
      </w:pPr>
      <w:r>
        <w:rPr>
          <w:rFonts w:ascii="David" w:cs="David" w:eastAsia="David" w:hAnsi="David"/>
          <w:sz w:val="22"/>
          <w:szCs w:val="22"/>
          <w:rtl/>
        </w:rPr>
        <w:t xml:space="preserve">• </w:t>
      </w:r>
      <w:r>
        <w:rPr>
          <w:rFonts w:ascii="David" w:cs="David" w:eastAsia="David" w:hAnsi="David"/>
          <w:b/>
          <w:bCs/>
          <w:sz w:val="22"/>
          <w:szCs w:val="22"/>
          <w:rtl/>
        </w:rPr>
        <w:t xml:space="preserve">נושאים מרכזיים: </w:t>
      </w:r>
      <w:r>
        <w:rPr>
          <w:rFonts w:ascii="David" w:cs="David" w:eastAsia="David" w:hAnsi="David"/>
          <w:sz w:val="22"/>
          <w:szCs w:val="22"/>
          <w:shd w:fill="FFFF00" w:val="clear"/>
          <w:rtl/>
        </w:rPr>
        <w:t xml:space="preserve">רגשות חיוביים ורווחה נפשית; חוזקות אישיות ומימוש עצמי; קשיבות, זרימה ואיזון גוף-נפש; מערכות יחסים ותמיכה חברתית</w:t>
      </w:r>
    </w:p>
    <w:p>
      <w:pPr>
        <w:bidi/>
        <w:spacing w:after="80"/>
        <w:jc w:val="right"/>
      </w:pPr>
      <w:r>
        <w:rPr>
          <w:rFonts w:ascii="David" w:cs="David" w:eastAsia="David" w:hAnsi="David"/>
          <w:sz w:val="22"/>
          <w:szCs w:val="22"/>
          <w:rtl/>
        </w:rPr>
        <w:t xml:space="preserve">• </w:t>
      </w:r>
      <w:r>
        <w:rPr>
          <w:rFonts w:ascii="David" w:cs="David" w:eastAsia="David" w:hAnsi="David"/>
          <w:b/>
          <w:bCs/>
          <w:sz w:val="22"/>
          <w:szCs w:val="22"/>
          <w:rtl/>
        </w:rPr>
        <w:t xml:space="preserve">מטרות: </w:t>
      </w:r>
      <w:r>
        <w:rPr>
          <w:rFonts w:ascii="David" w:cs="David" w:eastAsia="David" w:hAnsi="David"/>
          <w:sz w:val="22"/>
          <w:szCs w:val="22"/>
          <w:shd w:fill="FFFF00" w:val="clear"/>
          <w:rtl/>
        </w:rPr>
        <w:t xml:space="preserve">הכרת עקרונות הפסיכולוגיה החיובית; פיתוח כלים מעשיים לקידום רווחה נפשית; זיהוי וחיזוק חוזקות אישיות; יישום בסביבה החינוכית</w:t>
      </w:r>
    </w:p>
    <w:p>
      <w:pPr>
        <w:bidi/>
        <w:spacing w:after="80"/>
        <w:jc w:val="right"/>
      </w:pPr>
      <w:r>
        <w:rPr>
          <w:rFonts w:ascii="David" w:cs="David" w:eastAsia="David" w:hAnsi="David"/>
          <w:sz w:val="22"/>
          <w:szCs w:val="22"/>
          <w:rtl/>
        </w:rPr>
        <w:t xml:space="preserve">• </w:t>
      </w:r>
      <w:r>
        <w:rPr>
          <w:rFonts w:ascii="David" w:cs="David" w:eastAsia="David" w:hAnsi="David"/>
          <w:b/>
          <w:bCs/>
          <w:sz w:val="22"/>
          <w:szCs w:val="22"/>
          <w:rtl/>
        </w:rPr>
        <w:t xml:space="preserve">מבנה ההשתלמות: </w:t>
      </w:r>
      <w:r>
        <w:rPr>
          <w:rFonts w:ascii="David" w:cs="David" w:eastAsia="David" w:hAnsi="David"/>
          <w:sz w:val="22"/>
          <w:szCs w:val="22"/>
          <w:rtl/>
        </w:rPr>
        <w:t xml:space="preserve">15 מפגשים פרונטליים</w:t>
      </w:r>
    </w:p>
    <w:p>
      <w:pPr>
        <w:bidi/>
        <w:spacing w:after="80"/>
        <w:jc w:val="right"/>
      </w:pPr>
      <w:r>
        <w:rPr>
          <w:rFonts w:ascii="David" w:cs="David" w:eastAsia="David" w:hAnsi="David"/>
          <w:sz w:val="22"/>
          <w:szCs w:val="22"/>
          <w:rtl/>
        </w:rPr>
        <w:t xml:space="preserve">• </w:t>
      </w:r>
      <w:r>
        <w:rPr>
          <w:rFonts w:ascii="David" w:cs="David" w:eastAsia="David" w:hAnsi="David"/>
          <w:b/>
          <w:bCs/>
          <w:sz w:val="22"/>
          <w:szCs w:val="22"/>
          <w:rtl/>
        </w:rPr>
        <w:t xml:space="preserve">דרישות לקבלת גמול: </w:t>
      </w:r>
      <w:r>
        <w:rPr>
          <w:rFonts w:ascii="David" w:cs="David" w:eastAsia="David" w:hAnsi="David"/>
          <w:sz w:val="22"/>
          <w:szCs w:val="22"/>
          <w:rtl/>
        </w:rPr>
        <w:t xml:space="preserve">נוכחות במפגשים והגשת משימת סיכום</w:t>
      </w:r>
    </w:p>
    <w:p>
      <w:pPr>
        <w:bidi/>
        <w:spacing w:after="80"/>
        <w:jc w:val="right"/>
      </w:pPr>
      <w:r>
        <w:rPr>
          <w:rFonts w:ascii="David" w:cs="David" w:eastAsia="David" w:hAnsi="David"/>
          <w:sz w:val="22"/>
          <w:szCs w:val="22"/>
          <w:rtl/>
        </w:rPr>
        <w:t xml:space="preserve">• </w:t>
      </w:r>
      <w:r>
        <w:rPr>
          <w:rFonts w:ascii="David" w:cs="David" w:eastAsia="David" w:hAnsi="David"/>
          <w:b/>
          <w:bCs/>
          <w:sz w:val="22"/>
          <w:szCs w:val="22"/>
          <w:rtl/>
        </w:rPr>
        <w:t xml:space="preserve">לוח זמנים: </w:t>
      </w:r>
      <w:r>
        <w:rPr>
          <w:rFonts w:ascii="David" w:cs="David" w:eastAsia="David" w:hAnsi="David"/>
          <w:sz w:val="22"/>
          <w:szCs w:val="22"/>
          <w:rtl/>
        </w:rPr>
        <w:t xml:space="preserve"/>
      </w:r>
    </w:p>
    <w:p>
      <w:pPr>
        <w:spacing w:after="20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100"/>
        <w:gridCol w:w="4200"/>
        <w:gridCol w:w="1200"/>
        <w:gridCol w:w="2600"/>
        <w:gridCol w:w="1100"/>
      </w:tblGrid>
      <w:tr>
        <w:trPr>
          <w:tblHeader/>
        </w:trPr>
        <w:tc>
          <w:tcPr>
            <w:tcW w:type="dxa" w:w="1400"/>
            <w:tcBorders>
              <w:top w:val="single" w:color="000000" w:sz="1"/>
              <w:left w:val="single" w:color="000000" w:sz="1"/>
              <w:bottom w:val="single" w:color="000000" w:sz="1"/>
              <w:right w:val="single" w:color="000000" w:sz="1"/>
            </w:tcBorders>
            <w:shd w:fill="F2F2F2" w:val="clear"/>
            <w:tcMar>
              <w:top w:type="dxa" w:w="40"/>
              <w:left w:type="dxa" w:w="80"/>
              <w:bottom w:type="dxa" w:w="40"/>
              <w:right w:type="dxa" w:w="80"/>
            </w:tcMar>
            <w:vAlign w:val="center"/>
          </w:tcPr>
          <w:p>
            <w:pPr>
              <w:bidi/>
              <w:jc w:val="center"/>
            </w:pPr>
            <w:r>
              <w:rPr>
                <w:rFonts w:ascii="David" w:cs="David" w:eastAsia="David" w:hAnsi="David"/>
                <w:b/>
                <w:bCs/>
                <w:sz w:val="20"/>
                <w:szCs w:val="20"/>
                <w:rtl/>
              </w:rPr>
              <w:t xml:space="preserve">מנחה המפגש</w:t>
            </w:r>
          </w:p>
        </w:tc>
        <w:tc>
          <w:tcPr>
            <w:tcW w:type="dxa" w:w="1400"/>
            <w:tcBorders>
              <w:top w:val="single" w:color="000000" w:sz="1"/>
              <w:left w:val="single" w:color="000000" w:sz="1"/>
              <w:bottom w:val="single" w:color="000000" w:sz="1"/>
              <w:right w:val="single" w:color="000000" w:sz="1"/>
            </w:tcBorders>
            <w:shd w:fill="F2F2F2" w:val="clear"/>
            <w:tcMar>
              <w:top w:type="dxa" w:w="40"/>
              <w:left w:type="dxa" w:w="80"/>
              <w:bottom w:type="dxa" w:w="40"/>
              <w:right w:type="dxa" w:w="80"/>
            </w:tcMar>
            <w:vAlign w:val="center"/>
          </w:tcPr>
          <w:p>
            <w:pPr>
              <w:bidi/>
              <w:jc w:val="center"/>
            </w:pPr>
            <w:r>
              <w:rPr>
                <w:rFonts w:ascii="David" w:cs="David" w:eastAsia="David" w:hAnsi="David"/>
                <w:b/>
                <w:bCs/>
                <w:sz w:val="20"/>
                <w:szCs w:val="20"/>
                <w:rtl/>
              </w:rPr>
              <w:t xml:space="preserve">שעות המפגש</w:t>
            </w:r>
          </w:p>
        </w:tc>
        <w:tc>
          <w:tcPr>
            <w:tcW w:type="dxa" w:w="1400"/>
            <w:tcBorders>
              <w:top w:val="single" w:color="000000" w:sz="1"/>
              <w:left w:val="single" w:color="000000" w:sz="1"/>
              <w:bottom w:val="single" w:color="000000" w:sz="1"/>
              <w:right w:val="single" w:color="000000" w:sz="1"/>
            </w:tcBorders>
            <w:shd w:fill="F2F2F2" w:val="clear"/>
            <w:tcMar>
              <w:top w:type="dxa" w:w="40"/>
              <w:left w:type="dxa" w:w="80"/>
              <w:bottom w:type="dxa" w:w="40"/>
              <w:right w:type="dxa" w:w="80"/>
            </w:tcMar>
            <w:vAlign w:val="center"/>
          </w:tcPr>
          <w:p>
            <w:pPr>
              <w:bidi/>
              <w:jc w:val="center"/>
            </w:pPr>
            <w:r>
              <w:rPr>
                <w:rFonts w:ascii="David" w:cs="David" w:eastAsia="David" w:hAnsi="David"/>
                <w:b/>
                <w:bCs/>
                <w:sz w:val="20"/>
                <w:szCs w:val="20"/>
                <w:rtl/>
              </w:rPr>
              <w:t xml:space="preserve">תאריך מפגש</w:t>
            </w:r>
          </w:p>
        </w:tc>
        <w:tc>
          <w:tcPr>
            <w:tcW w:type="dxa" w:w="1100"/>
            <w:tcBorders>
              <w:top w:val="single" w:color="000000" w:sz="1"/>
              <w:left w:val="single" w:color="000000" w:sz="1"/>
              <w:bottom w:val="single" w:color="000000" w:sz="1"/>
              <w:right w:val="single" w:color="000000" w:sz="1"/>
            </w:tcBorders>
            <w:shd w:fill="F2F2F2" w:val="clear"/>
            <w:tcMar>
              <w:top w:type="dxa" w:w="40"/>
              <w:left w:type="dxa" w:w="80"/>
              <w:bottom w:type="dxa" w:w="40"/>
              <w:right w:type="dxa" w:w="80"/>
            </w:tcMar>
            <w:vAlign w:val="center"/>
          </w:tcPr>
          <w:p>
            <w:pPr>
              <w:bidi/>
              <w:jc w:val="center"/>
            </w:pPr>
            <w:r>
              <w:rPr>
                <w:rFonts w:ascii="David" w:cs="David" w:eastAsia="David" w:hAnsi="David"/>
                <w:b/>
                <w:bCs/>
                <w:sz w:val="20"/>
                <w:szCs w:val="20"/>
                <w:rtl/>
              </w:rPr>
              <w:t xml:space="preserve">סך שעות אקדמיות</w:t>
            </w:r>
          </w:p>
        </w:tc>
        <w:tc>
          <w:tcPr>
            <w:tcW w:type="dxa" w:w="4200"/>
            <w:tcBorders>
              <w:top w:val="single" w:color="000000" w:sz="1"/>
              <w:left w:val="single" w:color="000000" w:sz="1"/>
              <w:bottom w:val="single" w:color="000000" w:sz="1"/>
              <w:right w:val="single" w:color="000000" w:sz="1"/>
            </w:tcBorders>
            <w:shd w:fill="F2F2F2" w:val="clear"/>
            <w:tcMar>
              <w:top w:type="dxa" w:w="40"/>
              <w:left w:type="dxa" w:w="80"/>
              <w:bottom w:type="dxa" w:w="40"/>
              <w:right w:type="dxa" w:w="80"/>
            </w:tcMar>
            <w:vAlign w:val="center"/>
          </w:tcPr>
          <w:p>
            <w:pPr>
              <w:bidi/>
              <w:jc w:val="center"/>
            </w:pPr>
            <w:r>
              <w:rPr>
                <w:rFonts w:ascii="David" w:cs="David" w:eastAsia="David" w:hAnsi="David"/>
                <w:b/>
                <w:bCs/>
                <w:sz w:val="20"/>
                <w:szCs w:val="20"/>
                <w:rtl/>
              </w:rPr>
              <w:t xml:space="preserve">מטרות/תוכן</w:t>
            </w:r>
          </w:p>
        </w:tc>
        <w:tc>
          <w:tcPr>
            <w:tcW w:type="dxa" w:w="1200"/>
            <w:tcBorders>
              <w:top w:val="single" w:color="000000" w:sz="1"/>
              <w:left w:val="single" w:color="000000" w:sz="1"/>
              <w:bottom w:val="single" w:color="000000" w:sz="1"/>
              <w:right w:val="single" w:color="000000" w:sz="1"/>
            </w:tcBorders>
            <w:shd w:fill="F2F2F2" w:val="clear"/>
            <w:tcMar>
              <w:top w:type="dxa" w:w="40"/>
              <w:left w:type="dxa" w:w="80"/>
              <w:bottom w:type="dxa" w:w="40"/>
              <w:right w:type="dxa" w:w="80"/>
            </w:tcMar>
            <w:vAlign w:val="center"/>
          </w:tcPr>
          <w:p>
            <w:pPr>
              <w:bidi/>
              <w:jc w:val="center"/>
            </w:pPr>
            <w:r>
              <w:rPr>
                <w:rFonts w:ascii="David" w:cs="David" w:eastAsia="David" w:hAnsi="David"/>
                <w:b/>
                <w:bCs/>
                <w:sz w:val="20"/>
                <w:szCs w:val="20"/>
                <w:rtl/>
              </w:rPr>
              <w:t xml:space="preserve">סוג מפגש
מקוון? פרונטלי?</w:t>
            </w:r>
          </w:p>
        </w:tc>
        <w:tc>
          <w:tcPr>
            <w:tcW w:type="dxa" w:w="2600"/>
            <w:tcBorders>
              <w:top w:val="single" w:color="000000" w:sz="1"/>
              <w:left w:val="single" w:color="000000" w:sz="1"/>
              <w:bottom w:val="single" w:color="000000" w:sz="1"/>
              <w:right w:val="single" w:color="000000" w:sz="1"/>
            </w:tcBorders>
            <w:shd w:fill="F2F2F2" w:val="clear"/>
            <w:tcMar>
              <w:top w:type="dxa" w:w="40"/>
              <w:left w:type="dxa" w:w="80"/>
              <w:bottom w:type="dxa" w:w="40"/>
              <w:right w:type="dxa" w:w="80"/>
            </w:tcMar>
            <w:vAlign w:val="center"/>
          </w:tcPr>
          <w:p>
            <w:pPr>
              <w:bidi/>
              <w:jc w:val="center"/>
            </w:pPr>
            <w:r>
              <w:rPr>
                <w:rFonts w:ascii="David" w:cs="David" w:eastAsia="David" w:hAnsi="David"/>
                <w:b/>
                <w:bCs/>
                <w:sz w:val="20"/>
                <w:szCs w:val="20"/>
                <w:rtl/>
              </w:rPr>
              <w:t xml:space="preserve">נושא המפגש</w:t>
            </w:r>
          </w:p>
        </w:tc>
        <w:tc>
          <w:tcPr>
            <w:tcW w:type="dxa" w:w="1100"/>
            <w:tcBorders>
              <w:top w:val="single" w:color="000000" w:sz="1"/>
              <w:left w:val="single" w:color="000000" w:sz="1"/>
              <w:bottom w:val="single" w:color="000000" w:sz="1"/>
              <w:right w:val="single" w:color="000000" w:sz="1"/>
            </w:tcBorders>
            <w:shd w:fill="F2F2F2" w:val="clear"/>
            <w:tcMar>
              <w:top w:type="dxa" w:w="40"/>
              <w:left w:type="dxa" w:w="80"/>
              <w:bottom w:type="dxa" w:w="40"/>
              <w:right w:type="dxa" w:w="80"/>
            </w:tcMar>
            <w:vAlign w:val="center"/>
          </w:tcPr>
          <w:p>
            <w:pPr>
              <w:bidi/>
              <w:jc w:val="center"/>
            </w:pPr>
            <w:r>
              <w:rPr>
                <w:rFonts w:ascii="David" w:cs="David" w:eastAsia="David" w:hAnsi="David"/>
                <w:b/>
                <w:bCs/>
                <w:sz w:val="20"/>
                <w:szCs w:val="20"/>
                <w:rtl/>
              </w:rPr>
              <w:t xml:space="preserve">יחידת לימוד</w:t>
            </w:r>
          </w:p>
        </w:tc>
      </w:tr>
      <w:tr>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
            </w:r>
          </w:p>
        </w:tc>
        <w:tc>
          <w:tcPr>
            <w:tcW w:type="dxa" w:w="4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right"/>
            </w:pPr>
            <w:r>
              <w:rPr>
                <w:rFonts w:ascii="David" w:cs="David" w:eastAsia="David" w:hAnsi="David"/>
                <w:sz w:val="18"/>
                <w:szCs w:val="18"/>
                <w:rtl/>
              </w:rPr>
              <w:t xml:space="preserve">חשיפה למרכיבי הליבה, הרעיונות והנחות היסוד של הפסיכולוגיה החיובית</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פרונטלי</w:t>
            </w:r>
          </w:p>
        </w:tc>
        <w:tc>
          <w:tcPr>
            <w:tcW w:type="dxa" w:w="26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right"/>
            </w:pPr>
            <w:r>
              <w:rPr>
                <w:rFonts w:ascii="David" w:cs="David" w:eastAsia="David" w:hAnsi="David"/>
                <w:sz w:val="18"/>
                <w:szCs w:val="18"/>
                <w:rtl/>
              </w:rPr>
              <w:t xml:space="preserve">מבוא לפסיכולוגיה חיובית</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1</w:t>
            </w:r>
          </w:p>
        </w:tc>
      </w:tr>
      <w:tr>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
            </w:r>
          </w:p>
        </w:tc>
        <w:tc>
          <w:tcPr>
            <w:tcW w:type="dxa" w:w="4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right"/>
            </w:pPr>
            <w:r>
              <w:rPr>
                <w:rFonts w:ascii="David" w:cs="David" w:eastAsia="David" w:hAnsi="David"/>
                <w:sz w:val="18"/>
                <w:szCs w:val="18"/>
                <w:rtl/>
              </w:rPr>
              <w:t xml:space="preserve">כוחה של האמונה בשינוי, התערבויות חינוכיות מבוססות מחקר שחוללו שינויים חיוביים</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פרונטלי</w:t>
            </w:r>
          </w:p>
        </w:tc>
        <w:tc>
          <w:tcPr>
            <w:tcW w:type="dxa" w:w="26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right"/>
            </w:pPr>
            <w:r>
              <w:rPr>
                <w:rFonts w:ascii="David" w:cs="David" w:eastAsia="David" w:hAnsi="David"/>
                <w:sz w:val="18"/>
                <w:szCs w:val="18"/>
                <w:rtl/>
              </w:rPr>
              <w:t xml:space="preserve">שינוי הינו אפשרי – הלכה למעשה</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2</w:t>
            </w:r>
          </w:p>
        </w:tc>
      </w:tr>
      <w:tr>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
            </w:r>
          </w:p>
        </w:tc>
        <w:tc>
          <w:tcPr>
            <w:tcW w:type="dxa" w:w="4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right"/>
            </w:pPr>
            <w:r>
              <w:rPr>
                <w:rFonts w:ascii="David" w:cs="David" w:eastAsia="David" w:hAnsi="David"/>
                <w:sz w:val="18"/>
                <w:szCs w:val="18"/>
                <w:rtl/>
              </w:rPr>
              <w:t xml:space="preserve">היכולת לאפשר לעצמנו מרחב להרגיש ולבטא את מגוון הרגשות האנושיים</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פרונטלי</w:t>
            </w:r>
          </w:p>
        </w:tc>
        <w:tc>
          <w:tcPr>
            <w:tcW w:type="dxa" w:w="26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right"/>
            </w:pPr>
            <w:r>
              <w:rPr>
                <w:rFonts w:ascii="David" w:cs="David" w:eastAsia="David" w:hAnsi="David"/>
                <w:sz w:val="18"/>
                <w:szCs w:val="18"/>
                <w:rtl/>
              </w:rPr>
              <w:t xml:space="preserve">הרשות להיות אנושי</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3</w:t>
            </w:r>
          </w:p>
        </w:tc>
      </w:tr>
      <w:tr>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
            </w:r>
          </w:p>
        </w:tc>
        <w:tc>
          <w:tcPr>
            <w:tcW w:type="dxa" w:w="4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right"/>
            </w:pPr>
            <w:r>
              <w:rPr>
                <w:rFonts w:ascii="David" w:cs="David" w:eastAsia="David" w:hAnsi="David"/>
                <w:sz w:val="18"/>
                <w:szCs w:val="18"/>
                <w:rtl/>
              </w:rPr>
              <w:t xml:space="preserve">גישת ההרחבה והבניה – חשיבות העלאת רגשות חיוביים באופן יזום לקידום צמיחה פסיכולוגית</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פרונטלי</w:t>
            </w:r>
          </w:p>
        </w:tc>
        <w:tc>
          <w:tcPr>
            <w:tcW w:type="dxa" w:w="26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right"/>
            </w:pPr>
            <w:r>
              <w:rPr>
                <w:rFonts w:ascii="David" w:cs="David" w:eastAsia="David" w:hAnsi="David"/>
                <w:sz w:val="18"/>
                <w:szCs w:val="18"/>
                <w:rtl/>
              </w:rPr>
              <w:t xml:space="preserve">רגשות חיוביים</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4</w:t>
            </w:r>
          </w:p>
        </w:tc>
      </w:tr>
      <w:tr>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
            </w:r>
          </w:p>
        </w:tc>
        <w:tc>
          <w:tcPr>
            <w:tcW w:type="dxa" w:w="4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right"/>
            </w:pPr>
            <w:r>
              <w:rPr>
                <w:rFonts w:ascii="David" w:cs="David" w:eastAsia="David" w:hAnsi="David"/>
                <w:sz w:val="18"/>
                <w:szCs w:val="18"/>
                <w:rtl/>
              </w:rPr>
              <w:t xml:space="preserve">הקשר בין אמונות למציאות – ציפיות חיוביות, אופטימיות ותקווה, מיקוד ופרשנות חיובית</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פרונטלי</w:t>
            </w:r>
          </w:p>
        </w:tc>
        <w:tc>
          <w:tcPr>
            <w:tcW w:type="dxa" w:w="26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right"/>
            </w:pPr>
            <w:r>
              <w:rPr>
                <w:rFonts w:ascii="David" w:cs="David" w:eastAsia="David" w:hAnsi="David"/>
                <w:sz w:val="18"/>
                <w:szCs w:val="18"/>
                <w:rtl/>
              </w:rPr>
              <w:t xml:space="preserve">מאמונות למציאות</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5</w:t>
            </w:r>
          </w:p>
        </w:tc>
      </w:tr>
      <w:tr>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
            </w:r>
          </w:p>
        </w:tc>
        <w:tc>
          <w:tcPr>
            <w:tcW w:type="dxa" w:w="4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right"/>
            </w:pPr>
            <w:r>
              <w:rPr>
                <w:rFonts w:ascii="David" w:cs="David" w:eastAsia="David" w:hAnsi="David"/>
                <w:sz w:val="18"/>
                <w:szCs w:val="18"/>
                <w:rtl/>
              </w:rPr>
              <w:t xml:space="preserve">דרכים ליצירת שינוי מהותי, יציב וממושך – ה-ABC של הפסיכולוגיה: רגש, התנהגות ומחשבה</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פרונטלי</w:t>
            </w:r>
          </w:p>
        </w:tc>
        <w:tc>
          <w:tcPr>
            <w:tcW w:type="dxa" w:w="26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right"/>
            </w:pPr>
            <w:r>
              <w:rPr>
                <w:rFonts w:ascii="David" w:cs="David" w:eastAsia="David" w:hAnsi="David"/>
                <w:sz w:val="18"/>
                <w:szCs w:val="18"/>
                <w:rtl/>
              </w:rPr>
              <w:t xml:space="preserve">שינוי – הלכה למעשה</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6</w:t>
            </w:r>
          </w:p>
        </w:tc>
      </w:tr>
      <w:tr>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
            </w:r>
          </w:p>
        </w:tc>
        <w:tc>
          <w:tcPr>
            <w:tcW w:type="dxa" w:w="4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right"/>
            </w:pPr>
            <w:r>
              <w:rPr>
                <w:rFonts w:ascii="David" w:cs="David" w:eastAsia="David" w:hAnsi="David"/>
                <w:sz w:val="18"/>
                <w:szCs w:val="18"/>
                <w:rtl/>
              </w:rPr>
              <w:t xml:space="preserve">תפקיד המיקוד והפרשנות ביצירת מציאות חיינו; כלים לטיפוח הכרת תודה והערכה</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פרונטלי</w:t>
            </w:r>
          </w:p>
        </w:tc>
        <w:tc>
          <w:tcPr>
            <w:tcW w:type="dxa" w:w="26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right"/>
            </w:pPr>
            <w:r>
              <w:rPr>
                <w:rFonts w:ascii="David" w:cs="David" w:eastAsia="David" w:hAnsi="David"/>
                <w:sz w:val="18"/>
                <w:szCs w:val="18"/>
                <w:rtl/>
              </w:rPr>
              <w:t xml:space="preserve">פוקוס והכרת תודה כדרך חיים</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7</w:t>
            </w:r>
          </w:p>
        </w:tc>
      </w:tr>
      <w:tr>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
            </w:r>
          </w:p>
        </w:tc>
        <w:tc>
          <w:tcPr>
            <w:tcW w:type="dxa" w:w="4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right"/>
            </w:pPr>
            <w:r>
              <w:rPr>
                <w:rFonts w:ascii="David" w:cs="David" w:eastAsia="David" w:hAnsi="David"/>
                <w:sz w:val="18"/>
                <w:szCs w:val="18"/>
                <w:rtl/>
              </w:rPr>
              <w:t xml:space="preserve">זיהוי חוזקות אופי אישיות והגברת מודעות לשימוש בהן בתחומי חיים שונים</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פרונטלי</w:t>
            </w:r>
          </w:p>
        </w:tc>
        <w:tc>
          <w:tcPr>
            <w:tcW w:type="dxa" w:w="26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right"/>
            </w:pPr>
            <w:r>
              <w:rPr>
                <w:rFonts w:ascii="David" w:cs="David" w:eastAsia="David" w:hAnsi="David"/>
                <w:sz w:val="18"/>
                <w:szCs w:val="18"/>
                <w:rtl/>
              </w:rPr>
              <w:t xml:space="preserve">חוזקות אישיות</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8</w:t>
            </w:r>
          </w:p>
        </w:tc>
      </w:tr>
      <w:tr>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
            </w:r>
          </w:p>
        </w:tc>
        <w:tc>
          <w:tcPr>
            <w:tcW w:type="dxa" w:w="4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right"/>
            </w:pPr>
            <w:r>
              <w:rPr>
                <w:rFonts w:ascii="David" w:cs="David" w:eastAsia="David" w:hAnsi="David"/>
                <w:sz w:val="18"/>
                <w:szCs w:val="18"/>
                <w:rtl/>
              </w:rPr>
              <w:t xml:space="preserve">הצבת מטרות מותאמות לעצמי (Self Concordant Goals), ניסוח ותכנון מטרות משמעותיות</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פרונטלי</w:t>
            </w:r>
          </w:p>
        </w:tc>
        <w:tc>
          <w:tcPr>
            <w:tcW w:type="dxa" w:w="26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right"/>
            </w:pPr>
            <w:r>
              <w:rPr>
                <w:rFonts w:ascii="David" w:cs="David" w:eastAsia="David" w:hAnsi="David"/>
                <w:sz w:val="18"/>
                <w:szCs w:val="18"/>
                <w:rtl/>
              </w:rPr>
              <w:t xml:space="preserve">הצבת מטרות אישיות ויישומן</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9</w:t>
            </w:r>
          </w:p>
        </w:tc>
      </w:tr>
      <w:tr>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
            </w:r>
          </w:p>
        </w:tc>
        <w:tc>
          <w:tcPr>
            <w:tcW w:type="dxa" w:w="4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right"/>
            </w:pPr>
            <w:r>
              <w:rPr>
                <w:rFonts w:ascii="David" w:cs="David" w:eastAsia="David" w:hAnsi="David"/>
                <w:sz w:val="18"/>
                <w:szCs w:val="18"/>
                <w:rtl/>
              </w:rPr>
              <w:t xml:space="preserve">איזון בין גוף ונפש – שינה, תזונה, אימון גופני, איזון רגשי וקשיבות פנימית</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פרונטלי</w:t>
            </w:r>
          </w:p>
        </w:tc>
        <w:tc>
          <w:tcPr>
            <w:tcW w:type="dxa" w:w="26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right"/>
            </w:pPr>
            <w:r>
              <w:rPr>
                <w:rFonts w:ascii="David" w:cs="David" w:eastAsia="David" w:hAnsi="David"/>
                <w:sz w:val="18"/>
                <w:szCs w:val="18"/>
                <w:rtl/>
              </w:rPr>
              <w:t xml:space="preserve">גוף ונפש בעבודה החינוכית</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10</w:t>
            </w:r>
          </w:p>
        </w:tc>
      </w:tr>
      <w:tr>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
            </w:r>
          </w:p>
        </w:tc>
        <w:tc>
          <w:tcPr>
            <w:tcW w:type="dxa" w:w="4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right"/>
            </w:pPr>
            <w:r>
              <w:rPr>
                <w:rFonts w:ascii="David" w:cs="David" w:eastAsia="David" w:hAnsi="David"/>
                <w:sz w:val="18"/>
                <w:szCs w:val="18"/>
                <w:rtl/>
              </w:rPr>
              <w:t xml:space="preserve">מיינדפולנס – היכולת להיות נוכח בהווה; הפחתת מתח, שיפור איכות חיים ויציבות נפשית</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פרונטלי</w:t>
            </w:r>
          </w:p>
        </w:tc>
        <w:tc>
          <w:tcPr>
            <w:tcW w:type="dxa" w:w="26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right"/>
            </w:pPr>
            <w:r>
              <w:rPr>
                <w:rFonts w:ascii="David" w:cs="David" w:eastAsia="David" w:hAnsi="David"/>
                <w:sz w:val="18"/>
                <w:szCs w:val="18"/>
                <w:rtl/>
              </w:rPr>
              <w:t xml:space="preserve">מדיטציה מודעת – קשיבות</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11</w:t>
            </w:r>
          </w:p>
        </w:tc>
      </w:tr>
      <w:tr>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
            </w:r>
          </w:p>
        </w:tc>
        <w:tc>
          <w:tcPr>
            <w:tcW w:type="dxa" w:w="4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right"/>
            </w:pPr>
            <w:r>
              <w:rPr>
                <w:rFonts w:ascii="David" w:cs="David" w:eastAsia="David" w:hAnsi="David"/>
                <w:sz w:val="18"/>
                <w:szCs w:val="18"/>
                <w:rtl/>
              </w:rPr>
              <w:t xml:space="preserve">כלים מבוססי מחקר למיתון חווית לחץ והגברת חוויות של זרימה (Flow) ושלווה</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פרונטלי</w:t>
            </w:r>
          </w:p>
        </w:tc>
        <w:tc>
          <w:tcPr>
            <w:tcW w:type="dxa" w:w="26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right"/>
            </w:pPr>
            <w:r>
              <w:rPr>
                <w:rFonts w:ascii="David" w:cs="David" w:eastAsia="David" w:hAnsi="David"/>
                <w:sz w:val="18"/>
                <w:szCs w:val="18"/>
                <w:rtl/>
              </w:rPr>
              <w:t xml:space="preserve">לחץ וזרימה</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12</w:t>
            </w:r>
          </w:p>
        </w:tc>
      </w:tr>
      <w:tr>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
            </w:r>
          </w:p>
        </w:tc>
        <w:tc>
          <w:tcPr>
            <w:tcW w:type="dxa" w:w="4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right"/>
            </w:pPr>
            <w:r>
              <w:rPr>
                <w:rFonts w:ascii="David" w:cs="David" w:eastAsia="David" w:hAnsi="David"/>
                <w:sz w:val="18"/>
                <w:szCs w:val="18"/>
                <w:rtl/>
              </w:rPr>
              <w:t xml:space="preserve">התמודדות עם ביקורת עצמית, קבלה עצמית, והצמיחה מכשלונות</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פרונטלי</w:t>
            </w:r>
          </w:p>
        </w:tc>
        <w:tc>
          <w:tcPr>
            <w:tcW w:type="dxa" w:w="26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right"/>
            </w:pPr>
            <w:r>
              <w:rPr>
                <w:rFonts w:ascii="David" w:cs="David" w:eastAsia="David" w:hAnsi="David"/>
                <w:sz w:val="18"/>
                <w:szCs w:val="18"/>
                <w:rtl/>
              </w:rPr>
              <w:t xml:space="preserve">פרפקציוניזם וקבלה עצמית</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13</w:t>
            </w:r>
          </w:p>
        </w:tc>
      </w:tr>
      <w:tr>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
            </w:r>
          </w:p>
        </w:tc>
        <w:tc>
          <w:tcPr>
            <w:tcW w:type="dxa" w:w="4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right"/>
            </w:pPr>
            <w:r>
              <w:rPr>
                <w:rFonts w:ascii="David" w:cs="David" w:eastAsia="David" w:hAnsi="David"/>
                <w:sz w:val="18"/>
                <w:szCs w:val="18"/>
                <w:rtl/>
              </w:rPr>
              <w:t xml:space="preserve">קידום מערכות יחסים חיוביות ויצירת סביבות תפקוד תומכות</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פרונטלי</w:t>
            </w:r>
          </w:p>
        </w:tc>
        <w:tc>
          <w:tcPr>
            <w:tcW w:type="dxa" w:w="26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right"/>
            </w:pPr>
            <w:r>
              <w:rPr>
                <w:rFonts w:ascii="David" w:cs="David" w:eastAsia="David" w:hAnsi="David"/>
                <w:sz w:val="18"/>
                <w:szCs w:val="18"/>
                <w:rtl/>
              </w:rPr>
              <w:t xml:space="preserve">מערכות יחסים ותמיכה חברתית</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14</w:t>
            </w:r>
          </w:p>
        </w:tc>
      </w:tr>
      <w:tr>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
            </w:r>
          </w:p>
        </w:tc>
        <w:tc>
          <w:tcPr>
            <w:tcW w:type="dxa" w:w="14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
            </w:r>
          </w:p>
        </w:tc>
        <w:tc>
          <w:tcPr>
            <w:tcW w:type="dxa" w:w="4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right"/>
            </w:pPr>
            <w:r>
              <w:rPr>
                <w:rFonts w:ascii="David" w:cs="David" w:eastAsia="David" w:hAnsi="David"/>
                <w:sz w:val="18"/>
                <w:szCs w:val="18"/>
                <w:rtl/>
              </w:rPr>
              <w:t xml:space="preserve">שיתוף תובנות ותהליכים, העלאת אפשרויות ליישום בתחום החברתי והקהילתי</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פרונטלי</w:t>
            </w:r>
          </w:p>
        </w:tc>
        <w:tc>
          <w:tcPr>
            <w:tcW w:type="dxa" w:w="26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right"/>
            </w:pPr>
            <w:r>
              <w:rPr>
                <w:rFonts w:ascii="David" w:cs="David" w:eastAsia="David" w:hAnsi="David"/>
                <w:sz w:val="18"/>
                <w:szCs w:val="18"/>
                <w:rtl/>
              </w:rPr>
              <w:t xml:space="preserve">"תעביר את זה הלאה"</w:t>
            </w:r>
          </w:p>
        </w:tc>
        <w:tc>
          <w:tcPr>
            <w:tcW w:type="dxa" w:w="1100"/>
            <w:tcBorders>
              <w:top w:val="single" w:color="000000" w:sz="1"/>
              <w:left w:val="single" w:color="000000" w:sz="1"/>
              <w:bottom w:val="single" w:color="000000" w:sz="1"/>
              <w:right w:val="single" w:color="000000" w:sz="1"/>
            </w:tcBorders>
            <w:tcMar>
              <w:top w:type="dxa" w:w="40"/>
              <w:left w:type="dxa" w:w="80"/>
              <w:bottom w:type="dxa" w:w="40"/>
              <w:right w:type="dxa" w:w="80"/>
            </w:tcMar>
            <w:vAlign w:val="center"/>
          </w:tcPr>
          <w:p>
            <w:pPr>
              <w:bidi/>
              <w:jc w:val="center"/>
            </w:pPr>
            <w:r>
              <w:rPr>
                <w:rFonts w:ascii="David" w:cs="David" w:eastAsia="David" w:hAnsi="David"/>
                <w:sz w:val="18"/>
                <w:szCs w:val="18"/>
                <w:rtl/>
              </w:rPr>
              <w:t xml:space="preserve">15</w:t>
            </w:r>
          </w:p>
        </w:tc>
      </w:tr>
    </w:tbl>
    <w:p>
      <w:pPr>
        <w:spacing w:before="200"/>
      </w:pPr>
    </w:p>
    <w:p>
      <w:pPr>
        <w:bidi/>
        <w:jc w:val="center"/>
      </w:pPr>
      <w:r>
        <w:rPr>
          <w:rFonts w:ascii="David" w:cs="David" w:eastAsia="David" w:hAnsi="David"/>
          <w:b/>
          <w:bCs/>
          <w:sz w:val="20"/>
          <w:szCs w:val="20"/>
          <w:rtl/>
        </w:rPr>
        <w:t xml:space="preserve">הגשת מטלת סיום עד לתאריך– (לא יאוחר מה 1.6)</w:t>
      </w:r>
    </w:p>
    <w:sectPr>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2026-03-27T03:56:11.859Z</dcterms:created>
  <dcterms:modified xsi:type="dcterms:W3CDTF">2026-03-27T03:56:11.860Z</dcterms:modified>
</cp:coreProperties>
</file>

<file path=docProps/custom.xml><?xml version="1.0" encoding="utf-8"?>
<Properties xmlns="http://schemas.openxmlformats.org/officeDocument/2006/custom-properties" xmlns:vt="http://schemas.openxmlformats.org/officeDocument/2006/docPropsVTypes"/>
</file>