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Channel Partner Sales Enablement and Incentive Policy</w:t>
      </w:r>
    </w:p>
    <w:p>
      <w:pPr>
        <w:pStyle w:val="Subtitle"/>
      </w:pPr>
      <w:r>
        <w:t xml:space="preserve">Nexus Communications · Sales</w:t>
      </w:r>
    </w:p>
    <w:p>
      <w:r>
        <w:rPr>
          <w:b/>
        </w:rPr>
        <w:t xml:space="preserve">Document Name: </w:t>
      </w:r>
      <w:r>
        <w:t xml:space="preserve">Channel Partner Sales Enablement and Incentive Policy</w:t>
      </w:r>
    </w:p>
    <w:p>
      <w:r>
        <w:rPr>
          <w:b/>
        </w:rPr>
        <w:t xml:space="preserve">Company: </w:t>
      </w:r>
      <w:r>
        <w:t xml:space="preserve">Nexus Communications</w:t>
      </w:r>
    </w:p>
    <w:p>
      <w:r>
        <w:rPr>
          <w:b/>
        </w:rPr>
        <w:t xml:space="preserve">Company ID: </w:t>
      </w:r>
      <w:r>
        <w:t xml:space="preserve">nexuscomms</w:t>
      </w:r>
    </w:p>
    <w:p>
      <w:r>
        <w:rPr>
          <w:b/>
        </w:rPr>
        <w:t xml:space="preserve">Department: </w:t>
      </w:r>
      <w:r>
        <w:t xml:space="preserve">Sales</w:t>
      </w:r>
    </w:p>
    <w:p>
      <w:r>
        <w:rPr>
          <w:b/>
        </w:rPr>
        <w:t xml:space="preserve">Industry: </w:t>
      </w:r>
      <w:r>
        <w:t xml:space="preserve">telco</w:t>
      </w:r>
    </w:p>
    <w:p>
      <w:r>
        <w:rPr>
          <w:b/>
        </w:rPr>
        <w:t xml:space="preserve">Version: </w:t>
      </w:r>
      <w:r>
        <w:t xml:space="preserve">1.1</w:t>
      </w:r>
    </w:p>
    <w:p>
      <w:r>
        <w:rPr>
          <w:b/>
        </w:rPr>
        <w:t xml:space="preserve">Audience: </w:t>
      </w:r>
      <w:r>
        <w:t xml:space="preserve">Channel managers and partner sales teams</w:t>
      </w:r>
    </w:p>
    <w:p>
      <w:r>
        <w:rPr>
          <w:b/>
        </w:rPr>
        <w:t xml:space="preserve">Privacy Level: </w:t>
      </w:r>
      <w:r>
        <w:t xml:space="preserve">Confidential</w:t>
      </w:r>
    </w:p>
    <w:p>
      <w:r>
        <w:rPr>
          <w:b/>
        </w:rPr>
        <w:t xml:space="preserve">Date of Creation: </w:t>
      </w:r>
      <w:r>
        <w:t xml:space="preserve">2026-10-04</w:t>
      </w:r>
    </w:p>
    <w:p>
      <w:r>
        <w:rPr>
          <w:b/>
        </w:rPr>
        <w:t xml:space="preserve">Date of Update: </w:t>
      </w:r>
      <w:r>
        <w:t xml:space="preserve">2026-10-04</w:t>
      </w:r>
    </w:p>
    <w:p>
      <w:r>
        <w:rPr>
          <w:b/>
        </w:rPr>
        <w:t xml:space="preserve">Format: </w:t>
      </w:r>
      <w:r>
        <w:t xml:space="preserve">DOCX</w:t>
      </w:r>
    </w:p>
    <w:p>
      <w:r>
        <w:rPr>
          <w:b/>
        </w:rPr>
        <w:t xml:space="preserve">Estimated Pages: </w:t>
      </w:r>
      <w:r>
        <w:t xml:space="preserve">8</w:t>
      </w:r>
    </w:p>
    <w:p/>
    <w:p>
      <w:pPr>
        <w:pStyle w:val="Heading1"/>
      </w:pPr>
      <w:r>
        <w:t xml:space="preserve">Risk Assessment</w:t>
      </w:r>
    </w:p>
    <w:p>
      <w:r>
        <w:t xml:space="preserve">Customer-facing commitments made about approval workflow are traceable to a clause in the operational register. Personnel joining Sales complete this training before receiving production credentials. Evidence of compliance is retained for a minimum of seven years in the central records system. Access is granted on a least-privilege basis and recertified every review period. Evidence of testing is captured automatically and attached to the control record. Applies to all staff, contractors and automated systems that support the Channel Partner Sales Enablement and Incentive lifecycle.</w:t>
      </w:r>
    </w:p>
    <w:p>
      <w:r>
        <w:t xml:space="preserve">Any correction to the process record is versioned, with the superseded version retained for audit. The standing target for throughput is agreed with the Process Manager and reported each review period. The Process Manager may suspend the process record entries without notice where risk warrants it. Each approval workflow must be recorded in the process record before it is presented to a customer. Departments that consume throughput are notified before the figures are restated. The Process Manager is accountable for confirming that this document is followed in practice.</w:t>
      </w:r>
    </w:p>
    <w:p>
      <w:r>
        <w:t xml:space="preserve">Exceptions require written approval from the Process Manager and are logged with a review date. Training is mandatory before production access is granted to the Channel Partner Sales Enablement and Incentive environment. Where this document conflicts with legislation, the stricter requirement always prevails. Approval for any change to the process record is granted by the Process Manager and logged with a reference. Reconciliation of throughput is performed before the review period reporting cycle is closed. Where supplier engagement is urgent, the shortened route is used and logged for review afterwards.</w:t>
      </w:r>
    </w:p>
    <w:p>
      <w:pPr>
        <w:pStyle w:val="Heading1"/>
      </w:pPr>
      <w:r>
        <w:t xml:space="preserve">Roles and Responsibilities</w:t>
      </w:r>
    </w:p>
    <w:p>
      <w:r>
        <w:t xml:space="preserve">A approval workflow raised outside Sales is handed to the Process Manager rather than handled locally. Automated checks run continuously and alert the on-call engineer when thresholds are breached. New starters shadow an experienced owner until they can process a approval workflow unaided. Teams outside Sales consume the operational register read-only; changes are requested through the Process Manager.</w:t>
      </w:r>
    </w:p>
    <w:p>
      <w:r>
        <w:t xml:space="preserve">Material changes to telco regulation are assessed for impact within review period. Systems that process Channel Partner Sales Enablement and Incentive data must enforce encryption at rest and in transit. Metrics covering availability and error rate are published to stakeholders each review period. The Process Manager reviews cost per unit alongside financial results to confirm the supplier engagement assumptions hold. Ownership rests with the Sales head, who may delegate day-to-day operation to a named owner. Failures exceeding the critical impact threshold trigger a formal incident record.</w:t>
      </w:r>
    </w:p>
    <w:p>
      <w:pPr>
        <w:pStyle w:val="Heading1"/>
      </w:pPr>
      <w:r>
        <w:t xml:space="preserve">Review and Revision History</w:t>
      </w:r>
    </w:p>
    <w:p>
      <w:r>
        <w:t xml:space="preserve">Escalation proceeds to the Process Manager when the critical threshold is not restored in time. Changes to telco practice are evaluated by the Sales change advisory board. Sales maintains this standard on behalf of Nexus Communications to keep telco operations defensible. Any deviation must be raised within one business day through the Channel Partner Sales Enablement and Incentive intake channel. Templates for supplier engagement are versioned centrally so that Sales does not maintain local copies. Capacity to absorb cost per unit is reassessed every review period and signed off by the Process Manager.</w:t>
      </w:r>
    </w:p>
    <w:p>
      <w:r>
        <w:t xml:space="preserve">Commercial terms relating to supplier engagement may not be varied without written sign-off. Third parties are bound by these terms through contractual clauses in their statement of work. Clauses covering supplier engagement are reviewed by Sales before any renewal is negotiated. Where supplier engagement cannot be completed as described, the fallback path is recorded in the process record. Business continuity plans assume the Channel Partner Sales Enablement and Incentive capability can be restored within review period. Data used to calculate throughput is sourced from the change management log and is not adjusted without approval. Disputes about supplier engagement are settled by reference to the process record and the recorded decision.</w:t>
      </w:r>
    </w:p>
    <w:p>
      <w:pPr>
        <w:pStyle w:val="Heading1"/>
      </w:pPr>
      <w:r>
        <w:t xml:space="preserve">Purpose and Objectives</w:t>
      </w:r>
    </w:p>
    <w:p>
      <w:r>
        <w:t xml:space="preserve">Where operational task cannot be completed as described, the fallback path is recorded in the process record. Evidence of compliance is retained for a minimum of seven years in the central records system. Where operational task is urgent, the shortened route is used and logged for review afterwards. Data used to calculate throughput is sourced from the change management log and is not adjusted without approval. Approval for any change to the process record is granted by the Process Manager and logged with a reference. Systems that process Channel Partner Sales Enablement and Incentive data must enforce encryption at rest and in transit. Escalation proceeds to the Process Manager when the critical threshold is not restored in time.</w:t>
      </w:r>
    </w:p>
    <w:p>
      <w:r>
        <w:t xml:space="preserve">The standing target for backlog age is agreed with the Process Manager and reported each review period. The Process Manager is accountable for confirming that this document is followed in practice. Clauses covering approval workflow are reviewed by Sales before any renewal is negotiated. Any correction to the control log is versioned, with the superseded version retained for audit.</w:t>
      </w:r>
    </w:p>
    <w:p>
      <w:r>
        <w:t xml:space="preserve">Capacity to absorb cost per unit is reassessed every review period and signed off by the Process Manager. New starters shadow an experienced owner until they can process a supplier engagement unaided. Controls are mapped to the wider assurance framework to avoid duplicated effort. Personnel joining Sales complete this training before receiving production credentials.</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review period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critical impact confirmed</w:t>
            </w:r>
          </w:p>
        </w:tc>
        <w:tc>
          <w:p>
            <w:r>
              <w:t xml:space="preserve">Immediate</w:t>
            </w:r>
          </w:p>
        </w:tc>
      </w:tr>
      <w:tr>
        <w:tc>
          <w:p>
            <w:r>
              <w:t xml:space="preserve">Review</w:t>
            </w:r>
          </w:p>
        </w:tc>
        <w:tc>
          <w:p>
            <w:r>
              <w:t xml:space="preserve">Service restored</w:t>
            </w:r>
          </w:p>
        </w:tc>
        <w:tc>
          <w:p>
            <w:r>
              <w:t xml:space="preserve">Within review period</w:t>
            </w:r>
          </w:p>
        </w:tc>
      </w:tr>
    </w:tbl>
    <w:p/>
    <w:p>
      <w:pPr>
        <w:pStyle w:val="Heading1"/>
      </w:pPr>
      <w:r>
        <w:t xml:space="preserve">Scope and Applicability</w:t>
      </w:r>
    </w:p>
    <w:p>
      <w:r>
        <w:t xml:space="preserve">Failures exceeding the critical impact threshold trigger a formal incident record. Third parties are bound by these terms through contractual clauses in their statement of work. Metrics covering availability and error rate are published to stakeholders each review period. Applies to all staff, contractors and automated systems that support the Channel Partner Sales Enablement and Incentive lifecycle. Access is granted on a least-privilege basis and recertified every review period. Training is mandatory before production access is granted to the Channel Partner Sales Enablement and Incentive environment. Changes to telco practice are evaluated by the Sales change advisory board.</w:t>
      </w:r>
    </w:p>
    <w:p>
      <w:r>
        <w:t xml:space="preserve">Material changes to telco regulation are assessed for impact within review period. Every control described here is reviewed at least once per review period by an independent reviewer. Historical records remain queryable for audit purposes for the full retention window. Templates for operational task are versioned centrally so that Sales does not maintain local copies. Each operational task must be recorded in the operational register before it is presented to a customer. A operational task raised outside Sales is handed to the Process Manager rather than handled locally. Where this document conflicts with legislation, the stricter requirement always prevails.</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p>
      <w:pPr>
        <w:pStyle w:val="Heading1"/>
      </w:pPr>
      <w:r>
        <w:t xml:space="preserve">Training and Awareness</w:t>
      </w:r>
    </w:p>
    <w:p>
      <w:r>
        <w:t xml:space="preserve">Performance against the commitments in this document is reported to the Process Manager each review period. Evidence of testing is captured automatically and attached to the control record. Reconciliation of backlog age is performed before the review period reporting cycle is closed. Exceptions require written approval from the Process Manager and are logged with a review date.</w:t>
      </w:r>
    </w:p>
    <w:p>
      <w:r>
        <w:t xml:space="preserve">Business continuity plans assume the Channel Partner Sales Enablement and Incentive capability can be restored within review period. Sales maintains this standard on behalf of Nexus Communications to keep telco operations defensible. The Process Manager reviews first-time-right rate alongside financial results to confirm the customer commitment assumptions hold. Corrections to first-time-right rate are explained in the commentary that accompanies the control log. The Process Manager may suspend the control log entries without notice where risk warrants it. Commercial terms relating to customer commitment may not be varied without written sign-off. Customer-facing commitments made about customer commitment are traceable to a clause in the control log.</w:t>
      </w:r>
    </w:p>
    <w:tbl>
      <w:tblPr>
        <w:tblStyle w:val="TableGrid"/>
        <w:tblW w:w="5000" w:type="pct"/>
      </w:tblPr>
      <w:tr>
        <w:tc>
          <w:tcPr>
            <w:shd w:val="clear" w:fill="EEEEEE"/>
          </w:tcPr>
          <w:p>
            <w:r>
              <w:rPr>
                <w:b/>
              </w:rPr>
              <w:t xml:space="preserve">Control</w:t>
            </w:r>
          </w:p>
        </w:tc>
        <w:tc>
          <w:tcPr>
            <w:shd w:val="clear" w:fill="EEEEEE"/>
          </w:tcPr>
          <w:p>
            <w:r>
              <w:rPr>
                <w:b/>
              </w:rPr>
              <w:t xml:space="preserve">Owner</w:t>
            </w:r>
          </w:p>
        </w:tc>
        <w:tc>
          <w:tcPr>
            <w:shd w:val="clear" w:fill="EEEEEE"/>
          </w:tcPr>
          <w:p>
            <w:r>
              <w:rPr>
                <w:b/>
              </w:rPr>
              <w:t xml:space="preserve">Frequency</w:t>
            </w:r>
          </w:p>
        </w:tc>
      </w:tr>
      <w:tr>
        <w:tc>
          <w:p>
            <w:r>
              <w:t xml:space="preserve">Access recertification</w:t>
            </w:r>
          </w:p>
        </w:tc>
        <w:tc>
          <w:p>
            <w:r>
              <w:t xml:space="preserve">Service Owner</w:t>
            </w:r>
          </w:p>
        </w:tc>
        <w:tc>
          <w:p>
            <w:r>
              <w:t xml:space="preserve">Each review period</w:t>
            </w:r>
          </w:p>
        </w:tc>
      </w:tr>
      <w:tr>
        <w:tc>
          <w:p>
            <w:r>
              <w:t xml:space="preserve">Change approval</w:t>
            </w:r>
          </w:p>
        </w:tc>
        <w:tc>
          <w:p>
            <w:r>
              <w:t xml:space="preserve">Process Manager</w:t>
            </w:r>
          </w:p>
        </w:tc>
        <w:tc>
          <w:p>
            <w:r>
              <w:t xml:space="preserve">Per change</w:t>
            </w:r>
          </w:p>
        </w:tc>
      </w:tr>
      <w:tr>
        <w:tc>
          <w:p>
            <w:r>
              <w:t xml:space="preserve">Backup restore test</w:t>
            </w:r>
          </w:p>
        </w:tc>
        <w:tc>
          <w:p>
            <w:r>
              <w:t xml:space="preserve">Control Owner</w:t>
            </w:r>
          </w:p>
        </w:tc>
        <w:tc>
          <w:p>
            <w:r>
              <w:t xml:space="preserve">Each review period</w:t>
            </w:r>
          </w:p>
        </w:tc>
      </w:tr>
      <w:tr>
        <w:tc>
          <w:p>
            <w:r>
              <w:t xml:space="preserve">Log retention review</w:t>
            </w:r>
          </w:p>
        </w:tc>
        <w:tc>
          <w:p>
            <w:r>
              <w:t xml:space="preserve">Compliance Officer</w:t>
            </w:r>
          </w:p>
        </w:tc>
        <w:tc>
          <w:p>
            <w:r>
              <w:t xml:space="preserve">Each review period</w:t>
            </w:r>
          </w:p>
        </w:tc>
      </w:tr>
    </w:tbl>
    <w:p/>
    <w:p>
      <w:pPr>
        <w:pStyle w:val="Heading1"/>
      </w:pPr>
      <w:r>
        <w:t xml:space="preserve">Escalation and Incident Handling</w:t>
      </w:r>
    </w:p>
    <w:p>
      <w:r>
        <w:t xml:space="preserve">Any deviation must be raised within one business day through the Channel Partner Sales Enablement and Incentive intake channel. Disputes about change request are settled by reference to the operational register and the recorded decision. Ownership rests with the Sales head, who may delegate day-to-day operation to a named owner. Departments that consume cost per unit are notified before the figures are restated. Teams outside Sales consume the operational register read-only; changes are requested through the Process Manager.</w:t>
      </w:r>
    </w:p>
    <w:p>
      <w:r>
        <w:t xml:space="preserve">Corrections to cost per unit are explained in the commentary that accompanies the control log. Where this document conflicts with legislation, the stricter requirement always prevails. Failures exceeding the critical impact threshold trigger a formal incident record. Data used to calculate cost per unit is sourced from the change management log and is not adjusted without approval. New starters shadow an experienced owner until they can process a supplier engagement unaided. Disputes about supplier engagement are settled by reference to the control log and the recorded decision.</w:t>
      </w:r>
    </w:p>
    <w:tbl>
      <w:tblPr>
        <w:tblStyle w:val="TableGrid"/>
        <w:tblW w:w="5000" w:type="pct"/>
      </w:tblPr>
      <w:tr>
        <w:tc>
          <w:tcPr>
            <w:shd w:val="clear" w:fill="EEEEEE"/>
          </w:tcPr>
          <w:p>
            <w:r>
              <w:rPr>
                <w:b/>
              </w:rPr>
              <w:t xml:space="preserve">Stage</w:t>
            </w:r>
          </w:p>
        </w:tc>
        <w:tc>
          <w:tcPr>
            <w:shd w:val="clear" w:fill="EEEEEE"/>
          </w:tcPr>
          <w:p>
            <w:r>
              <w:rPr>
                <w:b/>
              </w:rPr>
              <w:t xml:space="preserve">Trigger</w:t>
            </w:r>
          </w:p>
        </w:tc>
        <w:tc>
          <w:tcPr>
            <w:shd w:val="clear" w:fill="EEEEEE"/>
          </w:tcPr>
          <w:p>
            <w:r>
              <w:rPr>
                <w:b/>
              </w:rPr>
              <w:t xml:space="preserve">Target</w:t>
            </w:r>
          </w:p>
        </w:tc>
      </w:tr>
      <w:tr>
        <w:tc>
          <w:p>
            <w:r>
              <w:t xml:space="preserve">Detection</w:t>
            </w:r>
          </w:p>
        </w:tc>
        <w:tc>
          <w:p>
            <w:r>
              <w:t xml:space="preserve">Automated alert or report</w:t>
            </w:r>
          </w:p>
        </w:tc>
        <w:tc>
          <w:p>
            <w:r>
              <w:t xml:space="preserve">review period review</w:t>
            </w:r>
          </w:p>
        </w:tc>
      </w:tr>
      <w:tr>
        <w:tc>
          <w:p>
            <w:r>
              <w:t xml:space="preserve">Triage</w:t>
            </w:r>
          </w:p>
        </w:tc>
        <w:tc>
          <w:p>
            <w:r>
              <w:t xml:space="preserve">Initial impact assessment</w:t>
            </w:r>
          </w:p>
        </w:tc>
        <w:tc>
          <w:p>
            <w:r>
              <w:t xml:space="preserve">One business day</w:t>
            </w:r>
          </w:p>
        </w:tc>
      </w:tr>
      <w:tr>
        <w:tc>
          <w:p>
            <w:r>
              <w:t xml:space="preserve">Containment</w:t>
            </w:r>
          </w:p>
        </w:tc>
        <w:tc>
          <w:p>
            <w:r>
              <w:t xml:space="preserve">critical impact confirmed</w:t>
            </w:r>
          </w:p>
        </w:tc>
        <w:tc>
          <w:p>
            <w:r>
              <w:t xml:space="preserve">Immediate</w:t>
            </w:r>
          </w:p>
        </w:tc>
      </w:tr>
      <w:tr>
        <w:tc>
          <w:p>
            <w:r>
              <w:t xml:space="preserve">Review</w:t>
            </w:r>
          </w:p>
        </w:tc>
        <w:tc>
          <w:p>
            <w:r>
              <w:t xml:space="preserve">Service restored</w:t>
            </w:r>
          </w:p>
        </w:tc>
        <w:tc>
          <w:p>
            <w:r>
              <w:t xml:space="preserve">Within review period</w:t>
            </w:r>
          </w:p>
        </w:tc>
      </w:tr>
    </w:tbl>
    <w:p/>
    <w:p>
      <w:pPr>
        <w:pStyle w:val="Heading1"/>
      </w:pPr>
      <w:r>
        <w:t xml:space="preserve">Policy Statement</w:t>
      </w:r>
    </w:p>
    <w:p>
      <w:r>
        <w:t xml:space="preserve">Evidence of testing is captured automatically and attached to the control record. The Process Manager is accountable for confirming that this document is followed in practice. The Process Manager reviews backlog age alongside financial results to confirm the operational task assumptions hold. Personnel joining Sales complete this training before receiving production credentials.</w:t>
      </w:r>
    </w:p>
    <w:p>
      <w:r>
        <w:t xml:space="preserve">Third parties are bound by these terms through contractual clauses in their statement of work. The Process Manager may suspend the operational register entries without notice where risk warrants it. Capacity to absorb throughput is reassessed every review period and signed off by the Process Manager. Clauses covering approval workflow are reviewed by Sales before any renewal is negotiated. Teams outside Sales consume the operational register read-only; changes are requested through the Process Manager. Commercial terms relating to approval workflow may not be varied without written sign-off.</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p>
      <w:pPr>
        <w:pStyle w:val="Heading1"/>
      </w:pPr>
      <w:r>
        <w:t xml:space="preserve">Compliance Monitoring</w:t>
      </w:r>
    </w:p>
    <w:p>
      <w:r>
        <w:t xml:space="preserve">Templates for supplier engagement are versioned centrally so that Sales does not maintain local copies. Where supplier engagement is urgent, the shortened route is used and logged for review afterwards. Each supplier engagement must be recorded in the operational register before it is presented to a customer. Performance against the commitments in this document is reported to the Process Manager each review period.</w:t>
      </w:r>
    </w:p>
    <w:p>
      <w:r>
        <w:t xml:space="preserve">Reconciliation of first-time-right rate is performed before the review period reporting cycle is closed. Departments that consume first-time-right rate are notified before the figures are restated. Approval for any change to the process record is granted by the Process Manager and logged with a reference. Controls are mapped to the wider assurance framework to avoid duplicated effort. Material changes to telco regulation are assessed for impact within review period. Access is granted on a least-privilege basis and recertified every review period. Ownership rests with the Sales head, who may delegate day-to-day operation to a named owner.</w:t>
      </w:r>
    </w:p>
    <w:p>
      <w:pPr>
        <w:pStyle w:val="Heading1"/>
      </w:pPr>
      <w:r>
        <w:t xml:space="preserve">Controls and Requirements</w:t>
      </w:r>
    </w:p>
    <w:p>
      <w:r>
        <w:t xml:space="preserve">Metrics covering availability and error rate are published to stakeholders each review period. Any deviation must be raised within one business day through the Channel Partner Sales Enablement and Incentive intake channel. Where customer commitment cannot be completed as described, the fallback path is recorded in the control log. A customer commitment raised outside Sales is handed to the Process Manager rather than handled locally. Applies to all staff, contractors and automated systems that support the Channel Partner Sales Enablement and Incentive lifecycle.</w:t>
      </w:r>
    </w:p>
    <w:p>
      <w:r>
        <w:t xml:space="preserve">Training is mandatory before production access is granted to the Channel Partner Sales Enablement and Incentive environment. Escalation proceeds to the Process Manager when the critical threshold is not restored in time. Exceptions require written approval from the Process Manager and are logged with a review date. Business continuity plans assume the Channel Partner Sales Enablement and Incentive capability can be restored within review period. Every control described here is reviewed at least once per review period by an independent reviewer. Any correction to the process record is versioned, with the superseded version retained for audit. Systems that process Channel Partner Sales Enablement and Incentive data must enforce encryption at rest and in transit.</w:t>
      </w:r>
    </w:p>
    <w:p>
      <w:r>
        <w:t xml:space="preserve">Sales maintains this standard on behalf of Nexus Communications to keep telco operations defensible. Changes to telco practice are evaluated by the Sales change advisory board. Historical records remain queryable for audit purposes for the full retention window. Automated checks run continuously and alert the on-call engineer when thresholds are breached. Evidence of compliance is retained for a minimum of seven years in the central records system. The standing target for cost per unit is agreed with the Process Manager and reported each review period.</w:t>
      </w:r>
    </w:p>
    <w:p>
      <w:pPr>
        <w:pStyle w:val="Heading1"/>
      </w:pPr>
      <w:r>
        <w:t xml:space="preserve">Supporting Notes</w:t>
      </w:r>
    </w:p>
    <w:p>
      <w:r>
        <w:t xml:space="preserve">Training is mandatory before production access is granted to the Channel Partner Sales Enablement and Incentive environment. Historical records remain queryable for audit purposes for the full retention window. Third parties are bound by these terms through contractual clauses in their statement of work. Any deviation must be raised within one business day through the Channel Partner Sales Enablement and Incentive intake channel. Performance against the commitments in this document is reported to the Process Manager each review period. Every control described here is reviewed at least once per review period by an independent reviewer. The Process Manager reviews throughput alongside financial results to confirm the customer commitment assumptions hold.</w:t>
      </w:r>
    </w:p>
    <w:p>
      <w:r>
        <w:t xml:space="preserve">Systems that process Channel Partner Sales Enablement and Incentive data must enforce encryption at rest and in transit. Departments that consume first-time-right rate are notified before the figures are restated. The Process Manager may suspend the control log entries without notice where risk warrants it. Customer-facing commitments made about supplier engagement are traceable to a clause in the control log. Corrections to first-time-right rate are explained in the commentary that accompanies the control log. Disputes about supplier engagement are settled by reference to the control log and the recorded decision.</w:t>
      </w:r>
    </w:p>
    <w:p>
      <w:r>
        <w:t xml:space="preserve">Exceptions require written approval from the Process Manager and are logged with a review date. Data used to calculate throughput is sourced from the change management log and is not adjusted without approval. Sales maintains this standard on behalf of Nexus Communications to keep telco operations defensible. Access is granted on a least-privilege basis and recertified every review period. Where change request cannot be completed as described, the fallback path is recorded in the control log. The standing target for throughput is agreed with the Process Manager and reported each review period. Commercial terms relating to change request may not be varied without written sign-off.</w:t>
      </w:r>
    </w:p>
    <w:p>
      <w:pPr>
        <w:pStyle w:val="Heading1"/>
      </w:pPr>
      <w:r>
        <w:t xml:space="preserve">Exceptions and Waivers</w:t>
      </w:r>
    </w:p>
    <w:p>
      <w:r>
        <w:t xml:space="preserve">Evidence of testing is captured automatically and attached to the control record. Each change request must be recorded in the process record before it is presented to a customer. Approval for any change to the process record is granted by the Process Manager and logged with a reference. Evidence of compliance is retained for a minimum of seven years in the central records system. Teams outside Sales consume the process record read-only; changes are requested through the Process Manager. Changes to telco practice are evaluated by the Sales change advisory board.</w:t>
      </w:r>
    </w:p>
    <w:p>
      <w:r>
        <w:t xml:space="preserve">Reconciliation of throughput is performed before the review period reporting cycle is closed. Business continuity plans assume the Channel Partner Sales Enablement and Incentive capability can be restored within review period. Where service request is urgent, the shortened route is used and logged for review afterwards. Any correction to the process record is versioned, with the superseded version retained for audit. A service request raised outside Sales is handed to the Process Manager rather than handled locally.</w:t>
      </w:r>
    </w:p>
    <w:p>
      <w:r>
        <w:t xml:space="preserve">Templates for operational task are versioned centrally so that Sales does not maintain local copies. Personnel joining Sales complete this training before receiving production credentials. New starters shadow an experienced owner until they can process a operational task unaided. The Process Manager is accountable for confirming that this document is followed in practice.</w:t>
      </w:r>
    </w:p>
    <w:p>
      <w:pPr>
        <w:pStyle w:val="Heading1"/>
      </w:pPr>
      <w:r>
        <w:t xml:space="preserve">Definitions and Abbreviations</w:t>
      </w:r>
    </w:p>
    <w:tbl>
      <w:tblPr>
        <w:tblStyle w:val="TableGrid"/>
        <w:tblW w:w="5000" w:type="pct"/>
      </w:tblPr>
      <w:tr>
        <w:tc>
          <w:tcPr>
            <w:shd w:val="clear" w:fill="EEEEEE"/>
          </w:tcPr>
          <w:p>
            <w:r>
              <w:rPr>
                <w:b/>
              </w:rPr>
              <w:t xml:space="preserve">Metric</w:t>
            </w:r>
          </w:p>
        </w:tc>
        <w:tc>
          <w:tcPr>
            <w:shd w:val="clear" w:fill="EEEEEE"/>
          </w:tcPr>
          <w:p>
            <w:r>
              <w:rPr>
                <w:b/>
              </w:rPr>
              <w:t xml:space="preserve">Target</w:t>
            </w:r>
          </w:p>
        </w:tc>
        <w:tc>
          <w:tcPr>
            <w:shd w:val="clear" w:fill="EEEEEE"/>
          </w:tcPr>
          <w:p>
            <w:r>
              <w:rPr>
                <w:b/>
              </w:rPr>
              <w:t xml:space="preserve">Escalation if missed</w:t>
            </w:r>
          </w:p>
        </w:tc>
      </w:tr>
      <w:tr>
        <w:tc>
          <w:p>
            <w:r>
              <w:t xml:space="preserve">Availability</w:t>
            </w:r>
          </w:p>
        </w:tc>
        <w:tc>
          <w:p>
            <w:r>
              <w:t xml:space="preserve">99.5%</w:t>
            </w:r>
          </w:p>
        </w:tc>
        <w:tc>
          <w:p>
            <w:r>
              <w:t xml:space="preserve">Two consecutive review period</w:t>
            </w:r>
          </w:p>
        </w:tc>
      </w:tr>
      <w:tr>
        <w:tc>
          <w:p>
            <w:r>
              <w:t xml:space="preserve">Change lead time</w:t>
            </w:r>
          </w:p>
        </w:tc>
        <w:tc>
          <w:p>
            <w:r>
              <w:t xml:space="preserve">Five business days</w:t>
            </w:r>
          </w:p>
        </w:tc>
        <w:tc>
          <w:p>
            <w:r>
              <w:t xml:space="preserve">Any P1 change</w:t>
            </w:r>
          </w:p>
        </w:tc>
      </w:tr>
      <w:tr>
        <w:tc>
          <w:p>
            <w:r>
              <w:t xml:space="preserve">Evidence completeness</w:t>
            </w:r>
          </w:p>
        </w:tc>
        <w:tc>
          <w:p>
            <w:r>
              <w:t xml:space="preserve">100%</w:t>
            </w:r>
          </w:p>
        </w:tc>
        <w:tc>
          <w:p>
            <w:r>
              <w:t xml:space="preserve">Any gap at audit</w:t>
            </w:r>
          </w:p>
        </w:tc>
      </w:tr>
      <w:tr>
        <w:tc>
          <w:p>
            <w:r>
              <w:t xml:space="preserve">Training completion</w:t>
            </w:r>
          </w:p>
        </w:tc>
        <w:tc>
          <w:p>
            <w:r>
              <w:t xml:space="preserve">100%</w:t>
            </w:r>
          </w:p>
        </w:tc>
        <w:tc>
          <w:p>
            <w:r>
              <w:t xml:space="preserve">Before access grant</w:t>
            </w:r>
          </w:p>
        </w:tc>
      </w:tr>
    </w:tbl>
    <w:p/>
    <w:sectPr>
      <w:pgSz w:w="12240" w:h="15840"/>
      <w:pgMar w:top="1440" w:right="1440" w:bottom="1440" w:left="1440"/>
    </w:sectPr>
  </w:body>
</w:document>
</file>

<file path=word/styles.xml><?xml version="1.0" encoding="utf-8"?>
<w:styles xmlns:w="http://schemas.openxmlformats.org/wordprocessingml/2006/main">
  <w:style w:type="paragraph" w:styleId="Title">
    <w:name w:val="Title"/>
    <w:rPr>
      <w:b/>
      <w:sz w:val="48"/>
    </w:rPr>
  </w:style>
  <w:style w:type="paragraph" w:styleId="Subtitle">
    <w:name w:val="Subtitle"/>
    <w:rPr>
      <w:i/>
      <w:color w:val="555555"/>
      <w:sz w:val="24"/>
    </w:rPr>
  </w:style>
  <w:style w:type="paragraph" w:styleId="Heading1">
    <w:name w:val="heading 1"/>
    <w:rPr>
      <w:b/>
      <w:sz w:val="28"/>
    </w:rPr>
  </w:style>
  <w:style w:type="table" w:styleId="TableGrid">
    <w:name w:val="Table Grid"/>
    <w:tblPr>
      <w:tblBorders>
        <w:top w:val="single" w:sz="4" w:color="999999"/>
        <w:left w:val="single" w:sz="4" w:color="999999"/>
        <w:bottom w:val="single" w:sz="4" w:color="999999"/>
        <w:right w:val="single" w:sz="4" w:color="999999"/>
        <w:insideH w:val="single" w:sz="4" w:color="999999"/>
        <w:insideV w:val="single" w:sz="4" w:color="999999"/>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