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Dependency Management Standard</w:t>
      </w:r>
    </w:p>
    <w:p>
      <w:pPr>
        <w:pStyle w:val="Subtitle"/>
      </w:pPr>
      <w:r>
        <w:t xml:space="preserve">Nexus Communications · Engineering</w:t>
      </w:r>
    </w:p>
    <w:p>
      <w:r>
        <w:rPr>
          <w:b/>
        </w:rPr>
        <w:t xml:space="preserve">Document Name: </w:t>
      </w:r>
      <w:r>
        <w:t xml:space="preserve">Dependency Management Standard</w:t>
      </w:r>
    </w:p>
    <w:p>
      <w:r>
        <w:rPr>
          <w:b/>
        </w:rPr>
        <w:t xml:space="preserve">Company: </w:t>
      </w:r>
      <w:r>
        <w:t xml:space="preserve">Nexus Communications</w:t>
      </w:r>
    </w:p>
    <w:p>
      <w:r>
        <w:rPr>
          <w:b/>
        </w:rPr>
        <w:t xml:space="preserve">Company ID: </w:t>
      </w:r>
      <w:r>
        <w:t xml:space="preserve">nexuscomms</w:t>
      </w:r>
    </w:p>
    <w:p>
      <w:r>
        <w:rPr>
          <w:b/>
        </w:rPr>
        <w:t xml:space="preserve">Department: </w:t>
      </w:r>
      <w:r>
        <w:t xml:space="preserve">Engineering</w:t>
      </w:r>
    </w:p>
    <w:p>
      <w:r>
        <w:rPr>
          <w:b/>
        </w:rPr>
        <w:t xml:space="preserve">Industry: </w:t>
      </w:r>
      <w:r>
        <w:t xml:space="preserve">telco</w:t>
      </w:r>
    </w:p>
    <w:p>
      <w:r>
        <w:rPr>
          <w:b/>
        </w:rPr>
        <w:t xml:space="preserve">Version: </w:t>
      </w:r>
      <w:r>
        <w:t xml:space="preserve">3.4</w:t>
      </w:r>
    </w:p>
    <w:p>
      <w:r>
        <w:rPr>
          <w:b/>
        </w:rPr>
        <w:t xml:space="preserve">Audience: </w:t>
      </w:r>
      <w:r>
        <w:t xml:space="preserve">All employees</w:t>
      </w:r>
    </w:p>
    <w:p>
      <w:r>
        <w:rPr>
          <w:b/>
        </w:rPr>
        <w:t xml:space="preserve">Privacy Level: </w:t>
      </w:r>
      <w:r>
        <w:t xml:space="preserve">Restricted</w:t>
      </w:r>
    </w:p>
    <w:p>
      <w:r>
        <w:rPr>
          <w:b/>
        </w:rPr>
        <w:t xml:space="preserve">Date of Creation: </w:t>
      </w:r>
      <w:r>
        <w:t xml:space="preserve">2026-10-04</w:t>
      </w:r>
    </w:p>
    <w:p>
      <w:r>
        <w:rPr>
          <w:b/>
        </w:rPr>
        <w:t xml:space="preserve">Date of Update: </w:t>
      </w:r>
      <w:r>
        <w:t xml:space="preserve">2026-10-04</w:t>
      </w:r>
    </w:p>
    <w:p>
      <w:r>
        <w:rPr>
          <w:b/>
        </w:rPr>
        <w:t xml:space="preserve">Format: </w:t>
      </w:r>
      <w:r>
        <w:t xml:space="preserve">DOCX</w:t>
      </w:r>
    </w:p>
    <w:p>
      <w:r>
        <w:rPr>
          <w:b/>
        </w:rPr>
        <w:t xml:space="preserve">Estimated Pages: </w:t>
      </w:r>
      <w:r>
        <w:t xml:space="preserve">9</w:t>
      </w:r>
    </w:p>
    <w:p/>
    <w:p>
      <w:pPr>
        <w:pStyle w:val="Heading1"/>
      </w:pPr>
      <w:r>
        <w:t xml:space="preserve">Scope and Applicability</w:t>
      </w:r>
    </w:p>
    <w:p>
      <w:r>
        <w:t xml:space="preserve">Approval for any change to the process record is granted by the Risk Lead and logged with a reference. Performance against the commitments in this document is reported to the Risk Lead each review period. Personnel joining Engineering complete this training before receiving production credentials. Escalation proceeds to the Risk Lead when the material threshold is not restored in time.</w:t>
      </w:r>
    </w:p>
    <w:p>
      <w:r>
        <w:t xml:space="preserve">Where change request is urgent, the shortened route is used and logged for review afterwards. Where change request cannot be completed as described, the fallback path is recorded in the control log. Ownership rests with the Engineering head, who may delegate day-to-day operation to a named owner. The Risk Lead is accountable for confirming that this document is followed in practice.</w:t>
      </w:r>
    </w:p>
    <w:p>
      <w:pPr>
        <w:pStyle w:val="Heading1"/>
      </w:pPr>
      <w:r>
        <w:t xml:space="preserve">Standard Operating Procedure</w:t>
      </w:r>
    </w:p>
    <w:p>
      <w:r>
        <w:t xml:space="preserve">The Risk Lead reviews cost per unit alongside financial results to confirm the change request assumptions hold. Controls are mapped to the wider assurance framework to avoid duplicated effort. The standing target for cost per unit is agreed with the Risk Lead and reported each review period. New starters shadow an experienced owner until they can process a change request unaided.</w:t>
      </w:r>
    </w:p>
    <w:p>
      <w:r>
        <w:t xml:space="preserve">Failures exceeding the material impact threshold trigger a formal incident record. Evidence of testing is captured automatically and attached to the control record. Changes to telco practice are evaluated by the Engineering change advisory board. Business continuity plans assume the Dependency Management capability can be restored within review period. Disputes about change request are settled by reference to the control log and the recorded decision.</w:t>
      </w:r>
    </w:p>
    <w:p>
      <w:r>
        <w:t xml:space="preserve">Material changes to telco regulation are assessed for impact within review period. Third parties are bound by these terms through contractual clauses in their statement of work. Customer-facing commitments made about service request are traceable to a clause in the control log. Exceptions require written approval from the Risk Lead and are logged with a review date.</w:t>
      </w:r>
    </w:p>
    <w:p>
      <w:pPr>
        <w:pStyle w:val="Heading1"/>
      </w:pPr>
      <w:r>
        <w:t xml:space="preserve">Risk Assessment</w:t>
      </w:r>
    </w:p>
    <w:p>
      <w:r>
        <w:t xml:space="preserve">Engineering maintains this standard on behalf of Nexus Communications to keep telco operations defensible. Templates for approval workflow are versioned centrally so that Engineering does not maintain local copies. Systems that process Dependency Management data must enforce encryption at rest and in transit. Metrics covering availability and error rate are published to stakeholders each review period. Training is mandatory before production access is granted to the Dependency Management environment. Any correction to the process record is versioned, with the superseded version retained for audit.</w:t>
      </w:r>
    </w:p>
    <w:p>
      <w:r>
        <w:t xml:space="preserve">Departments that consume backlog age are notified before the figures are restated. Capacity to absorb backlog age is reassessed every review period and signed off by the Risk Lead. Applies to all staff, contractors and automated systems that support the Dependency Management lifecycle. Access is granted on a least-privilege basis and recertified every review period. Any deviation must be raised within one business day through the Dependency Management intake channel.</w:t>
      </w:r>
    </w:p>
    <w:tbl>
      <w:tblPr>
        <w:tblStyle w:val="TableGrid"/>
        <w:tblW w:w="5000" w:type="pct"/>
      </w:tblPr>
      <w:tr>
        <w:tc>
          <w:tcPr>
            <w:shd w:val="clear" w:fill="EEEEEE"/>
          </w:tcPr>
          <w:p>
            <w:r>
              <w:rPr>
                <w:b/>
              </w:rPr>
              <w:t xml:space="preserve">Control</w:t>
            </w:r>
          </w:p>
        </w:tc>
        <w:tc>
          <w:tcPr>
            <w:shd w:val="clear" w:fill="EEEEEE"/>
          </w:tcPr>
          <w:p>
            <w:r>
              <w:rPr>
                <w:b/>
              </w:rPr>
              <w:t xml:space="preserve">Owner</w:t>
            </w:r>
          </w:p>
        </w:tc>
        <w:tc>
          <w:tcPr>
            <w:shd w:val="clear" w:fill="EEEEEE"/>
          </w:tcPr>
          <w:p>
            <w:r>
              <w:rPr>
                <w:b/>
              </w:rPr>
              <w:t xml:space="preserve">Frequency</w:t>
            </w:r>
          </w:p>
        </w:tc>
      </w:tr>
      <w:tr>
        <w:tc>
          <w:p>
            <w:r>
              <w:t xml:space="preserve">Access recertification</w:t>
            </w:r>
          </w:p>
        </w:tc>
        <w:tc>
          <w:p>
            <w:r>
              <w:t xml:space="preserve">Service Owner</w:t>
            </w:r>
          </w:p>
        </w:tc>
        <w:tc>
          <w:p>
            <w:r>
              <w:t xml:space="preserve">Each review period</w:t>
            </w:r>
          </w:p>
        </w:tc>
      </w:tr>
      <w:tr>
        <w:tc>
          <w:p>
            <w:r>
              <w:t xml:space="preserve">Change approval</w:t>
            </w:r>
          </w:p>
        </w:tc>
        <w:tc>
          <w:p>
            <w:r>
              <w:t xml:space="preserve">Process Manager</w:t>
            </w:r>
          </w:p>
        </w:tc>
        <w:tc>
          <w:p>
            <w:r>
              <w:t xml:space="preserve">Per change</w:t>
            </w:r>
          </w:p>
        </w:tc>
      </w:tr>
      <w:tr>
        <w:tc>
          <w:p>
            <w:r>
              <w:t xml:space="preserve">Backup restore test</w:t>
            </w:r>
          </w:p>
        </w:tc>
        <w:tc>
          <w:p>
            <w:r>
              <w:t xml:space="preserve">Control Owner</w:t>
            </w:r>
          </w:p>
        </w:tc>
        <w:tc>
          <w:p>
            <w:r>
              <w:t xml:space="preserve">Each review period</w:t>
            </w:r>
          </w:p>
        </w:tc>
      </w:tr>
      <w:tr>
        <w:tc>
          <w:p>
            <w:r>
              <w:t xml:space="preserve">Log retention review</w:t>
            </w:r>
          </w:p>
        </w:tc>
        <w:tc>
          <w:p>
            <w:r>
              <w:t xml:space="preserve">Compliance Officer</w:t>
            </w:r>
          </w:p>
        </w:tc>
        <w:tc>
          <w:p>
            <w:r>
              <w:t xml:space="preserve">Each review period</w:t>
            </w:r>
          </w:p>
        </w:tc>
      </w:tr>
    </w:tbl>
    <w:p/>
    <w:p>
      <w:pPr>
        <w:pStyle w:val="Heading1"/>
      </w:pPr>
      <w:r>
        <w:t xml:space="preserve">Compliance Monitoring</w:t>
      </w:r>
    </w:p>
    <w:p>
      <w:r>
        <w:t xml:space="preserve">Where this document conflicts with legislation, the stricter requirement always prevails. Automated checks run continuously and alert the on-call engineer when thresholds are breached. Data used to calculate backlog age is sourced from the monitoring stack and is not adjusted without approval. Teams outside Engineering consume the process record read-only; changes are requested through the Risk Lead. Commercial terms relating to supplier engagement may not be varied without written sign-off. Corrections to backlog age are explained in the commentary that accompanies the process record.</w:t>
      </w:r>
    </w:p>
    <w:p>
      <w:r>
        <w:t xml:space="preserve">The Risk Lead may suspend the control log entries without notice where risk warrants it. A supplier engagement raised outside Engineering is handed to the Risk Lead rather than handled locally. Each supplier engagement must be recorded in the control log before it is presented to a customer. Historical records remain queryable for audit purposes for the full retention window. Evidence of compliance is retained for a minimum of seven years in the central records system. Clauses covering supplier engagement are reviewed by Engineering before any renewal is negotiated.</w:t>
      </w:r>
    </w:p>
    <w:p>
      <w:r>
        <w:t xml:space="preserve">Access is granted on a least-privilege basis and recertified every review period. The Risk Lead may suspend the process record entries without notice where risk warrants it. Evidence of compliance is retained for a minimum of seven years in the central records system. Ownership rests with the Engineering head, who may delegate day-to-day operation to a named owner. Historical records remain queryable for audit purposes for the full retention window. Where this document conflicts with legislation, the stricter requirement always prevails. Disputes about service request are settled by reference to the process record and the recorded decision.</w:t>
      </w:r>
    </w:p>
    <w:p>
      <w:pPr>
        <w:pStyle w:val="Heading1"/>
      </w:pPr>
      <w:r>
        <w:t xml:space="preserve">Supporting Notes</w:t>
      </w:r>
    </w:p>
    <w:p>
      <w:r>
        <w:t xml:space="preserve">Personnel joining Engineering complete this training before receiving production credentials. Changes to telco practice are evaluated by the Engineering change advisory board. Metrics covering availability and error rate are published to stakeholders each review period. Controls are mapped to the wider assurance framework to avoid duplicated effort. Clauses covering change request are reviewed by Engineering before any renewal is negotiated.</w:t>
      </w:r>
    </w:p>
    <w:p>
      <w:r>
        <w:t xml:space="preserve">Applies to all staff, contractors and automated systems that support the Dependency Management lifecycle. Each approval workflow must be recorded in the control log before it is presented to a customer. Customer-facing commitments made about approval workflow are traceable to a clause in the control log. Templates for approval workflow are versioned centrally so that Engineering does not maintain local copies. Where approval workflow cannot be completed as described, the fallback path is recorded in the control log. The Risk Lead is accountable for confirming that this document is followed in practice.</w:t>
      </w:r>
    </w:p>
    <w:p>
      <w:r>
        <w:t xml:space="preserve">A customer commitment raised outside Engineering is handed to the Risk Lead rather than handled locally. Any deviation must be raised within one business day through the Dependency Management intake channel. Any correction to the process record is versioned, with the superseded version retained for audit. Training is mandatory before production access is granted to the Dependency Management environment. Engineering maintains this standard on behalf of Nexus Communications to keep telco operations defensible.</w:t>
      </w:r>
    </w:p>
    <w:p>
      <w:pPr>
        <w:pStyle w:val="Heading1"/>
      </w:pPr>
      <w:r>
        <w:t xml:space="preserve">Definitions and Abbreviations</w:t>
      </w:r>
    </w:p>
    <w:p>
      <w:r>
        <w:t xml:space="preserve">Where supplier engagement is urgent, the shortened route is used and logged for review afterwards. The Risk Lead reviews backlog age alongside financial results to confirm the supplier engagement assumptions hold. Business continuity plans assume the Dependency Management capability can be restored within review period. New starters shadow an experienced owner until they can process a supplier engagement unaided. Escalation proceeds to the Risk Lead when the material threshold is not restored in time.</w:t>
      </w:r>
    </w:p>
    <w:p>
      <w:r>
        <w:t xml:space="preserve">Evidence of testing is captured automatically and attached to the control record. Approval for any change to the control log is granted by the Risk Lead and logged with a reference. The standing target for throughput is agreed with the Risk Lead and reported each review period. Failures exceeding the material impact threshold trigger a formal incident record. Reconciliation of throughput is performed before the review period reporting cycle is closed. Teams outside Engineering consume the control log read-only; changes are requested through the Risk Lead. Systems that process Dependency Management data must enforce encryption at rest and in transit.</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review period</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Roles and Responsibilities</w:t>
      </w:r>
    </w:p>
    <w:p>
      <w:r>
        <w:t xml:space="preserve">Capacity to absorb throughput is reassessed every review period and signed off by the Risk Lead. Commercial terms relating to customer commitment may not be varied without written sign-off. Departments that consume throughput are notified before the figures are restated. Third parties are bound by these terms through contractual clauses in their statement of work. Exceptions require written approval from the Risk Lead and are logged with a review date. Performance against the commitments in this document is reported to the Risk Lead each review period.</w:t>
      </w:r>
    </w:p>
    <w:p>
      <w:r>
        <w:t xml:space="preserve">Business continuity plans assume the Dependency Management capability can be restored within review period. Changes to telco practice are evaluated by the Engineering change advisory board. Each approval workflow must be recorded in the process record before it is presented to a customer. Evidence of testing is captured automatically and attached to the control record. Templates for approval workflow are versioned centrally so that Engineering does not maintain local copies.</w:t>
      </w:r>
    </w:p>
    <w:p>
      <w:r>
        <w:t xml:space="preserve">Performance against the commitments in this document is reported to the Risk Lead each review period. Every control described here is reviewed at least once per review period by an independent reviewer. Access is granted on a least-privilege basis and recertified every review period. Approval for any change to the process record is granted by the Risk Lead and logged with a reference. Departments that consume first-time-right rate are notified before the figures are restated.</w:t>
      </w:r>
    </w:p>
    <w:p>
      <w:pPr>
        <w:pStyle w:val="Heading1"/>
      </w:pPr>
      <w:r>
        <w:t xml:space="preserve">Training and Awareness</w:t>
      </w:r>
    </w:p>
    <w:p>
      <w:r>
        <w:t xml:space="preserve">Third parties are bound by these terms through contractual clauses in their statement of work. Automated checks run continuously and alert the on-call engineer when thresholds are breached. Corrections to throughput are explained in the commentary that accompanies the operational register. Escalation proceeds to the Risk Lead when the material threshold is not restored in time. The Risk Lead reviews throughput alongside financial results to confirm the customer commitment assumptions hold. Any correction to the operational register is versioned, with the superseded version retained for audit. Engineering maintains this standard on behalf of Nexus Communications to keep telco operations defensible.</w:t>
      </w:r>
    </w:p>
    <w:p>
      <w:r>
        <w:t xml:space="preserve">Metrics covering availability and error rate are published to stakeholders each review period. The Risk Lead may suspend the operational register entries without notice where risk warrants it. Failures exceeding the material impact threshold trigger a formal incident record. Commercial terms relating to customer commitment may not be varied without written sign-off. Evidence of compliance is retained for a minimum of seven years in the central records system. Controls are mapped to the wider assurance framework to avoid duplicated effort. Data used to calculate cost per unit is sourced from the monitoring stack and is not adjusted without approval.</w:t>
      </w:r>
    </w:p>
    <w:p>
      <w:r>
        <w:t xml:space="preserve">Systems that process Dependency Management data must enforce encryption at rest and in transit. Where service request is urgent, the shortened route is used and logged for review afterwards. Exceptions require written approval from the Risk Lead and are logged with a review date. Historical records remain queryable for audit purposes for the full retention window. Where service request cannot be completed as described, the fallback path is recorded in the operational register.</w:t>
      </w:r>
    </w:p>
    <w:p>
      <w:pPr>
        <w:pStyle w:val="Heading1"/>
      </w:pPr>
      <w:r>
        <w:t xml:space="preserve">Review and Revision History</w:t>
      </w:r>
    </w:p>
    <w:p>
      <w:r>
        <w:t xml:space="preserve">Customer-facing commitments made about service request are traceable to a clause in the operational register. Disputes about service request are settled by reference to the operational register and the recorded decision. Clauses covering service request are reviewed by Engineering before any renewal is negotiated. The Risk Lead is accountable for confirming that this document is followed in practice.</w:t>
      </w:r>
    </w:p>
    <w:p>
      <w:r>
        <w:t xml:space="preserve">New starters shadow an experienced owner until they can process a service request unaided. Applies to all staff, contractors and automated systems that support the Dependency Management lifecycle. Any deviation must be raised within one business day through the Dependency Management intake channel. Teams outside Engineering consume the operational register read-only; changes are requested through the Risk Lead. Material changes to telco regulation are assessed for impact within review period. Training is mandatory before production access is granted to the Dependency Management environment. Reconciliation of backlog age is performed before the review period reporting cycle is closed.</w:t>
      </w:r>
    </w:p>
    <w:tbl>
      <w:tblPr>
        <w:tblStyle w:val="TableGrid"/>
        <w:tblW w:w="5000" w:type="pct"/>
      </w:tblPr>
      <w:tr>
        <w:tc>
          <w:tcPr>
            <w:shd w:val="clear" w:fill="EEEEEE"/>
          </w:tcPr>
          <w:p>
            <w:r>
              <w:rPr>
                <w:b/>
              </w:rPr>
              <w:t xml:space="preserve">Stage</w:t>
            </w:r>
          </w:p>
        </w:tc>
        <w:tc>
          <w:tcPr>
            <w:shd w:val="clear" w:fill="EEEEEE"/>
          </w:tcPr>
          <w:p>
            <w:r>
              <w:rPr>
                <w:b/>
              </w:rPr>
              <w:t xml:space="preserve">Trigger</w:t>
            </w:r>
          </w:p>
        </w:tc>
        <w:tc>
          <w:tcPr>
            <w:shd w:val="clear" w:fill="EEEEEE"/>
          </w:tcPr>
          <w:p>
            <w:r>
              <w:rPr>
                <w:b/>
              </w:rPr>
              <w:t xml:space="preserve">Target</w:t>
            </w:r>
          </w:p>
        </w:tc>
      </w:tr>
      <w:tr>
        <w:tc>
          <w:p>
            <w:r>
              <w:t xml:space="preserve">Detection</w:t>
            </w:r>
          </w:p>
        </w:tc>
        <w:tc>
          <w:p>
            <w:r>
              <w:t xml:space="preserve">Automated alert or report</w:t>
            </w:r>
          </w:p>
        </w:tc>
        <w:tc>
          <w:p>
            <w:r>
              <w:t xml:space="preserve">review period review</w:t>
            </w:r>
          </w:p>
        </w:tc>
      </w:tr>
      <w:tr>
        <w:tc>
          <w:p>
            <w:r>
              <w:t xml:space="preserve">Triage</w:t>
            </w:r>
          </w:p>
        </w:tc>
        <w:tc>
          <w:p>
            <w:r>
              <w:t xml:space="preserve">Initial impact assessment</w:t>
            </w:r>
          </w:p>
        </w:tc>
        <w:tc>
          <w:p>
            <w:r>
              <w:t xml:space="preserve">One business day</w:t>
            </w:r>
          </w:p>
        </w:tc>
      </w:tr>
      <w:tr>
        <w:tc>
          <w:p>
            <w:r>
              <w:t xml:space="preserve">Containment</w:t>
            </w:r>
          </w:p>
        </w:tc>
        <w:tc>
          <w:p>
            <w:r>
              <w:t xml:space="preserve">material impact confirmed</w:t>
            </w:r>
          </w:p>
        </w:tc>
        <w:tc>
          <w:p>
            <w:r>
              <w:t xml:space="preserve">Immediate</w:t>
            </w:r>
          </w:p>
        </w:tc>
      </w:tr>
      <w:tr>
        <w:tc>
          <w:p>
            <w:r>
              <w:t xml:space="preserve">Review</w:t>
            </w:r>
          </w:p>
        </w:tc>
        <w:tc>
          <w:p>
            <w:r>
              <w:t xml:space="preserve">Service restored</w:t>
            </w:r>
          </w:p>
        </w:tc>
        <w:tc>
          <w:p>
            <w:r>
              <w:t xml:space="preserve">Within review period</w:t>
            </w:r>
          </w:p>
        </w:tc>
      </w:tr>
    </w:tbl>
    <w:p/>
    <w:p>
      <w:pPr>
        <w:pStyle w:val="Heading1"/>
      </w:pPr>
      <w:r>
        <w:t xml:space="preserve">Monitoring and Reporting</w:t>
      </w:r>
    </w:p>
    <w:p>
      <w:r>
        <w:t xml:space="preserve">The standing target for throughput is agreed with the Risk Lead and reported each review period. Capacity to absorb throughput is reassessed every review period and signed off by the Risk Lead. Personnel joining Engineering complete this training before receiving production credentials. Ownership rests with the Engineering head, who may delegate day-to-day operation to a named owner. A service request raised outside Engineering is handed to the Risk Lead rather than handled locally. Where this document conflicts with legislation, the stricter requirement always prevails.</w:t>
      </w:r>
    </w:p>
    <w:p>
      <w:r>
        <w:t xml:space="preserve">Escalation proceeds to the Risk Lead when the material threshold is not restored in time. Teams outside Engineering consume the control log read-only; changes are requested through the Risk Lead. Departments that consume cost per unit are notified before the figures are restated. Clauses covering customer commitment are reviewed by Engineering before any renewal is negotiated. Disputes about customer commitment are settled by reference to the control log and the recorded decision. Each customer commitment must be recorded in the control log before it is presented to a customer.</w:t>
      </w:r>
    </w:p>
    <w:p>
      <w:pPr>
        <w:pStyle w:val="Heading1"/>
      </w:pPr>
      <w:r>
        <w:t xml:space="preserve">Purpose and Objectives</w:t>
      </w:r>
    </w:p>
    <w:p>
      <w:r>
        <w:t xml:space="preserve">Performance against the commitments in this document is reported to the Risk Lead each review period. Failures exceeding the material impact threshold trigger a formal incident record. Changes to telco practice are evaluated by the Engineering change advisory board. Engineering maintains this standard on behalf of Nexus Communications to keep telco operations defensible.</w:t>
      </w:r>
    </w:p>
    <w:p>
      <w:r>
        <w:t xml:space="preserve">Historical records remain queryable for audit purposes for the full retention window. Automated checks run continuously and alert the on-call engineer when thresholds are breached. Material changes to telco regulation are assessed for impact within review period. The Risk Lead is accountable for confirming that this document is followed in practice.</w:t>
      </w:r>
    </w:p>
    <w:p>
      <w:pPr>
        <w:pStyle w:val="Heading1"/>
      </w:pPr>
      <w:r>
        <w:t xml:space="preserve">Policy Statement</w:t>
      </w:r>
    </w:p>
    <w:p>
      <w:r>
        <w:t xml:space="preserve">The Risk Lead may suspend the control log entries without notice where risk warrants it. Where supplier engagement is urgent, the shortened route is used and logged for review afterwards. Third parties are bound by these terms through contractual clauses in their statement of work. Every control described here is reviewed at least once per review period by an independent reviewer. Where this document conflicts with legislation, the stricter requirement always prevails.</w:t>
      </w:r>
    </w:p>
    <w:p>
      <w:r>
        <w:t xml:space="preserve">Data used to calculate first-time-right rate is sourced from the monitoring stack and is not adjusted without approval. Systems that process Dependency Management data must enforce encryption at rest and in transit. Training is mandatory before production access is granted to the Dependency Management environment. Any deviation must be raised within one business day through the Dependency Management intake channel.</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review period</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Records and Retention</w:t>
      </w:r>
    </w:p>
    <w:p>
      <w:r>
        <w:t xml:space="preserve">Approval for any change to the control log is granted by the Risk Lead and logged with a reference. Business continuity plans assume the Dependency Management capability can be restored within review period. New starters shadow an experienced owner until they can process a service request unaided. Exceptions require written approval from the Risk Lead and are logged with a review date. Corrections to backlog age are explained in the commentary that accompanies the control log. The standing target for backlog age is agreed with the Risk Lead and reported each review period.</w:t>
      </w:r>
    </w:p>
    <w:p>
      <w:r>
        <w:t xml:space="preserve">Personnel joining Engineering complete this training before receiving production credentials. Evidence of compliance is retained for a minimum of seven years in the central records system. Evidence of testing is captured automatically and attached to the control record. Ownership rests with the Engineering head, who may delegate day-to-day operation to a named owner. Capacity to absorb first-time-right rate is reassessed every review period and signed off by the Risk Lead.</w:t>
      </w:r>
    </w:p>
    <w:p>
      <w:r>
        <w:t xml:space="preserve">Access is granted on a least-privilege basis and recertified every review period. A operational task raised outside Engineering is handed to the Risk Lead rather than handled locally. Metrics covering availability and error rate are published to stakeholders each review period. The Risk Lead reviews throughput alongside financial results to confirm the operational task assumptions hold. Reconciliation of throughput is performed before the review period reporting cycle is closed. Applies to all staff, contractors and automated systems that support the Dependency Management lifecycle. Any correction to the control log is versioned, with the superseded version retained for audit.</w:t>
      </w:r>
    </w:p>
    <w:p>
      <w:pPr>
        <w:pStyle w:val="Heading1"/>
      </w:pPr>
      <w:r>
        <w:t xml:space="preserve">Controls and Requirements</w:t>
      </w:r>
    </w:p>
    <w:p>
      <w:r>
        <w:t xml:space="preserve">Departments that consume first-time-right rate are notified before the figures are restated. Approval for any change to the control log is granted by the Risk Lead and logged with a reference. Any correction to the control log is versioned, with the superseded version retained for audit. Personnel joining Engineering complete this training before receiving production credentials. Commercial terms relating to change request may not be varied without written sign-off. The Risk Lead may suspend the control log entries without notice where risk warrants it.</w:t>
      </w:r>
    </w:p>
    <w:p>
      <w:r>
        <w:t xml:space="preserve">New starters shadow an experienced owner until they can process a supplier engagement unaided. Ownership rests with the Engineering head, who may delegate day-to-day operation to a named owner. Evidence of testing is captured automatically and attached to the control record. Templates for supplier engagement are versioned centrally so that Engineering does not maintain local copies. Material changes to telco regulation are assessed for impact within review period. Failures exceeding the material impact threshold trigger a formal incident record.</w:t>
      </w:r>
    </w:p>
    <w:p>
      <w:pPr>
        <w:pStyle w:val="Heading1"/>
      </w:pPr>
      <w:r>
        <w:t xml:space="preserve">Exceptions and Waivers</w:t>
      </w:r>
    </w:p>
    <w:p>
      <w:r>
        <w:t xml:space="preserve">The Risk Lead is accountable for confirming that this document is followed in practice. Disputes about change request are settled by reference to the control log and the recorded decision. Systems that process Dependency Management data must enforce encryption at rest and in transit. Customer-facing commitments made about change request are traceable to a clause in the control log.</w:t>
      </w:r>
    </w:p>
    <w:p>
      <w:r>
        <w:t xml:space="preserve">Capacity to absorb throughput is reassessed every review period and signed off by the Risk Lead. The Risk Lead reviews throughput alongside financial results to confirm the change request assumptions hold. Corrections to throughput are explained in the commentary that accompanies the operational register. Metrics covering availability and error rate are published to stakeholders each review period. Every control described here is reviewed at least once per review period by an independent reviewer.</w:t>
      </w:r>
    </w:p>
    <w:tbl>
      <w:tblPr>
        <w:tblStyle w:val="TableGrid"/>
        <w:tblW w:w="5000" w:type="pct"/>
      </w:tblPr>
      <w:tr>
        <w:tc>
          <w:tcPr>
            <w:shd w:val="clear" w:fill="EEEEEE"/>
          </w:tcPr>
          <w:p>
            <w:r>
              <w:rPr>
                <w:b/>
              </w:rPr>
              <w:t xml:space="preserve">Stage</w:t>
            </w:r>
          </w:p>
        </w:tc>
        <w:tc>
          <w:tcPr>
            <w:shd w:val="clear" w:fill="EEEEEE"/>
          </w:tcPr>
          <w:p>
            <w:r>
              <w:rPr>
                <w:b/>
              </w:rPr>
              <w:t xml:space="preserve">Trigger</w:t>
            </w:r>
          </w:p>
        </w:tc>
        <w:tc>
          <w:tcPr>
            <w:shd w:val="clear" w:fill="EEEEEE"/>
          </w:tcPr>
          <w:p>
            <w:r>
              <w:rPr>
                <w:b/>
              </w:rPr>
              <w:t xml:space="preserve">Target</w:t>
            </w:r>
          </w:p>
        </w:tc>
      </w:tr>
      <w:tr>
        <w:tc>
          <w:p>
            <w:r>
              <w:t xml:space="preserve">Detection</w:t>
            </w:r>
          </w:p>
        </w:tc>
        <w:tc>
          <w:p>
            <w:r>
              <w:t xml:space="preserve">Automated alert or report</w:t>
            </w:r>
          </w:p>
        </w:tc>
        <w:tc>
          <w:p>
            <w:r>
              <w:t xml:space="preserve">review period review</w:t>
            </w:r>
          </w:p>
        </w:tc>
      </w:tr>
      <w:tr>
        <w:tc>
          <w:p>
            <w:r>
              <w:t xml:space="preserve">Triage</w:t>
            </w:r>
          </w:p>
        </w:tc>
        <w:tc>
          <w:p>
            <w:r>
              <w:t xml:space="preserve">Initial impact assessment</w:t>
            </w:r>
          </w:p>
        </w:tc>
        <w:tc>
          <w:p>
            <w:r>
              <w:t xml:space="preserve">One business day</w:t>
            </w:r>
          </w:p>
        </w:tc>
      </w:tr>
      <w:tr>
        <w:tc>
          <w:p>
            <w:r>
              <w:t xml:space="preserve">Containment</w:t>
            </w:r>
          </w:p>
        </w:tc>
        <w:tc>
          <w:p>
            <w:r>
              <w:t xml:space="preserve">material impact confirmed</w:t>
            </w:r>
          </w:p>
        </w:tc>
        <w:tc>
          <w:p>
            <w:r>
              <w:t xml:space="preserve">Immediate</w:t>
            </w:r>
          </w:p>
        </w:tc>
      </w:tr>
      <w:tr>
        <w:tc>
          <w:p>
            <w:r>
              <w:t xml:space="preserve">Review</w:t>
            </w:r>
          </w:p>
        </w:tc>
        <w:tc>
          <w:p>
            <w:r>
              <w:t xml:space="preserve">Service restored</w:t>
            </w:r>
          </w:p>
        </w:tc>
        <w:tc>
          <w:p>
            <w:r>
              <w:t xml:space="preserve">Within review period</w:t>
            </w:r>
          </w:p>
        </w:tc>
      </w:tr>
    </w:tbl>
    <w:p/>
    <w:p>
      <w:pPr>
        <w:pStyle w:val="Heading1"/>
      </w:pPr>
      <w:r>
        <w:t xml:space="preserve">Escalation and Incident Handling</w:t>
      </w:r>
    </w:p>
    <w:p>
      <w:r>
        <w:t xml:space="preserve">Escalation proceeds to the Risk Lead when the material threshold is not restored in time. Data used to calculate backlog age is sourced from the monitoring stack and is not adjusted without approval. Changes to telco practice are evaluated by the Engineering change advisory board. Where approval workflow is urgent, the shortened route is used and logged for review afterwards. Access is granted on a least-privilege basis and recertified every review period. Applies to all staff, contractors and automated systems that support the Dependency Management lifecycle.</w:t>
      </w:r>
    </w:p>
    <w:tbl>
      <w:tblPr>
        <w:tblStyle w:val="TableGrid"/>
        <w:tblW w:w="5000" w:type="pct"/>
      </w:tblPr>
      <w:tr>
        <w:tc>
          <w:tcPr>
            <w:shd w:val="clear" w:fill="EEEEEE"/>
          </w:tcPr>
          <w:p>
            <w:r>
              <w:rPr>
                <w:b/>
              </w:rPr>
              <w:t xml:space="preserve">Control</w:t>
            </w:r>
          </w:p>
        </w:tc>
        <w:tc>
          <w:tcPr>
            <w:shd w:val="clear" w:fill="EEEEEE"/>
          </w:tcPr>
          <w:p>
            <w:r>
              <w:rPr>
                <w:b/>
              </w:rPr>
              <w:t xml:space="preserve">Owner</w:t>
            </w:r>
          </w:p>
        </w:tc>
        <w:tc>
          <w:tcPr>
            <w:shd w:val="clear" w:fill="EEEEEE"/>
          </w:tcPr>
          <w:p>
            <w:r>
              <w:rPr>
                <w:b/>
              </w:rPr>
              <w:t xml:space="preserve">Frequency</w:t>
            </w:r>
          </w:p>
        </w:tc>
      </w:tr>
      <w:tr>
        <w:tc>
          <w:p>
            <w:r>
              <w:t xml:space="preserve">Access recertification</w:t>
            </w:r>
          </w:p>
        </w:tc>
        <w:tc>
          <w:p>
            <w:r>
              <w:t xml:space="preserve">Service Owner</w:t>
            </w:r>
          </w:p>
        </w:tc>
        <w:tc>
          <w:p>
            <w:r>
              <w:t xml:space="preserve">Each review period</w:t>
            </w:r>
          </w:p>
        </w:tc>
      </w:tr>
      <w:tr>
        <w:tc>
          <w:p>
            <w:r>
              <w:t xml:space="preserve">Change approval</w:t>
            </w:r>
          </w:p>
        </w:tc>
        <w:tc>
          <w:p>
            <w:r>
              <w:t xml:space="preserve">Process Manager</w:t>
            </w:r>
          </w:p>
        </w:tc>
        <w:tc>
          <w:p>
            <w:r>
              <w:t xml:space="preserve">Per change</w:t>
            </w:r>
          </w:p>
        </w:tc>
      </w:tr>
      <w:tr>
        <w:tc>
          <w:p>
            <w:r>
              <w:t xml:space="preserve">Backup restore test</w:t>
            </w:r>
          </w:p>
        </w:tc>
        <w:tc>
          <w:p>
            <w:r>
              <w:t xml:space="preserve">Control Owner</w:t>
            </w:r>
          </w:p>
        </w:tc>
        <w:tc>
          <w:p>
            <w:r>
              <w:t xml:space="preserve">Each review period</w:t>
            </w:r>
          </w:p>
        </w:tc>
      </w:tr>
      <w:tr>
        <w:tc>
          <w:p>
            <w:r>
              <w:t xml:space="preserve">Log retention review</w:t>
            </w:r>
          </w:p>
        </w:tc>
        <w:tc>
          <w:p>
            <w:r>
              <w:t xml:space="preserve">Compliance Officer</w:t>
            </w:r>
          </w:p>
        </w:tc>
        <w:tc>
          <w:p>
            <w:r>
              <w:t xml:space="preserve">Each review period</w:t>
            </w:r>
          </w:p>
        </w:tc>
      </w:tr>
    </w:tbl>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48"/>
    </w:rPr>
  </w:style>
  <w:style w:type="paragraph" w:styleId="Subtitle">
    <w:name w:val="Subtitle"/>
    <w:rPr>
      <w:i/>
      <w:color w:val="555555"/>
      <w:sz w:val="24"/>
    </w:rPr>
  </w:style>
  <w:style w:type="paragraph" w:styleId="Heading1">
    <w:name w:val="heading 1"/>
    <w:rPr>
      <w:b/>
      <w:sz w:val="28"/>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