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10065" w:type="dxa"/>
        <w:jc w:val="left"/>
        <w:tblInd w:w="-4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93"/>
        <w:gridCol w:w="886"/>
        <w:gridCol w:w="6586"/>
      </w:tblGrid>
      <w:tr>
        <w:trPr>
          <w:trHeight w:val="45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76" w:before="57" w:after="257"/>
              <w:jc w:val="center"/>
              <w:rPr>
                <w:rFonts w:ascii="Calibri" w:hAnsi="Calibri" w:eastAsia="Calibri" w:cs="Calibri"/>
                <w:color w:val="000000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4"/>
                <w:szCs w:val="24"/>
                <w:lang w:val="hu" w:eastAsia="zh-CN" w:bidi="hi-IN"/>
              </w:rPr>
              <w:t>Fizetés kártyával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Kártyás fizetési folyamat teljesítése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Foglalás check-in elindult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 rendszer menti a sikeres fizetést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 rendszer hibát jelez,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visszalép az előző nézetre.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Recepciós aktor, Vendég aktor</w:t>
            </w:r>
          </w:p>
        </w:tc>
      </w:tr>
      <w:tr>
        <w:trPr>
          <w:trHeight w:val="502" w:hRule="atLeast"/>
        </w:trPr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MockBank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 „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kártyával fizetés” opciót választja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 „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kártyával fizetés” opciót választja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Kártya adat bekérő űrlap megjelenik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Terhelési kérés küldése a MockBank aktor felé.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Válasz feldolgozása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Sikeres fizetés értesítés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5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Sikeres fizetés tárolása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Naplózás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/>
              <w:t>7</w:t>
            </w: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Vissza az előző nézetre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>
          <w:trHeight w:val="585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4.1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Fizetés elutasítva értesítés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99</Words>
  <Characters>640</Characters>
  <CharactersWithSpaces>697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2020-10-16T13:32:50Z</dcterms:modified>
  <cp:revision>4</cp:revision>
  <dc:subject/>
  <dc:title/>
</cp:coreProperties>
</file>