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双轴太阳能追踪系统的pcb设计方案总览"/>
    <w:p>
      <w:pPr>
        <w:pStyle w:val="Heading1"/>
      </w:pPr>
      <w:r>
        <w:rPr>
          <w:rFonts w:hint="eastAsia"/>
        </w:rPr>
        <w:t xml:space="preserve">双轴太阳能追踪系统的PCB设计方案总览</w:t>
      </w:r>
    </w:p>
    <w:bookmarkStart w:id="23" w:name="设计边界与总体架构"/>
    <w:p>
      <w:pPr>
        <w:pStyle w:val="Heading2"/>
      </w:pPr>
      <w:r>
        <w:rPr>
          <w:rFonts w:hint="eastAsia"/>
        </w:rPr>
        <w:t xml:space="preserve">设计边界与总体架构</w:t>
      </w:r>
    </w:p>
    <w:p>
      <w:pPr>
        <w:pStyle w:val="FirstParagraph"/>
      </w:pPr>
      <w:r>
        <w:rPr>
          <w:rFonts w:hint="eastAsia"/>
        </w:rPr>
        <w:t xml:space="preserve">这块PCB的定位是“下位机实时控制板</w:t>
      </w:r>
      <w:r>
        <w:t xml:space="preserve"> + </w:t>
      </w:r>
      <w:r>
        <w:rPr>
          <w:rFonts w:hint="eastAsia"/>
        </w:rPr>
        <w:t xml:space="preserve">电源分配/测量板”：负责稳定供电、采集光照与功率数据、驱动两轴电机，并通过总线把关键数据提供给OLED（以及可选的上位机）。为了让后续算法（PID/节能策略/强化学习查表）具备“可量化的Reward”，板上必须具备</w:t>
      </w:r>
      <w:r>
        <w:rPr>
          <w:rFonts w:hint="eastAsia"/>
          <w:b/>
          <w:bCs/>
        </w:rPr>
        <w:t xml:space="preserve">可重复、可校准的电压/电流测量链路</w:t>
      </w:r>
      <w:r>
        <w:rPr>
          <w:rFonts w:hint="eastAsia"/>
        </w:rPr>
        <w:t xml:space="preserve">（推荐INA219这一类集成式功率监测器件）。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总体上建议按“强电—弱电分区”的模块化思路画原理图与布局：输入电源→5V大电流母线→（电机/树莓派可选）→3.3V逻辑电源→MCU与传感器→I2C总线挂OLED与功率计。I2C的物理层特性（开漏/上拉）会直接影响你布局与上拉电阻选型，因此它不是“连上线就行”的细节，需要在原理图阶段就定好。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7" w:name="电源树与电源管理"/>
    <w:p>
      <w:pPr>
        <w:pStyle w:val="Heading2"/>
      </w:pPr>
      <w:r>
        <w:rPr>
          <w:rFonts w:hint="eastAsia"/>
        </w:rPr>
        <w:t xml:space="preserve">电源树与电源管理</w:t>
      </w:r>
    </w:p>
    <w:p>
      <w:pPr>
        <w:pStyle w:val="FirstParagraph"/>
      </w:pPr>
      <w:r>
        <w:rPr>
          <w:rFonts w:hint="eastAsia"/>
        </w:rPr>
        <w:t xml:space="preserve">建议把电源树固定成两级：</w:t>
      </w:r>
      <w:r>
        <w:rPr>
          <w:rFonts w:hint="eastAsia"/>
          <w:b/>
          <w:bCs/>
        </w:rPr>
        <w:t xml:space="preserve">输入（电池/适配器/太阳能输入后的稳定母线）→5V/≥3A降压→3.3V稳压</w:t>
      </w:r>
      <w:r>
        <w:rPr>
          <w:rFonts w:hint="eastAsia"/>
        </w:rPr>
        <w:t xml:space="preserve">。如果你考虑兼容</w:t>
      </w:r>
      <w:r>
        <w:t xml:space="preserve"> Raspberry Pi</w:t>
      </w:r>
      <w:hyperlink r:id="rId22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（上位机/可视化/训练），官方文档给出的</w:t>
      </w:r>
      <w:r>
        <w:t xml:space="preserve"> Raspberry Pi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4 Model B </w:t>
      </w:r>
      <w:r>
        <w:rPr>
          <w:rFonts w:hint="eastAsia"/>
        </w:rPr>
        <w:t xml:space="preserve">典型建议供电是5V/3A量级，因此你的5V轨设计成“至少3A、并留有瞬态裕量”更稳妥。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5V主降压（Buck）</w:t>
      </w:r>
      <w:r>
        <w:rPr>
          <w:rFonts w:hint="eastAsia"/>
        </w:rPr>
        <w:t xml:space="preserve">：给“电机</w:t>
      </w:r>
      <w:r>
        <w:t xml:space="preserve"> + </w:t>
      </w:r>
      <w:r>
        <w:rPr>
          <w:rFonts w:hint="eastAsia"/>
        </w:rPr>
        <w:t xml:space="preserve">可选树莓派</w:t>
      </w:r>
      <w:r>
        <w:t xml:space="preserve"> + </w:t>
      </w:r>
      <w:r>
        <w:rPr>
          <w:rFonts w:hint="eastAsia"/>
        </w:rPr>
        <w:t xml:space="preserve">可能的外设”供电，推荐用成熟的3A</w:t>
      </w:r>
      <w:r>
        <w:t xml:space="preserve"> </w:t>
      </w:r>
      <w:r>
        <w:rPr>
          <w:rFonts w:hint="eastAsia"/>
        </w:rPr>
        <w:t xml:space="preserve">Buck方案（例如TPS5430这类3A宽输入降压控制器/芯片），并严格按数据手册典型应用与布局建议来放输入去耦、功率电感与二极管/同步器件。TPS5430这类器件的“宽输入（例如5.5–36V）+持续3A输出”的能力，适合你从2S锂电（约6–8.4V）或更高母线降到5V。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rPr>
          <w:rFonts w:hint="eastAsia"/>
        </w:rPr>
        <w:t xml:space="preserve">在原理图上把Buck部分画成清晰的“功率回路小环路”：输入电容（常见10µF陶瓷+必要的Bulk）、开关节点、电感、输出电容，并在PCB上把输入去耦电容贴近VIN与GND引脚，避免长电源线导致纹波/EMI和不稳定。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3.3V逻辑稳压</w:t>
      </w:r>
      <w:r>
        <w:rPr>
          <w:rFonts w:hint="eastAsia"/>
        </w:rPr>
        <w:t xml:space="preserve">：给MCU、INA219、LDR分压、OLED等逻辑域供电。若逻辑电流不大（几十到几百mA），可用常见LDO（如AMS1117-3.3一类）从5V降到3.3V，但要注意其压差与热耗散（5V→3.3V在较大电流时会明显发热），布局上要给散热铜皮。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电源保护与分配</w:t>
      </w:r>
      <w:r>
        <w:rPr>
          <w:rFonts w:hint="eastAsia"/>
        </w:rPr>
        <w:t xml:space="preserve">：建议至少做到三点：</w:t>
      </w:r>
      <w:r>
        <w:br/>
      </w:r>
      <w:r>
        <w:rPr>
          <w:rFonts w:hint="eastAsia"/>
        </w:rPr>
        <w:t xml:space="preserve">其一，输入端做反接/瞬态保护（最简可用肖特基，想要更高效率可用理想二极管/PMOS方案）；其二，5V电机供电与3.3V逻辑供电要分区布线并在地回流上可控汇聚，避免电机电流脉动把MCU“拉复位”；其三，为树莓派预留可控上电（例如在5V_PI支路加负载开关/高边开关），让MCU先“保底运行”，等上位机起来再接管/增强。</w:t>
      </w:r>
      <w:hyperlink r:id="rId24">
        <w:r>
          <w:rPr>
            <w:rStyle w:val="Hyperlink"/>
          </w:rPr>
          <w:t xml:space="preserve">[8]</w:t>
        </w:r>
      </w:hyperlink>
    </w:p>
    <w:bookmarkEnd w:id="27"/>
    <w:bookmarkStart w:id="30" w:name="mcu最小系统与调试接口"/>
    <w:p>
      <w:pPr>
        <w:pStyle w:val="Heading2"/>
      </w:pPr>
      <w:r>
        <w:rPr>
          <w:rFonts w:hint="eastAsia"/>
        </w:rPr>
        <w:t xml:space="preserve">MCU最小系统与调试接口</w:t>
      </w:r>
    </w:p>
    <w:p>
      <w:pPr>
        <w:pStyle w:val="FirstParagraph"/>
      </w:pPr>
      <w:r>
        <w:rPr>
          <w:rFonts w:hint="eastAsia"/>
        </w:rPr>
        <w:t xml:space="preserve">MCU你可以二选一：</w:t>
      </w:r>
      <w:r>
        <w:br/>
      </w:r>
      <w:r>
        <w:rPr>
          <w:rFonts w:hint="eastAsia"/>
        </w:rPr>
        <w:t xml:space="preserve">如果你更强调实时控制与确定性，STM32路线更常见；如果你更强调联网/上位机协同/生态，ESP32路线更顺手。无论选哪条路线，</w:t>
      </w:r>
      <w:r>
        <w:rPr>
          <w:rFonts w:hint="eastAsia"/>
          <w:b/>
          <w:bCs/>
        </w:rPr>
        <w:t xml:space="preserve">电源去耦与上电复位</w:t>
      </w:r>
      <w:r>
        <w:rPr>
          <w:rFonts w:hint="eastAsia"/>
        </w:rPr>
        <w:t xml:space="preserve">属于“会不会稳定跑”的根因，必须按官方硬件建议做足。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STM32最小系统要点</w:t>
      </w:r>
      <w:r>
        <w:rPr>
          <w:rFonts w:hint="eastAsia"/>
        </w:rPr>
        <w:t xml:space="preserve">：给每对VDD/VSS就近放100nF去耦，另外在芯片附近放4.7–10µF的“中等容量”电容做低频支撑；NRST可按ST的硬件开发建议加一个小电容提高抗干扰（常见值在10–100nF量级，具体取舍看功耗与EMC权衡）。</w:t>
      </w:r>
      <w:hyperlink r:id="rId28">
        <w:r>
          <w:rPr>
            <w:rStyle w:val="Hyperlink"/>
          </w:rPr>
          <w:t xml:space="preserve">[10]</w:t>
        </w:r>
      </w:hyperlink>
      <w:r>
        <w:br/>
      </w:r>
      <w:r>
        <w:rPr>
          <w:rFonts w:hint="eastAsia"/>
        </w:rPr>
        <w:t xml:space="preserve">调试接口建议固定为SWD排针（SWDIO、SWCLK、3.3V、GND、NRST等），并在PCB丝印上把针脚方向、信号名标清楚，方便你上电前只靠万用表/示波器就能“逐点验收”。</w:t>
      </w:r>
      <w:hyperlink r:id="rId28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ESP32最小系统要点</w:t>
      </w:r>
      <w:r>
        <w:rPr>
          <w:rFonts w:hint="eastAsia"/>
        </w:rPr>
        <w:t xml:space="preserve">：按硬件设计指南，单电源供电时推荐3.3V且电源能力不低于约500mA，并在电源入口建议放ESD器件与至少10µF电容；这些要求的本质是为Wi‑Fi/射频瞬态电流与数字噪声提供稳定电源环境。</w:t>
      </w:r>
      <w:hyperlink r:id="rId29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同时，ESP32类芯片对上电时序、EN脚、启动绑定位（strapping）更敏感，你在原理图上要把“EN/BOOT相关电阻网络”按官方推荐值画清楚，并在PCB上避免这些线去穿越电机开关噪声最强的区域。</w:t>
      </w:r>
      <w:hyperlink r:id="rId29">
        <w:r>
          <w:rPr>
            <w:rStyle w:val="Hyperlink"/>
          </w:rPr>
          <w:t xml:space="preserve">[13]</w:t>
        </w:r>
      </w:hyperlink>
    </w:p>
    <w:bookmarkEnd w:id="30"/>
    <w:bookmarkStart w:id="31" w:name="传感与测量前端"/>
    <w:p>
      <w:pPr>
        <w:pStyle w:val="Heading2"/>
      </w:pPr>
      <w:r>
        <w:rPr>
          <w:rFonts w:hint="eastAsia"/>
        </w:rPr>
        <w:t xml:space="preserve">传感与测量前端</w:t>
      </w:r>
    </w:p>
    <w:p>
      <w:pPr>
        <w:pStyle w:val="FirstParagraph"/>
      </w:pPr>
      <w:r>
        <w:rPr>
          <w:rFonts w:hint="eastAsia"/>
          <w:b/>
          <w:bCs/>
        </w:rPr>
        <w:t xml:space="preserve">LDR四象限接口（保底追光）</w:t>
      </w:r>
      <w:r>
        <w:rPr>
          <w:rFonts w:hint="eastAsia"/>
        </w:rPr>
        <w:t xml:space="preserve">：推荐每个LDR采用“LDR</w:t>
      </w:r>
      <w:r>
        <w:t xml:space="preserve"> + </w:t>
      </w:r>
      <w:r>
        <w:rPr>
          <w:rFonts w:hint="eastAsia"/>
        </w:rPr>
        <w:t xml:space="preserve">固定电阻”的分压方式输出到MCU</w:t>
      </w:r>
      <w:r>
        <w:t xml:space="preserve"> </w:t>
      </w:r>
      <w:r>
        <w:rPr>
          <w:rFonts w:hint="eastAsia"/>
        </w:rPr>
        <w:t xml:space="preserve">ADC。为提高抗噪与抑制光照瞬变引发的抖动，可在ADC节点加一个小电容形成一阶低通（例如0.01–0.1µF量级，具体由你的采样频率与响应速度需求决定）。在PCB上把这四路当作“模拟信号”对待：走线短、远离电机PWM与Buck开关节点、就近回到干净的地。</w:t>
      </w:r>
      <w:hyperlink r:id="rId28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Reward用电压/电流检测（推荐INA219）</w:t>
      </w:r>
      <w:r>
        <w:rPr>
          <w:rFonts w:hint="eastAsia"/>
        </w:rPr>
        <w:t xml:space="preserve">：如果你希望Reward从“概念”变成“可量化数据”，建议用</w:t>
      </w:r>
      <w:r>
        <w:t xml:space="preserve"> Texas Instruments</w:t>
      </w:r>
      <w:hyperlink r:id="rId24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的INA219这类集成式电流/功率监测器件：它提供分流电阻压降测量，并带PGA档位（满量程可扩展到320mV）以及总线电压测量量程（例如16V或32V档）。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rPr>
          <w:rFonts w:hint="eastAsia"/>
        </w:rPr>
        <w:t xml:space="preserve">原理图落地时，你要先确定“测哪里”：最简单是测光伏板（或受控母线）输出功率，用“移动前后功率差”作为Reward；如果你要把“电机能耗”纳入净能量，也可以给电机支路再加一颗同类传感器做双通道（I2C地址可通过引脚配置区分），但这属于增强项。</w:t>
      </w:r>
      <w:hyperlink r:id="rId21">
        <w:r>
          <w:rPr>
            <w:rStyle w:val="Hyperlink"/>
          </w:rPr>
          <w:t xml:space="preserve">[16]</w:t>
        </w:r>
      </w:hyperlink>
      <w:r>
        <w:br/>
      </w:r>
      <w:r>
        <w:rPr>
          <w:rFonts w:hint="eastAsia"/>
        </w:rPr>
        <w:t xml:space="preserve">分流电阻选型按“最大电流</w:t>
      </w:r>
      <w:r>
        <w:t xml:space="preserve"> × </w:t>
      </w:r>
      <w:r>
        <w:rPr>
          <w:rFonts w:hint="eastAsia"/>
        </w:rPr>
        <w:t xml:space="preserve">目标分流压降”倒推：让最大电流下分流压降不超过你选定的PGA满量程，同时注意电阻功耗与温漂；布局上把分流电阻与INA219放在高边测量的“电流路径”上，Kelvin走线到Sense引脚，避免把大电流铜皮压降误差算进测量。</w:t>
      </w:r>
      <w:hyperlink r:id="rId2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I2C总线设计（INA219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OLED共线）</w:t>
      </w:r>
      <w:r>
        <w:rPr>
          <w:rFonts w:hint="eastAsia"/>
        </w:rPr>
        <w:t xml:space="preserve">：I2C的SCL/SDA是开漏结构，需要外部上拉电阻；总线两线应通过上拉到逻辑电源，并控制总线电容与走线长度以满足时序。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rPr>
          <w:rFonts w:hint="eastAsia"/>
        </w:rPr>
        <w:t xml:space="preserve">工程落地建议：在主板上预留SCL/SDA的上拉电阻焊盘（常见4.7k–10k量级），即使OLED模块自带上拉，你也能通过“不装/改值”来做稳定性调参。</w:t>
      </w:r>
      <w:hyperlink r:id="rId22">
        <w:r>
          <w:rPr>
            <w:rStyle w:val="Hyperlink"/>
          </w:rPr>
          <w:t xml:space="preserve">[2]</w:t>
        </w:r>
      </w:hyperlink>
    </w:p>
    <w:bookmarkEnd w:id="31"/>
    <w:bookmarkStart w:id="34" w:name="电机驱动与执行器接口"/>
    <w:p>
      <w:pPr>
        <w:pStyle w:val="Heading2"/>
      </w:pPr>
      <w:r>
        <w:rPr>
          <w:rFonts w:hint="eastAsia"/>
        </w:rPr>
        <w:t xml:space="preserve">电机驱动与执行器接口</w:t>
      </w:r>
    </w:p>
    <w:p>
      <w:pPr>
        <w:pStyle w:val="FirstParagraph"/>
      </w:pPr>
      <w:r>
        <w:rPr>
          <w:rFonts w:hint="eastAsia"/>
        </w:rPr>
        <w:t xml:space="preserve">如果你选择两轴直流减速电机（或小功率云台电机）路线，推荐使用</w:t>
      </w:r>
      <w:r>
        <w:t xml:space="preserve"> Toshiba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的TB6612FNG：它是双H桥电机驱动，能驱动两路直流电机，且给出了典型的供电范围与输出电流指标（例如VM最高15V、单通道平均电流约1.2A、峰值脉冲更高），并带有热关断与低压检测等保护特性，适合作为“容错率高”的毕设硬件底座。</w:t>
      </w:r>
      <w:hyperlink r:id="rId32">
        <w:r>
          <w:rPr>
            <w:rStyle w:val="Hyperlink"/>
          </w:rPr>
          <w:t xml:space="preserve">[19]</w:t>
        </w:r>
      </w:hyperlink>
      <w:r>
        <w:br/>
      </w:r>
      <w:r>
        <w:rPr>
          <w:rFonts w:hint="eastAsia"/>
        </w:rPr>
        <w:t xml:space="preserve">如果你的电机电压更低（例如2.7–10.8V）或你更想要集成限流/更细分的保护策略，也可以考虑DRV8833这类替代方案，它同样是双H桥驱动，并给出了每桥的RMS/峰值电流能力与供电范围。</w:t>
      </w:r>
      <w:hyperlink r:id="rId33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对“你们之前说的两颗电机驱动芯片”这句话，落地上有两种合理解释：</w:t>
      </w:r>
      <w:r>
        <w:br/>
      </w:r>
      <w:r>
        <w:rPr>
          <w:rFonts w:hint="eastAsia"/>
        </w:rPr>
        <w:t xml:space="preserve">一种是“每轴一颗驱动芯片，物理分区更清晰”，这样电源与热分布更平均；另一种是“一个双H桥芯片就等价于两路驱动”，例如TB6612FNG本身就可同时驱动两轴，因此能把板子做得更小更简单。</w:t>
      </w:r>
      <w:hyperlink r:id="rId3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rFonts w:hint="eastAsia"/>
        </w:rPr>
        <w:t xml:space="preserve">布局/布线关键点是：电机电源线与电机输出线属于强干扰源，必须粗线、短回路、靠近板边走，并避免穿越ADC与I2C区域；电机供电端就近放Bulk电容（几十到几百µF量级，按电机启动电流与线束长度决定），减少电机启动导致的母线跌落。TB6612FNG的数据手册也强调其对静电敏感以及电源/地引脚分区（PGND）的存在，这实际上是在提醒你“强电回流路径要可控”。</w:t>
      </w:r>
      <w:hyperlink r:id="rId32">
        <w:r>
          <w:rPr>
            <w:rStyle w:val="Hyperlink"/>
          </w:rPr>
          <w:t xml:space="preserve">[21]</w:t>
        </w:r>
      </w:hyperlink>
    </w:p>
    <w:bookmarkEnd w:id="34"/>
    <w:bookmarkStart w:id="36" w:name="显示与上位机接口"/>
    <w:p>
      <w:pPr>
        <w:pStyle w:val="Heading2"/>
      </w:pPr>
      <w:r>
        <w:rPr>
          <w:rFonts w:hint="eastAsia"/>
        </w:rPr>
        <w:t xml:space="preserve">显示与上位机接口</w:t>
      </w:r>
    </w:p>
    <w:p>
      <w:pPr>
        <w:pStyle w:val="FirstParagraph"/>
      </w:pPr>
      <w:r>
        <w:rPr>
          <w:rFonts w:hint="eastAsia"/>
          <w:b/>
          <w:bCs/>
        </w:rPr>
        <w:t xml:space="preserve">OLED方案固定为I2C接口SSD1306模块</w:t>
      </w:r>
      <w:r>
        <w:rPr>
          <w:rFonts w:hint="eastAsia"/>
        </w:rPr>
        <w:t xml:space="preserve">：这与你前面“少引脚、易布线、与功率计共用I2C”的目标一致。SSD1306的数据手册明确了I2C从地址可通过SA0位选择（地址位形如0111100或0111101，工程上常用写法对应0x3C/0x3D），并且再次强调SCL/SDA需要外部上拉。</w:t>
      </w:r>
      <w:hyperlink r:id="rId35">
        <w:r>
          <w:rPr>
            <w:rStyle w:val="Hyperlink"/>
          </w:rPr>
          <w:t xml:space="preserve">[22]</w:t>
        </w:r>
      </w:hyperlink>
      <w:r>
        <w:br/>
      </w:r>
      <w:r>
        <w:rPr>
          <w:rFonts w:hint="eastAsia"/>
        </w:rPr>
        <w:t xml:space="preserve">PCB实现上，最稳妥的做法是放一个1×4排针/排母（VCC、GND、SCL、SDA），VCC推荐直接给3.3V逻辑电源，以避免5V模块版本的电平不匹配风险；屏幕摆放在板子边缘或正面可视区，并在丝印标注针脚顺序与方向，降低装配翻车概率。</w:t>
      </w:r>
      <w:hyperlink r:id="rId35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可选上位机接口（树莓派/电脑）</w:t>
      </w:r>
      <w:r>
        <w:rPr>
          <w:rFonts w:hint="eastAsia"/>
        </w:rPr>
        <w:t xml:space="preserve">：如果你要保留加入树莓派的可能性，在PCB上预留一个“4pin</w:t>
      </w:r>
      <w:r>
        <w:t xml:space="preserve"> UART + </w:t>
      </w:r>
      <w:r>
        <w:rPr>
          <w:rFonts w:hint="eastAsia"/>
        </w:rPr>
        <w:t xml:space="preserve">5V电源”的接口即可（5V、GND、TX、RX），这既满足你“上下位机协同”的扩展，又不会把当前版本复杂度拉爆。由于树莓派供电推荐5V/3A量级，你可以把这一路命名为5V_PI并预留独立的供电开关/保险丝位，做到“插上也不影响下位机保底运行”。</w:t>
      </w:r>
      <w:hyperlink r:id="rId24">
        <w:r>
          <w:rPr>
            <w:rStyle w:val="Hyperlink"/>
          </w:rPr>
          <w:t xml:space="preserve">[24]</w:t>
        </w:r>
      </w:hyperlink>
    </w:p>
    <w:bookmarkEnd w:id="36"/>
    <w:bookmarkStart w:id="38" w:name="pcb布局布线与可测试性"/>
    <w:p>
      <w:pPr>
        <w:pStyle w:val="Heading2"/>
      </w:pPr>
      <w:r>
        <w:rPr>
          <w:rFonts w:hint="eastAsia"/>
        </w:rPr>
        <w:t xml:space="preserve">PCB布局布线与可测试性</w:t>
      </w:r>
    </w:p>
    <w:p>
      <w:pPr>
        <w:pStyle w:val="FirstParagraph"/>
      </w:pPr>
      <w:r>
        <w:rPr>
          <w:rFonts w:hint="eastAsia"/>
        </w:rPr>
        <w:t xml:space="preserve">建议采用2层板也能做出很稳定的效果：底层尽量整面铺地作为参考平面，顶层放主走线与器件；把板子明确切成“三块”：Buck与电源输入（强电）、电机驱动与电机端子（强电）、MCU+INA219+I2C+LDR（弱电）。Buck的开关节点是EMI最强点，要把它铜皮面积做小，并把输入去耦电容贴近芯片VIN/GND，减少高di/dt回路面积，这是开关电源稳定与EMI控制的核心。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线宽不要凭感觉：高电流的5V母线、电机供电与电机输出，请用基于IPC-2221模型的计算器按“铜厚、温升、走线长度”估算，再加工程裕量；例如</w:t>
      </w:r>
      <w:r>
        <w:t xml:space="preserve"> Digi-Key Electronics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r>
        <w:rPr>
          <w:rFonts w:hint="eastAsia"/>
        </w:rPr>
        <w:t xml:space="preserve">的线宽计算器明确说明其使用IPC-2221公式并输出电阻/压降/温升估算，这能让你的设计说明更“可验证”。</w:t>
      </w:r>
      <w:hyperlink r:id="rId37">
        <w:r>
          <w:rPr>
            <w:rStyle w:val="Hyperlink"/>
          </w:rPr>
          <w:t xml:space="preserve">[26]</w:t>
        </w:r>
      </w:hyperlink>
      <w:r>
        <w:br/>
      </w:r>
      <w:r>
        <w:rPr>
          <w:rFonts w:hint="eastAsia"/>
        </w:rPr>
        <w:t xml:space="preserve">弱电信号（I2C、UART、ADC）保持短、直、远离电机与开关节点，并优先保证地回流路径连续；I2C上拉电阻放在靠近主控一侧通常更利于总线稳定。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可测试性（强烈建议写进你的PCB“验收流程”）</w:t>
      </w:r>
      <w:r>
        <w:rPr>
          <w:rFonts w:hint="eastAsia"/>
        </w:rPr>
        <w:t xml:space="preserve">：在原理图阶段就放测试点，至少包含VIN、5V、3.3V、GND、I2C_SCL、I2C_SDA、UART_TX/RX、以及电机供电VM；上电调试按“先电源、后MCU、再传感器、最后电机”的顺序走。这样你可以在不插OLED、不接电机的情况下先验证：5V/3.3V稳定、I2C能扫到INA219与OLED地址、ADC能读到四路LDR变化，再逐步打开电机驱动，显著降低一次上电烧板概率。</w:t>
      </w:r>
      <w:hyperlink r:id="rId25">
        <w:r>
          <w:rPr>
            <w:rStyle w:val="Hyperlink"/>
          </w:rPr>
          <w:t xml:space="preserve">[27]</w:t>
        </w:r>
      </w:hyperlink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INA219 Zerø-Drift, Bidirectional Current/Power Monitor With I2C Interface datasheet (Rev. G)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https://www.ti.com/lit/ds/symlink/ina219.pdf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I2C-bus specification and user manual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https://www.nxp.com/docs/en/user-guide/UM10204.pdf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[15]</w:t>
        </w:r>
      </w:hyperlink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hyperlink r:id="rId2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Getting started - Raspberry Pi Documentation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https://www.raspberrypi.com/documentation/computers/getting-started.html?utm_source=chatgpt.com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3-A Wide Input Range Step-Down Swift Converter datasheet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https://www.ti.com/lit/gpn/TPS5430-EP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AMS1117-3.3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https://www.advanced-monolithic.com/pdf/ds1117.pdf?utm_source=chatgpt.com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an2586-getting-started-with-stm32f10xxx-hardware- ...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https://www.st.com/resource/en/application_note/an2586-getting-started-with-stm32f10xxx-hardware-development-stmicroelectronics.pdf?utm_source=chatgpt.com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ESP32 - Hardware Design Guidelines - Technical Documents</w:t>
      </w:r>
    </w:p>
    <w:p>
      <w:pPr>
        <w:pStyle w:val="BodyText"/>
      </w:pPr>
      <w:hyperlink r:id="rId29">
        <w:r>
          <w:rPr>
            <w:rStyle w:val="Hyperlink"/>
          </w:rPr>
          <w:t xml:space="preserve">https://docs.espressif.com/projects/esp-hardware-design-guidelines/en/latest/esp32/esp-hardware-design-guidelines-en-master-esp32.pdf?utm_source=chatgpt.com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[19]</w:t>
        </w:r>
      </w:hyperlink>
      <w:r>
        <w:t xml:space="preserve"> </w:t>
      </w:r>
      <w:hyperlink r:id="rId3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TB6612FNG</w:t>
      </w:r>
    </w:p>
    <w:p>
      <w:pPr>
        <w:pStyle w:val="BodyText"/>
      </w:pPr>
      <w:hyperlink r:id="rId32">
        <w:r>
          <w:rPr>
            <w:rStyle w:val="Hyperlink"/>
          </w:rPr>
          <w:t xml:space="preserve">https://toshiba.semicon-storage.com/info/TB6612FNG_datasheet_en_20141001.pdf?did=10660&amp;prodName=TB6612FNG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DRV8833 Dual H-Bridge Motor Driver datasheet (Rev. E)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https://www.ti.com/lit/gpn/DRV8833?utm_source=chatgpt.com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hyperlink r:id="rId3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SSD1780</w:t>
      </w:r>
    </w:p>
    <w:p>
      <w:pPr>
        <w:pStyle w:val="BodyText"/>
      </w:pPr>
      <w:hyperlink r:id="rId35">
        <w:r>
          <w:rPr>
            <w:rStyle w:val="Hyperlink"/>
          </w:rPr>
          <w:t xml:space="preserve">https://akizukidenshi.com/goodsaffix/ssd1306.pdf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PCB Trace Width Conversion Calculator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https://www.digikey.jp/en/resources/conversion-calculators/conversion-calculator-pcb-trace-width?utm_source=chatgpt.com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akizukidenshi.com/goodsaffix/ssd1306.pdf" TargetMode="External" /><Relationship Type="http://schemas.openxmlformats.org/officeDocument/2006/relationships/hyperlink" Id="rId29" Target="https://docs.espressif.com/projects/esp-hardware-design-guidelines/en/latest/esp32/esp-hardware-design-guidelines-en-master-esp32.pdf?utm_source=chatgpt.com" TargetMode="External" /><Relationship Type="http://schemas.openxmlformats.org/officeDocument/2006/relationships/hyperlink" Id="rId32" Target="https://toshiba.semicon-storage.com/info/TB6612FNG_datasheet_en_20141001.pdf?did=10660&amp;prodName=TB6612FNG" TargetMode="External" /><Relationship Type="http://schemas.openxmlformats.org/officeDocument/2006/relationships/hyperlink" Id="rId26" Target="https://www.advanced-monolithic.com/pdf/ds1117.pdf?utm_source=chatgpt.com" TargetMode="External" /><Relationship Type="http://schemas.openxmlformats.org/officeDocument/2006/relationships/hyperlink" Id="rId37" Target="https://www.digikey.jp/en/resources/conversion-calculators/conversion-calculator-pcb-trace-width?utm_source=chatgpt.com" TargetMode="External" /><Relationship Type="http://schemas.openxmlformats.org/officeDocument/2006/relationships/hyperlink" Id="rId22" Target="https://www.nxp.com/docs/en/user-guide/UM10204.pdf" TargetMode="External" /><Relationship Type="http://schemas.openxmlformats.org/officeDocument/2006/relationships/hyperlink" Id="rId24" Target="https://www.raspberrypi.com/documentation/computers/getting-started.html?utm_source=chatgpt.com" TargetMode="External" /><Relationship Type="http://schemas.openxmlformats.org/officeDocument/2006/relationships/hyperlink" Id="rId28" Target="https://www.st.com/resource/en/application_note/an2586-getting-started-with-stm32f10xxx-hardware-development-stmicroelectronics.pdf?utm_source=chatgpt.com" TargetMode="External" /><Relationship Type="http://schemas.openxmlformats.org/officeDocument/2006/relationships/hyperlink" Id="rId21" Target="https://www.ti.com/lit/ds/symlink/ina219.pdf" TargetMode="External" /><Relationship Type="http://schemas.openxmlformats.org/officeDocument/2006/relationships/hyperlink" Id="rId33" Target="https://www.ti.com/lit/gpn/DRV8833?utm_source=chatgpt.com" TargetMode="External" /><Relationship Type="http://schemas.openxmlformats.org/officeDocument/2006/relationships/hyperlink" Id="rId25" Target="https://www.ti.com/lit/gpn/TPS5430-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kizukidenshi.com/goodsaffix/ssd1306.pdf" TargetMode="External" /><Relationship Type="http://schemas.openxmlformats.org/officeDocument/2006/relationships/hyperlink" Id="rId29" Target="https://docs.espressif.com/projects/esp-hardware-design-guidelines/en/latest/esp32/esp-hardware-design-guidelines-en-master-esp32.pdf?utm_source=chatgpt.com" TargetMode="External" /><Relationship Type="http://schemas.openxmlformats.org/officeDocument/2006/relationships/hyperlink" Id="rId32" Target="https://toshiba.semicon-storage.com/info/TB6612FNG_datasheet_en_20141001.pdf?did=10660&amp;prodName=TB6612FNG" TargetMode="External" /><Relationship Type="http://schemas.openxmlformats.org/officeDocument/2006/relationships/hyperlink" Id="rId26" Target="https://www.advanced-monolithic.com/pdf/ds1117.pdf?utm_source=chatgpt.com" TargetMode="External" /><Relationship Type="http://schemas.openxmlformats.org/officeDocument/2006/relationships/hyperlink" Id="rId37" Target="https://www.digikey.jp/en/resources/conversion-calculators/conversion-calculator-pcb-trace-width?utm_source=chatgpt.com" TargetMode="External" /><Relationship Type="http://schemas.openxmlformats.org/officeDocument/2006/relationships/hyperlink" Id="rId22" Target="https://www.nxp.com/docs/en/user-guide/UM10204.pdf" TargetMode="External" /><Relationship Type="http://schemas.openxmlformats.org/officeDocument/2006/relationships/hyperlink" Id="rId24" Target="https://www.raspberrypi.com/documentation/computers/getting-started.html?utm_source=chatgpt.com" TargetMode="External" /><Relationship Type="http://schemas.openxmlformats.org/officeDocument/2006/relationships/hyperlink" Id="rId28" Target="https://www.st.com/resource/en/application_note/an2586-getting-started-with-stm32f10xxx-hardware-development-stmicroelectronics.pdf?utm_source=chatgpt.com" TargetMode="External" /><Relationship Type="http://schemas.openxmlformats.org/officeDocument/2006/relationships/hyperlink" Id="rId21" Target="https://www.ti.com/lit/ds/symlink/ina219.pdf" TargetMode="External" /><Relationship Type="http://schemas.openxmlformats.org/officeDocument/2006/relationships/hyperlink" Id="rId33" Target="https://www.ti.com/lit/gpn/DRV8833?utm_source=chatgpt.com" TargetMode="External" /><Relationship Type="http://schemas.openxmlformats.org/officeDocument/2006/relationships/hyperlink" Id="rId25" Target="https://www.ti.com/lit/gpn/TPS5430-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2026-03-30T10:59:47Z</dcterms:created>
  <dcterms:modified xsi:type="dcterms:W3CDTF">2026-03-30T10:59:47Z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