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Screening LCA and TEA of Municipal Solid Waste</w:t>
      </w:r>
      <w:r>
        <w:br/>
      </w:r>
      <w:r>
        <w:t xml:space="preserve">Recovery Pathways in Indonesia</w:t>
      </w:r>
    </w:p>
    <w:p>
      <w:pPr>
        <w:pStyle w:val="Subtitle"/>
      </w:pPr>
      <w:r>
        <w:t xml:space="preserve">Methodology v3.2: ex-ante decision support before facilities exist — 2025 tonnage baseline, auditable parameters with verified secondary data, carbon-inclusive cost at fixed carbon values, decision rules, break-even targets and the value of information</w:t>
      </w:r>
    </w:p>
    <w:p>
      <w:pPr>
        <w:pStyle w:val="Subtitle"/>
      </w:pPr>
      <w:r>
        <w:t xml:space="preserve">Muhammad Fachri Ridwan — Master of Environmental Management, The University of Queensland</w:t>
      </w:r>
      <w:r>
        <w:br/>
      </w:r>
      <w:r>
        <w:t xml:space="preserve">Supervisor: Prof. Anthony Halog — October 2026 — Companion code: msw_pathway_model_v3.py / MSW_pathway_model_v3.ipynb; user tool: MSW_Decision_Tool_Colab.ipynb</w:t>
      </w:r>
    </w:p>
    <w:p>
      <w:pPr>
        <w:pStyle w:val="BlockText"/>
      </w:pPr>
      <w:r>
        <w:rPr>
          <w:b/>
          <w:bCs/>
        </w:rPr>
        <w:t xml:space="preserve">What v3.2 does and what it shows</w:t>
      </w:r>
    </w:p>
    <w:p>
      <w:pPr>
        <w:pStyle w:val="Compact"/>
        <w:numPr>
          <w:ilvl w:val="0"/>
          <w:numId w:val="1001"/>
        </w:numPr>
      </w:pPr>
      <w:r>
        <w:rPr>
          <w:b/>
          <w:bCs/>
        </w:rPr>
        <w:t xml:space="preserve">Ex-ante decision support.</w:t>
      </w:r>
      <w:r>
        <w:t xml:space="preserve"> </w:t>
      </w:r>
      <w:r>
        <w:t xml:space="preserve">None of the six options exists as a facility in the 21 locations. The model is a screening tool for local governments, planners and funders</w:t>
      </w:r>
      <w:r>
        <w:t xml:space="preserve"> </w:t>
      </w:r>
      <w:r>
        <w:rPr>
          <w:i/>
          <w:iCs/>
        </w:rPr>
        <w:t xml:space="preserve">before</w:t>
      </w:r>
      <w:r>
        <w:t xml:space="preserve"> </w:t>
      </w:r>
      <w:r>
        <w:t xml:space="preserve">a feasibility study or tender: it tells them under which conditions each option is worth pursuing, which performance an option must reach to beat a sanitary landfill, and which local data are worth collecting first. This, not the ranking of 21 cases, is the contribution.</w:t>
      </w:r>
    </w:p>
    <w:p>
      <w:pPr>
        <w:pStyle w:val="Compact"/>
        <w:numPr>
          <w:ilvl w:val="0"/>
          <w:numId w:val="1001"/>
        </w:numPr>
      </w:pPr>
      <w:r>
        <w:rPr>
          <w:b/>
          <w:bCs/>
        </w:rPr>
        <w:t xml:space="preserve">Secondary data re-checked.</w:t>
      </w:r>
      <w:r>
        <w:t xml:space="preserve"> </w:t>
      </w:r>
      <w:r>
        <w:t xml:space="preserve">23 secondary values were re-verified against their sources (Section 6.1): 5 were corrected (RDF O&amp;M and price, Sumatera grid factor, the WtE and RDF benchmarks), landfill-gas collection was widened to 0.20–0.80, and status V is now kept only for the four values confirmed in the source text. Benchmarks that could not be confirmed were removed.</w:t>
      </w:r>
    </w:p>
    <w:p>
      <w:pPr>
        <w:pStyle w:val="Compact"/>
        <w:numPr>
          <w:ilvl w:val="0"/>
          <w:numId w:val="1001"/>
        </w:numPr>
      </w:pPr>
      <w:r>
        <w:rPr>
          <w:b/>
          <w:bCs/>
        </w:rPr>
        <w:t xml:space="preserve">Carbon-inclusive cost, fixed carbon values.</w:t>
      </w:r>
      <w:r>
        <w:t xml:space="preserve"> </w:t>
      </w:r>
      <w:r>
        <w:t xml:space="preserve">Options are ranked by C + pG/1000 (USD/t), called the carbon-inclusive cost because health and local pollution are not valued. Results are given for fixed carbon values 0, 2 (the UU 7/2021 carbon tax), 25, 50 and 100 USD/t CO</w:t>
      </w:r>
      <w:r>
        <w:rPr>
          <w:vertAlign w:val="subscript"/>
        </w:rPr>
        <w:t xml:space="preserve">2</w:t>
      </w:r>
      <w:r>
        <w:t xml:space="preserve">e with Monte Carlo standard errors (at most 0.008).</w:t>
      </w:r>
    </w:p>
    <w:p>
      <w:pPr>
        <w:pStyle w:val="Compact"/>
        <w:numPr>
          <w:ilvl w:val="0"/>
          <w:numId w:val="1001"/>
        </w:numPr>
      </w:pPr>
      <w:r>
        <w:rPr>
          <w:b/>
          <w:bCs/>
        </w:rPr>
        <w:t xml:space="preserve">Main result.</w:t>
      </w:r>
      <w:r>
        <w:t xml:space="preserve"> </w:t>
      </w:r>
      <w:r>
        <w:t xml:space="preserve">At central values the sanitary landfill with flare has the lowest carbon-inclusive cost in all 21 locations up to 50 USD/t; at 100 USD/t RDF + AD is best in 20 locations and WtE in 1. With uncertainty, RDF + AD is the most probable option at 100 USD/t in 18 locations (median P = 0.60). Its abatement cost against the landfill is 73 (53 to 99) USD/t CO</w:t>
      </w:r>
      <w:r>
        <w:rPr>
          <w:vertAlign w:val="subscript"/>
        </w:rPr>
        <w:t xml:space="preserve">2</w:t>
      </w:r>
      <w:r>
        <w:t xml:space="preserve">e.</w:t>
      </w:r>
    </w:p>
    <w:p>
      <w:pPr>
        <w:pStyle w:val="Compact"/>
        <w:numPr>
          <w:ilvl w:val="0"/>
          <w:numId w:val="1001"/>
        </w:numPr>
      </w:pPr>
      <w:r>
        <w:rPr>
          <w:b/>
          <w:bCs/>
        </w:rPr>
        <w:t xml:space="preserve">What decides.</w:t>
      </w:r>
      <w:r>
        <w:t xml:space="preserve"> </w:t>
      </w:r>
      <w:r>
        <w:t xml:space="preserve">Food separated at source makes AD preferable above about 30–45 USD/t; the Perpres 109/2025 tariff with at least 1,000 t/day and LHV of 7 MJ/kg makes WtE preferable; RDF + AD needs a high carbon value and a kiln within about 300 km. The 100 USD/t result is fragile: the high moisture bound or a 22% lower RDF heating value returns the choice to the landfill in 17 and 17 of 21 locations.</w:t>
      </w:r>
    </w:p>
    <w:p>
      <w:pPr>
        <w:pStyle w:val="Compact"/>
        <w:numPr>
          <w:ilvl w:val="0"/>
          <w:numId w:val="1001"/>
        </w:numPr>
      </w:pPr>
      <w:r>
        <w:rPr>
          <w:b/>
          <w:bCs/>
        </w:rPr>
        <w:t xml:space="preserve">What to measure first.</w:t>
      </w:r>
      <w:r>
        <w:t xml:space="preserve"> </w:t>
      </w:r>
      <w:r>
        <w:t xml:space="preserve">The expected value of perfect information is 1.05 USD/t at 50 USD/t and 3.18 USD/t at 100 USD/t (median); waste characterisation (moisture, composition) and landfill-gas performance carry most of it. These are the measurements a city should fund before committing to a technology.</w:t>
      </w:r>
    </w:p>
    <w:p>
      <w:pPr>
        <w:pStyle w:val="Compact"/>
        <w:numPr>
          <w:ilvl w:val="0"/>
          <w:numId w:val="1001"/>
        </w:numPr>
      </w:pPr>
      <w:r>
        <w:rPr>
          <w:b/>
          <w:bCs/>
        </w:rPr>
        <w:t xml:space="preserve">AD on mixed waste made realistic.</w:t>
      </w:r>
      <w:r>
        <w:t xml:space="preserve"> </w:t>
      </w:r>
      <w:r>
        <w:t xml:space="preserve">Food separated mechanically from mixed waste is given 0.6 (0.35–0.85) of the methane yield of source-separated food and 5 (0–10) USD/t extra pre-treatment; the optimistic case is a scenario.</w:t>
      </w:r>
    </w:p>
    <w:p>
      <w:pPr>
        <w:pStyle w:val="Compact"/>
        <w:numPr>
          <w:ilvl w:val="0"/>
          <w:numId w:val="1001"/>
        </w:numPr>
      </w:pPr>
      <w:r>
        <w:rPr>
          <w:b/>
          <w:bCs/>
        </w:rPr>
        <w:t xml:space="preserve">Reproducible.</w:t>
      </w:r>
      <w:r>
        <w:t xml:space="preserve"> </w:t>
      </w:r>
      <w:r>
        <w:t xml:space="preserve">88 of 88 validation checks pass, including an explicit hand recalculation for Kota Padang; a Colab notebook runs everything for new cities (Section 12).</w:t>
      </w:r>
    </w:p>
    <w:bookmarkStart w:id="9" w:name="Xaf3007992ffab5364a6e113e703299d166a6da0"/>
    <w:p>
      <w:pPr>
        <w:pStyle w:val="Heading1"/>
      </w:pPr>
      <w:r>
        <w:t xml:space="preserve">1 Purpose, scope of the update and vocabulary of evidence</w:t>
      </w:r>
    </w:p>
    <w:p>
      <w:pPr>
        <w:pStyle w:val="FirstParagraph"/>
        <w:jc w:val="both"/>
      </w:pPr>
      <w:r>
        <w:rPr>
          <w:b/>
          <w:bCs/>
        </w:rPr>
        <w:t xml:space="preserve">Purpose: ex-ante decision support.</w:t>
      </w:r>
      <w:r>
        <w:t xml:space="preserve"> </w:t>
      </w:r>
      <w:r>
        <w:t xml:space="preserve">Indonesian cities must choose among WtE, RDF, AD and improved landfilling before any such facility is built, usually with no local performance data. This study is therefore a modelling study: it does not evaluate existing plants but estimates, before investment, under which city and waste-system conditions each option would become preferable. Its outputs are designed for the stakeholders who make that choice (city and regency environment agencies, Bappeda, the Ministry of Environment, PLN and cement companies as offtakers, and funders): (i) decision rules stated in observable conditions, (ii) break-even targets that a tender or pilot must reach, and (iii) a ranking of the data worth collecting first, expressed in USD per year. Results are screening-level and must be confirmed by a feasibility study.</w:t>
      </w:r>
    </w:p>
    <w:p>
      <w:pPr>
        <w:pStyle w:val="BodyText"/>
        <w:jc w:val="both"/>
      </w:pPr>
      <w:r>
        <w:t xml:space="preserve">This document updates the v2 methodology with the research package of October 2026 (folders 02 to 04). The package was read in the order its START_HERE file prescribes: the v2 code and PDF, then the assumption audit (ASSUMPTION_SOURCE_AUDIT.md), which overrides the interpretation of the older allocation workbook, then the 2025 baseline files, then the fraction-literature files. The SHA-256 of every source file was checked against the package manifest before use. The equations, system boundary and decision rule of v2 are kept; what changes is where numbers come from, how their status is recorded and how the 2025 baseline is formed.</w:t>
      </w:r>
    </w:p>
    <w:p>
      <w:pPr>
        <w:pStyle w:val="BodyText"/>
        <w:jc w:val="both"/>
      </w:pPr>
      <w:r>
        <w:t xml:space="preserve">Every value in the database carries one of the following statuses. A blank cell always means</w:t>
      </w:r>
      <w:r>
        <w:t xml:space="preserve"> </w:t>
      </w:r>
      <w:r>
        <w:rPr>
          <w:i/>
          <w:iCs/>
        </w:rPr>
        <w:t xml:space="preserve">unknown or not applicable</w:t>
      </w:r>
      <w:r>
        <w:t xml:space="preserve">; it is never read as zero.</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52"/>
        <w:gridCol w:w="3300"/>
        <w:gridCol w:w="3168"/>
      </w:tblGrid>
      <w:tr>
        <w:trPr>
          <w:tblHeader w:val="on"/>
        </w:trPr>
        <w:tc>
          <w:tcPr>
            <w:shd w:val="clear" w:color="auto" w:fill="DCE6F0"/>
          </w:tcPr>
          <w:p>
            <w:pPr>
              <w:pStyle w:val="Compact"/>
              <w:spacing w:after="0" w:before="0"/>
            </w:pPr>
            <w:r>
              <w:rPr>
                <w:b/>
                <w:sz w:val="16"/>
              </w:rPr>
              <w:t xml:space="preserve">Status</w:t>
            </w:r>
          </w:p>
        </w:tc>
        <w:tc>
          <w:tcPr>
            <w:shd w:val="clear" w:color="auto" w:fill="DCE6F0"/>
          </w:tcPr>
          <w:p>
            <w:pPr>
              <w:pStyle w:val="Compact"/>
              <w:spacing w:after="0" w:before="0"/>
            </w:pPr>
            <w:r>
              <w:rPr>
                <w:b/>
                <w:sz w:val="16"/>
              </w:rPr>
              <w:t xml:space="preserve">Meaning</w:t>
            </w:r>
          </w:p>
        </w:tc>
        <w:tc>
          <w:tcPr>
            <w:shd w:val="clear" w:color="auto" w:fill="DCE6F0"/>
          </w:tcPr>
          <w:p>
            <w:pPr>
              <w:pStyle w:val="Compact"/>
              <w:spacing w:after="0" w:before="0"/>
            </w:pPr>
            <w:r>
              <w:rPr>
                <w:b/>
                <w:sz w:val="16"/>
              </w:rPr>
              <w:t xml:space="preserve">Example</w:t>
            </w:r>
          </w:p>
        </w:tc>
      </w:tr>
      <w:tr>
        <w:tc>
          <w:tcPr/>
          <w:p>
            <w:pPr>
              <w:pStyle w:val="Compact"/>
              <w:spacing w:after="0" w:before="0"/>
            </w:pPr>
            <w:r>
              <w:rPr>
                <w:sz w:val="16"/>
              </w:rPr>
              <w:t xml:space="preserve">local measurement</w:t>
            </w:r>
          </w:p>
        </w:tc>
        <w:tc>
          <w:tcPr/>
          <w:p>
            <w:pPr>
              <w:pStyle w:val="Compact"/>
              <w:spacing w:after="0" w:before="0"/>
            </w:pPr>
            <w:r>
              <w:rPr>
                <w:sz w:val="16"/>
              </w:rPr>
              <w:t xml:space="preserve">Reported for the location by its RIPS document</w:t>
            </w:r>
          </w:p>
        </w:tc>
        <w:tc>
          <w:tcPr/>
          <w:p>
            <w:pPr>
              <w:pStyle w:val="Compact"/>
              <w:spacing w:after="0" w:before="0"/>
            </w:pPr>
            <w:r>
              <w:rPr>
                <w:sz w:val="16"/>
              </w:rPr>
              <w:t xml:space="preserve">RIPS wet-mass composition, Kab. Bogor 2022</w:t>
            </w:r>
          </w:p>
        </w:tc>
      </w:tr>
      <w:tr>
        <w:tc>
          <w:tcPr/>
          <w:p>
            <w:pPr>
              <w:pStyle w:val="Compact"/>
              <w:spacing w:after="0" w:before="0"/>
            </w:pPr>
            <w:r>
              <w:rPr>
                <w:sz w:val="16"/>
              </w:rPr>
              <w:t xml:space="preserve">literature default</w:t>
            </w:r>
          </w:p>
        </w:tc>
        <w:tc>
          <w:tcPr/>
          <w:p>
            <w:pPr>
              <w:pStyle w:val="Compact"/>
              <w:spacing w:after="0" w:before="0"/>
            </w:pPr>
            <w:r>
              <w:rPr>
                <w:sz w:val="16"/>
              </w:rPr>
              <w:t xml:space="preserve">Published default for a category, not for the location</w:t>
            </w:r>
          </w:p>
        </w:tc>
        <w:tc>
          <w:tcPr/>
          <w:p>
            <w:pPr>
              <w:pStyle w:val="Compact"/>
              <w:spacing w:after="0" w:before="0"/>
            </w:pPr>
            <w:r>
              <w:rPr>
                <w:sz w:val="16"/>
              </w:rPr>
              <w:t xml:space="preserve">IPCC 2006 Table 2.4 DOC of food, 0.38 (dry)</w:t>
            </w:r>
          </w:p>
        </w:tc>
      </w:tr>
      <w:tr>
        <w:tc>
          <w:tcPr/>
          <w:p>
            <w:pPr>
              <w:pStyle w:val="Compact"/>
              <w:spacing w:after="0" w:before="0"/>
            </w:pPr>
            <w:r>
              <w:rPr>
                <w:sz w:val="16"/>
              </w:rPr>
              <w:t xml:space="preserve">parent-category proxy</w:t>
            </w:r>
          </w:p>
        </w:tc>
        <w:tc>
          <w:tcPr/>
          <w:p>
            <w:pPr>
              <w:pStyle w:val="Compact"/>
              <w:spacing w:after="0" w:before="0"/>
            </w:pPr>
            <w:r>
              <w:rPr>
                <w:sz w:val="16"/>
              </w:rPr>
              <w:t xml:space="preserve">A parent default assigned to a sub-fraction; not a sub-fraction measurement</w:t>
            </w:r>
          </w:p>
        </w:tc>
        <w:tc>
          <w:tcPr/>
          <w:p>
            <w:pPr>
              <w:pStyle w:val="Compact"/>
              <w:spacing w:after="0" w:before="0"/>
            </w:pPr>
            <w:r>
              <w:rPr>
                <w:sz w:val="16"/>
              </w:rPr>
              <w:t xml:space="preserve">Food DOC for 1.2.3 unavoidable animal-derived food</w:t>
            </w:r>
          </w:p>
        </w:tc>
      </w:tr>
      <w:tr>
        <w:tc>
          <w:tcPr/>
          <w:p>
            <w:pPr>
              <w:pStyle w:val="Compact"/>
              <w:spacing w:after="0" w:before="0"/>
            </w:pPr>
            <w:r>
              <w:rPr>
                <w:sz w:val="16"/>
              </w:rPr>
              <w:t xml:space="preserve">foreign benchmark</w:t>
            </w:r>
          </w:p>
        </w:tc>
        <w:tc>
          <w:tcPr/>
          <w:p>
            <w:pPr>
              <w:pStyle w:val="Compact"/>
              <w:spacing w:after="0" w:before="0"/>
            </w:pPr>
            <w:r>
              <w:rPr>
                <w:sz w:val="16"/>
              </w:rPr>
              <w:t xml:space="preserve">Measured elsewhere on a different waste stream</w:t>
            </w:r>
          </w:p>
        </w:tc>
        <w:tc>
          <w:tcPr/>
          <w:p>
            <w:pPr>
              <w:pStyle w:val="Compact"/>
              <w:spacing w:after="0" w:before="0"/>
            </w:pPr>
            <w:r>
              <w:rPr>
                <w:sz w:val="16"/>
              </w:rPr>
              <w:t xml:space="preserve">Edjabou et al. (2015) Danish residual household waste</w:t>
            </w:r>
          </w:p>
        </w:tc>
      </w:tr>
      <w:tr>
        <w:tc>
          <w:tcPr/>
          <w:p>
            <w:pPr>
              <w:pStyle w:val="Compact"/>
              <w:spacing w:after="0" w:before="0"/>
            </w:pPr>
            <w:r>
              <w:rPr>
                <w:sz w:val="16"/>
              </w:rPr>
              <w:t xml:space="preserve">assumption / prior</w:t>
            </w:r>
          </w:p>
        </w:tc>
        <w:tc>
          <w:tcPr/>
          <w:p>
            <w:pPr>
              <w:pStyle w:val="Compact"/>
              <w:spacing w:after="0" w:before="0"/>
            </w:pPr>
            <w:r>
              <w:rPr>
                <w:sz w:val="16"/>
              </w:rPr>
              <w:t xml:space="preserve">Analyst choice, to be defended or replaced</w:t>
            </w:r>
          </w:p>
        </w:tc>
        <w:tc>
          <w:tcPr/>
          <w:p>
            <w:pPr>
              <w:pStyle w:val="Compact"/>
              <w:spacing w:after="0" w:before="0"/>
            </w:pPr>
            <w:r>
              <w:rPr>
                <w:sz w:val="16"/>
              </w:rPr>
              <w:t xml:space="preserve">Organic split 85/15 (A01); moisture as received</w:t>
            </w:r>
          </w:p>
        </w:tc>
      </w:tr>
      <w:tr>
        <w:tc>
          <w:tcPr/>
          <w:p>
            <w:pPr>
              <w:pStyle w:val="Compact"/>
              <w:spacing w:after="0" w:before="0"/>
            </w:pPr>
            <w:r>
              <w:rPr>
                <w:sz w:val="16"/>
              </w:rPr>
              <w:t xml:space="preserve">scenario</w:t>
            </w:r>
          </w:p>
        </w:tc>
        <w:tc>
          <w:tcPr/>
          <w:p>
            <w:pPr>
              <w:pStyle w:val="Compact"/>
              <w:spacing w:after="0" w:before="0"/>
            </w:pPr>
            <w:r>
              <w:rPr>
                <w:sz w:val="16"/>
              </w:rPr>
              <w:t xml:space="preserve">Alternative value run to show sensitivity, never a baseline</w:t>
            </w:r>
          </w:p>
        </w:tc>
        <w:tc>
          <w:tcPr/>
          <w:p>
            <w:pPr>
              <w:pStyle w:val="Compact"/>
              <w:spacing w:after="0" w:before="0"/>
            </w:pPr>
            <w:r>
              <w:rPr>
                <w:sz w:val="16"/>
              </w:rPr>
              <w:t xml:space="preserve">Serang 14% target; rubber DOCf 0.5</w:t>
            </w:r>
          </w:p>
        </w:tc>
      </w:tr>
      <w:tr>
        <w:tc>
          <w:tcPr/>
          <w:p>
            <w:pPr>
              <w:pStyle w:val="Compact"/>
              <w:spacing w:after="0" w:before="0"/>
            </w:pPr>
            <w:r>
              <w:rPr>
                <w:sz w:val="16"/>
              </w:rPr>
              <w:t xml:space="preserve">gap</w:t>
            </w:r>
          </w:p>
        </w:tc>
        <w:tc>
          <w:tcPr/>
          <w:p>
            <w:pPr>
              <w:pStyle w:val="Compact"/>
              <w:spacing w:after="0" w:before="0"/>
            </w:pPr>
            <w:r>
              <w:rPr>
                <w:sz w:val="16"/>
              </w:rPr>
              <w:t xml:space="preserve">No defensible number found; left blank, scenario if the model needs one</w:t>
            </w:r>
          </w:p>
        </w:tc>
        <w:tc>
          <w:tcPr/>
          <w:p>
            <w:pPr>
              <w:pStyle w:val="Compact"/>
              <w:spacing w:after="0" w:before="0"/>
            </w:pPr>
            <w:r>
              <w:rPr>
                <w:sz w:val="16"/>
              </w:rPr>
              <w:t xml:space="preserve">Rubber/leather DOCf; WEEE material composition</w:t>
            </w:r>
          </w:p>
        </w:tc>
      </w:tr>
    </w:tbl>
    <w:p>
      <w:pPr>
        <w:pStyle w:val="Caption"/>
      </w:pPr>
      <w:r>
        <w:t xml:space="preserve">Table 1: Vocabulary of evidence used in every CSV and table of this document.</w:t>
      </w:r>
    </w:p>
    <w:bookmarkEnd w:id="9"/>
    <w:bookmarkStart w:id="10" w:name="X75772cd64f6aacd03aa38ce969fc2e7cf440c86"/>
    <w:p>
      <w:pPr>
        <w:pStyle w:val="Heading1"/>
      </w:pPr>
      <w:r>
        <w:t xml:space="preserve">2 Goal, functional unit and system boundary (unchanged)</w:t>
      </w:r>
    </w:p>
    <w:p>
      <w:pPr>
        <w:pStyle w:val="FirstParagraph"/>
        <w:jc w:val="both"/>
      </w:pPr>
      <w:r>
        <w:t xml:space="preserve">The research question remains:</w:t>
      </w:r>
      <w:r>
        <w:t xml:space="preserve"> </w:t>
      </w:r>
      <w:r>
        <w:rPr>
          <w:i/>
          <w:iCs/>
        </w:rPr>
        <w:t xml:space="preserve">under what Indonesian city and waste-system conditions does each recovery pathway become preferable?</w:t>
      </w:r>
      <w:r>
        <w:t xml:space="preserve"> </w:t>
      </w:r>
      <w:r>
        <w:t xml:space="preserve">The functional unit is the management of 1 tonne of mixed MSW, wet weight, as received at the gate of the treatment facility, with the composition of the location, in the reference year 2025. Six options are compared within one LCA/TEA boundary, from the facility gate to final disposal of residues and delivery of products, with system expansion for displaced electricity, coal and polypropylene: sanitary landfill with flare (SL), WtE (S1), RDF to cement kiln (S2), AD of food waste (S3), PHB from landfill gas (S4) and integrated RDF + AD (S5). Two baselines are reported: open dump (OD) and sanitary landfill (SL). Climate change is assessed with GWP100 of IPCC AR6 (GWP20 as a sensitivity case); cost is a net levelised cost in USD per tonne (AACE class 5). These choices and their justification are those of v2, Sections 2 and 3.</w:t>
      </w:r>
    </w:p>
    <w:bookmarkEnd w:id="10"/>
    <w:bookmarkStart w:id="25" w:name="data-harmonisation-for-the-2025-baseline"/>
    <w:p>
      <w:pPr>
        <w:pStyle w:val="Heading1"/>
      </w:pPr>
      <w:r>
        <w:t xml:space="preserve">3 Data harmonisation for the 2025 baseline</w:t>
      </w:r>
    </w:p>
    <w:bookmarkStart w:id="14" w:name="three-years-kept-apart"/>
    <w:p>
      <w:pPr>
        <w:pStyle w:val="Heading2"/>
      </w:pPr>
      <w:r>
        <w:t xml:space="preserve">3.1 Three years, kept apart</w:t>
      </w:r>
    </w:p>
    <w:p>
      <w:pPr>
        <w:pStyle w:val="FirstParagraph"/>
        <w:jc w:val="both"/>
      </w:pPr>
      <w:r>
        <w:t xml:space="preserve">Each location now carries a composition sampling year t</w:t>
      </w:r>
      <w:r>
        <w:rPr>
          <w:vertAlign w:val="subscript"/>
        </w:rPr>
        <w:t xml:space="preserve">c</w:t>
      </w:r>
      <w:r>
        <w:t xml:space="preserve">, a tonnage source year t (blank when it is unverified) and the baseline year 2025. Tonnage is harmonised with</w:t>
      </w:r>
    </w:p>
    <w:p>
      <w:pPr>
        <w:pStyle w:val="BodyText"/>
      </w:pPr>
      <m:oMathPara>
        <m:oMathParaPr>
          <m:jc m:val="center"/>
        </m:oMathParaPr>
        <m:oMath>
          <m:sSub>
            <m:e>
              <m:r>
                <m:t>Q</m:t>
              </m:r>
            </m:e>
            <m:sub>
              <m:r>
                <m:t>2025</m:t>
              </m:r>
            </m:sub>
          </m:sSub>
          <m:r>
            <m:rPr>
              <m:sty m:val="p"/>
            </m:rPr>
            <m:t>=</m:t>
          </m:r>
          <m:sSub>
            <m:e>
              <m:r>
                <m:t>Q</m:t>
              </m:r>
            </m:e>
            <m:sub>
              <m:r>
                <m:t>t</m:t>
              </m:r>
            </m:sub>
          </m:sSub>
          <m:r>
            <m:t> </m:t>
          </m:r>
          <m:r>
            <m:rPr>
              <m:sty m:val="p"/>
            </m:rPr>
            <m:t>(</m:t>
          </m:r>
          <m:r>
            <m:t>1</m:t>
          </m:r>
          <m:r>
            <m:rPr>
              <m:sty m:val="p"/>
            </m:rPr>
            <m:t>+</m:t>
          </m:r>
          <m:r>
            <m:t>g</m:t>
          </m:r>
          <m:sSup>
            <m:e>
              <m:r>
                <m:rPr>
                  <m:sty m:val="p"/>
                </m:rPr>
                <m:t>)</m:t>
              </m:r>
            </m:e>
            <m:sup>
              <m:r>
                <m:t> </m:t>
              </m:r>
              <m:r>
                <m:t>2025</m:t>
              </m:r>
              <m:r>
                <m:rPr>
                  <m:sty m:val="p"/>
                </m:rPr>
                <m:t>−</m:t>
              </m:r>
              <m:r>
                <m:t>t</m:t>
              </m:r>
            </m:sup>
          </m:sSup>
          <m:r>
            <m:t>  </m:t>
          </m:r>
          <m:sSubSup>
            <m:e>
              <m:r>
                <m:t>M</m:t>
              </m:r>
            </m:e>
            <m:sub>
              <m:r>
                <m:t>2025</m:t>
              </m:r>
            </m:sub>
            <m:sup>
              <m:r>
                <m:t>d</m:t>
              </m:r>
            </m:sup>
          </m:sSubSup>
          <m:r>
            <m:rPr>
              <m:sty m:val="p"/>
            </m:rPr>
            <m:t>=</m:t>
          </m:r>
          <m:sSubSup>
            <m:e>
              <m:r>
                <m:t>M</m:t>
              </m:r>
            </m:e>
            <m:sub>
              <m:r>
                <m:t>t</m:t>
              </m:r>
            </m:sub>
            <m:sup>
              <m:r>
                <m:t>d</m:t>
              </m:r>
            </m:sup>
          </m:sSubSup>
          <m:r>
            <m:t> </m:t>
          </m:r>
          <m:r>
            <m:rPr>
              <m:sty m:val="p"/>
            </m:rPr>
            <m:t>(</m:t>
          </m:r>
          <m:r>
            <m:t>1</m:t>
          </m:r>
          <m:r>
            <m:rPr>
              <m:sty m:val="p"/>
            </m:rPr>
            <m:t>+</m:t>
          </m:r>
          <m:r>
            <m:t>g</m:t>
          </m:r>
          <m:sSup>
            <m:e>
              <m:r>
                <m:rPr>
                  <m:sty m:val="p"/>
                </m:rPr>
                <m:t>)</m:t>
              </m:r>
            </m:e>
            <m:sup>
              <m:r>
                <m:t> </m:t>
              </m:r>
              <m:r>
                <m:t>2025</m:t>
              </m:r>
              <m:r>
                <m:rPr>
                  <m:sty m:val="p"/>
                </m:rPr>
                <m:t>−</m:t>
              </m:r>
              <m:r>
                <m:t>t</m:t>
              </m:r>
            </m:sup>
          </m:sSup>
          <m:r>
            <m:rPr>
              <m:sty m:val="p"/>
            </m:rPr>
            <m:t>,</m:t>
          </m:r>
          <m:r>
            <m:t> </m:t>
          </m:r>
          <m:sSubSup>
            <m:e>
              <m:r>
                <m:t>M</m:t>
              </m:r>
            </m:e>
            <m:sub>
              <m:r>
                <m:t>2025</m:t>
              </m:r>
            </m:sub>
            <m:sup>
              <m:r>
                <m:t>n</m:t>
              </m:r>
            </m:sup>
          </m:sSubSup>
          <m:r>
            <m:rPr>
              <m:sty m:val="p"/>
            </m:rPr>
            <m:t>=</m:t>
          </m:r>
          <m:sSubSup>
            <m:e>
              <m:r>
                <m:t>M</m:t>
              </m:r>
            </m:e>
            <m:sub>
              <m:r>
                <m:t>t</m:t>
              </m:r>
            </m:sub>
            <m:sup>
              <m:r>
                <m:t>n</m:t>
              </m:r>
            </m:sup>
          </m:sSubSup>
          <m:r>
            <m:t> </m:t>
          </m:r>
          <m:r>
            <m:rPr>
              <m:sty m:val="p"/>
            </m:rPr>
            <m:t>(</m:t>
          </m:r>
          <m:r>
            <m:t>1</m:t>
          </m:r>
          <m:r>
            <m:rPr>
              <m:sty m:val="p"/>
            </m:rPr>
            <m:t>+</m:t>
          </m:r>
          <m:r>
            <m:t>g</m:t>
          </m:r>
          <m:sSup>
            <m:e>
              <m:r>
                <m:rPr>
                  <m:sty m:val="p"/>
                </m:rPr>
                <m:t>)</m:t>
              </m:r>
            </m:e>
            <m:sup>
              <m:r>
                <m:t> </m:t>
              </m:r>
              <m:r>
                <m:t>2025</m:t>
              </m:r>
              <m:r>
                <m:rPr>
                  <m:sty m:val="p"/>
                </m:rPr>
                <m:t>−</m:t>
              </m:r>
              <m:r>
                <m:t>t</m:t>
              </m:r>
            </m:sup>
          </m:sSup>
          <m:r>
            <m:t>  </m:t>
          </m:r>
          <m:r>
            <m:rPr>
              <m:sty m:val="p"/>
            </m:rPr>
            <m:t>(</m:t>
          </m:r>
          <m:r>
            <m:t>1</m:t>
          </m:r>
          <m:r>
            <m:rPr>
              <m:sty m:val="p"/>
            </m:rPr>
            <m:t>)</m:t>
          </m:r>
        </m:oMath>
      </m:oMathPara>
    </w:p>
    <w:p>
      <w:pPr>
        <w:pStyle w:val="FirstParagraph"/>
        <w:jc w:val="both"/>
      </w:pPr>
      <w:r>
        <w:t xml:space="preserve">with g the RIPS growth rate where one is given (6 locations) and otherwise the median of those six rates, 1.73%/yr (assumption H11, range 0.65 to 2.54%). Domestic and non-domestic streams use the same factor, so M</w:t>
      </w:r>
      <w:r>
        <w:rPr>
          <w:vertAlign w:val="superscript"/>
        </w:rPr>
        <w:t xml:space="preserve">d</w:t>
      </w:r>
      <w:r>
        <w:rPr>
          <w:vertAlign w:val="subscript"/>
        </w:rPr>
        <w:t xml:space="preserve">2025</w:t>
      </w:r>
      <w:r>
        <w:t xml:space="preserve"> </w:t>
      </w:r>
      <w:r>
        <w:t xml:space="preserve">+ M</w:t>
      </w:r>
      <w:r>
        <w:rPr>
          <w:vertAlign w:val="superscript"/>
        </w:rPr>
        <w:t xml:space="preserve">n</w:t>
      </w:r>
      <w:r>
        <w:rPr>
          <w:vertAlign w:val="subscript"/>
        </w:rPr>
        <w:t xml:space="preserve">2025</w:t>
      </w:r>
      <w:r>
        <w:t xml:space="preserve"> </w:t>
      </w:r>
      <w:r>
        <w:t xml:space="preserve">= Q</w:t>
      </w:r>
      <w:r>
        <w:rPr>
          <w:vertAlign w:val="subscript"/>
        </w:rPr>
        <w:t xml:space="preserve">2025</w:t>
      </w:r>
      <w:r>
        <w:t xml:space="preserve">. The exponent is zero when the tonnage already refers to 2025. The flag</w:t>
      </w:r>
      <w:r>
        <w:t xml:space="preserve"> </w:t>
      </w:r>
      <w:r>
        <w:rPr>
          <w:i/>
          <w:iCs/>
        </w:rPr>
        <w:t xml:space="preserve">tonnage_already_2025</w:t>
      </w:r>
      <w:r>
        <w:t xml:space="preserve"> </w:t>
      </w:r>
      <w:r>
        <w:t xml:space="preserve">is set in the CSV and read by the parser, which uses Q</w:t>
      </w:r>
      <w:r>
        <w:rPr>
          <w:vertAlign w:val="subscript"/>
        </w:rPr>
        <w:t xml:space="preserve">2025</w:t>
      </w:r>
      <w:r>
        <w:t xml:space="preserve"> </w:t>
      </w:r>
      <w:r>
        <w:t xml:space="preserve">directly; an assertion in the model stops the run if the tonnage it computes differs from the CSV baseline (single-projection guard).</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687"/>
        <w:gridCol w:w="389"/>
        <w:gridCol w:w="1947"/>
        <w:gridCol w:w="3895"/>
      </w:tblGrid>
      <w:tr>
        <w:trPr>
          <w:tblHeader w:val="on"/>
        </w:trPr>
        <w:tc>
          <w:tcPr>
            <w:shd w:val="clear" w:color="auto" w:fill="DCE6F0"/>
          </w:tcPr>
          <w:p>
            <w:pPr>
              <w:pStyle w:val="Compact"/>
              <w:spacing w:after="0" w:before="0"/>
            </w:pPr>
            <w:r>
              <w:rPr>
                <w:b/>
                <w:sz w:val="16"/>
              </w:rPr>
              <w:t xml:space="preserve">Class</w:t>
            </w:r>
          </w:p>
        </w:tc>
        <w:tc>
          <w:tcPr>
            <w:shd w:val="clear" w:color="auto" w:fill="DCE6F0"/>
          </w:tcPr>
          <w:p>
            <w:pPr>
              <w:pStyle w:val="Compact"/>
              <w:spacing w:after="0" w:before="0"/>
            </w:pPr>
            <w:r>
              <w:rPr>
                <w:b/>
                <w:sz w:val="16"/>
              </w:rPr>
              <w:t xml:space="preserve">n</w:t>
            </w:r>
          </w:p>
        </w:tc>
        <w:tc>
          <w:tcPr>
            <w:shd w:val="clear" w:color="auto" w:fill="DCE6F0"/>
          </w:tcPr>
          <w:p>
            <w:pPr>
              <w:pStyle w:val="Compact"/>
              <w:spacing w:after="0" w:before="0"/>
            </w:pPr>
            <w:r>
              <w:rPr>
                <w:b/>
                <w:sz w:val="16"/>
              </w:rPr>
              <w:t xml:space="preserve">Rule (central)</w:t>
            </w:r>
          </w:p>
        </w:tc>
        <w:tc>
          <w:tcPr>
            <w:shd w:val="clear" w:color="auto" w:fill="DCE6F0"/>
          </w:tcPr>
          <w:p>
            <w:pPr>
              <w:pStyle w:val="Compact"/>
              <w:spacing w:after="0" w:before="0"/>
            </w:pPr>
            <w:r>
              <w:rPr>
                <w:b/>
                <w:sz w:val="16"/>
              </w:rPr>
              <w:t xml:space="preserve">Locations</w:t>
            </w:r>
          </w:p>
        </w:tc>
      </w:tr>
      <w:tr>
        <w:tc>
          <w:tcPr/>
          <w:p>
            <w:pPr>
              <w:pStyle w:val="Compact"/>
              <w:spacing w:after="0" w:before="0"/>
            </w:pPr>
            <w:r>
              <w:rPr>
                <w:sz w:val="16"/>
              </w:rPr>
              <w:t xml:space="preserve">stated in source table</w:t>
            </w:r>
          </w:p>
        </w:tc>
        <w:tc>
          <w:tcPr/>
          <w:p>
            <w:pPr>
              <w:pStyle w:val="Compact"/>
              <w:spacing w:after="0" w:before="0"/>
            </w:pPr>
            <w:r>
              <w:rPr>
                <w:sz w:val="16"/>
              </w:rPr>
              <w:t xml:space="preserve">12</w:t>
            </w:r>
          </w:p>
        </w:tc>
        <w:tc>
          <w:tcPr/>
          <w:p>
            <w:pPr>
              <w:pStyle w:val="Compact"/>
              <w:spacing w:after="0" w:before="0"/>
            </w:pPr>
            <w:r>
              <w:rPr>
                <w:sz w:val="16"/>
              </w:rPr>
              <w:t xml:space="preserve">projected once from the stated year</w:t>
            </w:r>
          </w:p>
        </w:tc>
        <w:tc>
          <w:tcPr/>
          <w:p>
            <w:pPr>
              <w:pStyle w:val="Compact"/>
              <w:spacing w:after="0" w:before="0"/>
            </w:pPr>
            <w:r>
              <w:rPr>
                <w:sz w:val="16"/>
              </w:rPr>
              <w:t xml:space="preserve">Kota Padang, Kab. Bogor, Kab. Serang, Kota Denpasar, Kab. Cianjur, Kab. Indramayu, Kab. Pati, Kab. Pandeglang, Kab. Temanggung, Kab. Pekalongan, Kota Pekalongan, Kota Magelang</w:t>
            </w:r>
          </w:p>
        </w:tc>
      </w:tr>
      <w:tr>
        <w:tc>
          <w:tcPr/>
          <w:p>
            <w:pPr>
              <w:pStyle w:val="Compact"/>
              <w:spacing w:after="0" w:before="0"/>
            </w:pPr>
            <w:r>
              <w:rPr>
                <w:sz w:val="16"/>
              </w:rPr>
              <w:t xml:space="preserve">overview index year unverified</w:t>
            </w:r>
          </w:p>
        </w:tc>
        <w:tc>
          <w:tcPr/>
          <w:p>
            <w:pPr>
              <w:pStyle w:val="Compact"/>
              <w:spacing w:after="0" w:before="0"/>
            </w:pPr>
            <w:r>
              <w:rPr>
                <w:sz w:val="16"/>
              </w:rPr>
              <w:t xml:space="preserve">8</w:t>
            </w:r>
          </w:p>
        </w:tc>
        <w:tc>
          <w:tcPr/>
          <w:p>
            <w:pPr>
              <w:pStyle w:val="Compact"/>
              <w:spacing w:after="0" w:before="0"/>
            </w:pPr>
            <w:r>
              <w:rPr>
                <w:sz w:val="16"/>
              </w:rPr>
              <w:t xml:space="preserve">used as reported; alternative projected from t</w:t>
            </w:r>
            <w:r>
              <w:rPr>
                <w:sz w:val="16"/>
                <w:vertAlign w:val="subscript"/>
              </w:rPr>
              <w:t xml:space="preserve">c</w:t>
            </w:r>
          </w:p>
        </w:tc>
        <w:tc>
          <w:tcPr/>
          <w:p>
            <w:pPr>
              <w:pStyle w:val="Compact"/>
              <w:spacing w:after="0" w:before="0"/>
            </w:pPr>
            <w:r>
              <w:rPr>
                <w:sz w:val="16"/>
              </w:rPr>
              <w:t xml:space="preserve">Kota Semarang, Kab. Brebes, Kab. Nganjuk, Kab. Magelang, Kab. Sragen, Kab. Kutai Kartanegara, Kab. Kendal, Kab. Wonogiri</w:t>
            </w:r>
          </w:p>
        </w:tc>
      </w:tr>
      <w:tr>
        <w:tc>
          <w:tcPr/>
          <w:p>
            <w:pPr>
              <w:pStyle w:val="Compact"/>
              <w:spacing w:after="0" w:before="0"/>
            </w:pPr>
            <w:r>
              <w:rPr>
                <w:sz w:val="16"/>
              </w:rPr>
              <w:t xml:space="preserve">RIPS projection for 2025</w:t>
            </w:r>
          </w:p>
        </w:tc>
        <w:tc>
          <w:tcPr/>
          <w:p>
            <w:pPr>
              <w:pStyle w:val="Compact"/>
              <w:spacing w:after="0" w:before="0"/>
            </w:pPr>
            <w:r>
              <w:rPr>
                <w:sz w:val="16"/>
              </w:rPr>
              <w:t xml:space="preserve">1</w:t>
            </w:r>
          </w:p>
        </w:tc>
        <w:tc>
          <w:tcPr/>
          <w:p>
            <w:pPr>
              <w:pStyle w:val="Compact"/>
              <w:spacing w:after="0" w:before="0"/>
            </w:pPr>
            <w:r>
              <w:rPr>
                <w:sz w:val="16"/>
              </w:rPr>
              <w:t xml:space="preserve">used as reported; flagged as a projection</w:t>
            </w:r>
          </w:p>
        </w:tc>
        <w:tc>
          <w:tcPr/>
          <w:p>
            <w:pPr>
              <w:pStyle w:val="Compact"/>
              <w:spacing w:after="0" w:before="0"/>
            </w:pPr>
            <w:r>
              <w:rPr>
                <w:sz w:val="16"/>
              </w:rPr>
              <w:t xml:space="preserve">Kab. Pemalang</w:t>
            </w:r>
          </w:p>
        </w:tc>
      </w:tr>
    </w:tbl>
    <w:p>
      <w:pPr>
        <w:pStyle w:val="Caption"/>
      </w:pPr>
      <w:r>
        <w:t xml:space="preserve">Table S1: Tonnage-year classes. The overview class also covers Kota Semarang, Kab. Sragen and Kab. Kutai Kartanegara, whose source pages cite the same overview index although v2 and the package projected them from the composition year.</w:t>
      </w:r>
    </w:p>
    <w:p>
      <w:pPr>
        <w:pStyle w:val="BodyText"/>
        <w:jc w:val="both"/>
      </w:pPr>
      <w:r>
        <w:rPr>
          <w:b/>
          <w:bCs/>
        </w:rPr>
        <w:t xml:space="preserve">Decision on overview totals.</w:t>
      </w:r>
      <w:r>
        <w:t xml:space="preserve"> </w:t>
      </w:r>
      <w:r>
        <w:t xml:space="preserve">The package treated five overview totals as 2025 values on the basis of a keyword in free-text notes, while three other rows citing the same overview index were projected. Neither the year of the overview index nor its relation to the composition year is shown in the rows held. v3 therefore applies one rule to all eight: the total is used as reported (no growth applied, so no double projection if it is already current) and its year is left blank with flag T1. The alternative, that the total dates from the composition year, is computed for every row (Q2025_alt_tpd) and run as the scenario</w:t>
      </w:r>
      <w:r>
        <w:t xml:space="preserve"> </w:t>
      </w:r>
      <w:r>
        <w:rPr>
          <w:i/>
          <w:iCs/>
        </w:rPr>
        <w:t xml:space="preserve">tonnage_overview_projected</w:t>
      </w:r>
      <w:r>
        <w:t xml:space="preserve">. It raises tonnage by up to 21% (Kab. Kendal, composition 2014) and changes no most-probable pathway (Section 8). Kab. Pemalang’s 2025 tonnage is itself a RIPS projection (population × 0.31 kg/cap/day) and is flagged T2.</w:t>
      </w:r>
    </w:p>
    <w:p>
      <w:pPr>
        <w:pStyle w:val="CaptionedFigure"/>
      </w:pPr>
      <w:r>
        <w:drawing>
          <wp:inline>
            <wp:extent cx="5219999" cy="3316235"/>
            <wp:effectExtent b="0" l="0" r="0" t="0"/>
            <wp:docPr descr="Figure 1: 2025 tonnage by location and tonnage-year class. Hatched: the projected alternative for overview totals. Ticks: reported source value Qt." title="" id="12" name="Picture"/>
            <a:graphic>
              <a:graphicData uri="http://schemas.openxmlformats.org/drawingml/2006/picture">
                <pic:pic>
                  <pic:nvPicPr>
                    <pic:cNvPr descr="/home/user/claude/MSW_pathway_model_v3/docs/figures/fig_tonnage.png" id="13" name="Picture"/>
                    <pic:cNvPicPr>
                      <a:picLocks noChangeArrowheads="1" noChangeAspect="1"/>
                    </pic:cNvPicPr>
                  </pic:nvPicPr>
                  <pic:blipFill>
                    <a:blip r:embed="rId11"/>
                    <a:stretch>
                      <a:fillRect/>
                    </a:stretch>
                  </pic:blipFill>
                  <pic:spPr bwMode="auto">
                    <a:xfrm>
                      <a:off x="0" y="0"/>
                      <a:ext cx="5219999" cy="3316235"/>
                    </a:xfrm>
                    <a:prstGeom prst="rect">
                      <a:avLst/>
                    </a:prstGeom>
                    <a:noFill/>
                    <a:ln w="9525">
                      <a:noFill/>
                      <a:headEnd/>
                      <a:tailEnd/>
                    </a:ln>
                  </pic:spPr>
                </pic:pic>
              </a:graphicData>
            </a:graphic>
          </wp:inline>
        </w:drawing>
      </w:r>
    </w:p>
    <w:p>
      <w:pPr>
        <w:pStyle w:val="ImageCaption"/>
      </w:pPr>
      <w:r>
        <w:t xml:space="preserve">Figure 1: 2025 tonnage by location and tonnage-year class. Hatched: the projected alternative for overview totals. Ticks: reported source value Q</w:t>
      </w:r>
      <w:r>
        <w:rPr>
          <w:vertAlign w:val="subscript"/>
        </w:rPr>
        <w:t xml:space="preserve">t</w:t>
      </w:r>
      <w:r>
        <w:t xml:space="preserve">.</w:t>
      </w:r>
    </w:p>
    <w:bookmarkEnd w:id="14"/>
    <w:bookmarkStart w:id="15" w:name="Xcacac214102b9d1b1b89f79c267e6833568fc7a"/>
    <w:p>
      <w:pPr>
        <w:pStyle w:val="Heading2"/>
      </w:pPr>
      <w:r>
        <w:t xml:space="preserve">3.2 Composition: a sampling-year proxy, normalised per stream</w:t>
      </w:r>
    </w:p>
    <w:p>
      <w:pPr>
        <w:pStyle w:val="FirstParagraph"/>
        <w:jc w:val="both"/>
      </w:pPr>
      <w:r>
        <w:t xml:space="preserve">RIPS compositions are wet-mass percentages measured in the sampling year with the SNI 19-3964-1994 method. No source gives a defensible annual composition trend, so the shares are used for 2025 unchanged and labelled</w:t>
      </w:r>
      <w:r>
        <w:t xml:space="preserve"> </w:t>
      </w:r>
      <w:r>
        <w:rPr>
          <w:i/>
          <w:iCs/>
        </w:rPr>
        <w:t xml:space="preserve">RIPS sampling-year composition held constant as 2025 proxy</w:t>
      </w:r>
      <w:r>
        <w:t xml:space="preserve"> </w:t>
      </w:r>
      <w:r>
        <w:t xml:space="preserve">(flag C0). Growth is never applied to percentages. Rounded source totals (99.99 to 100.10%) are normalised per stream k and the factor is stored:</w:t>
      </w:r>
    </w:p>
    <w:p>
      <w:pPr>
        <w:pStyle w:val="BodyText"/>
      </w:pPr>
      <m:oMathPara>
        <m:oMathParaPr>
          <m:jc m:val="center"/>
        </m:oMathParaPr>
        <m:oMath>
          <m:sSubSup>
            <m:e>
              <m:r>
                <m:t>s</m:t>
              </m:r>
            </m:e>
            <m:sub>
              <m:r>
                <m:t>j</m:t>
              </m:r>
            </m:sub>
            <m:sup>
              <m:r>
                <m:rPr>
                  <m:sty m:val="p"/>
                </m:rPr>
                <m:t>(</m:t>
              </m:r>
              <m:r>
                <m:t>k</m:t>
              </m:r>
              <m:r>
                <m:rPr>
                  <m:sty m:val="p"/>
                </m:rPr>
                <m:t>)</m:t>
              </m:r>
            </m:sup>
          </m:sSubSup>
          <m:r>
            <m:rPr>
              <m:sty m:val="p"/>
            </m:rPr>
            <m:t>=</m:t>
          </m:r>
          <m:f>
            <m:fPr>
              <m:type m:val="bar"/>
            </m:fPr>
            <m:num>
              <m:sSubSup>
                <m:e>
                  <m:r>
                    <m:t>x</m:t>
                  </m:r>
                </m:e>
                <m:sub>
                  <m:r>
                    <m:t>j</m:t>
                  </m:r>
                </m:sub>
                <m:sup>
                  <m:r>
                    <m:rPr>
                      <m:sty m:val="p"/>
                    </m:rPr>
                    <m:t>(</m:t>
                  </m:r>
                  <m:r>
                    <m:t>k</m:t>
                  </m:r>
                  <m:r>
                    <m:rPr>
                      <m:sty m:val="p"/>
                    </m:rPr>
                    <m:t>)</m:t>
                  </m:r>
                </m:sup>
              </m:sSubSup>
            </m:num>
            <m:den>
              <m:nary>
                <m:naryPr>
                  <m:chr m:val="∑"/>
                  <m:limLoc m:val="undOvr"/>
                  <m:subHide m:val="off"/>
                  <m:supHide m:val="on"/>
                </m:naryPr>
                <m:sub>
                  <m:r>
                    <m:t>i</m:t>
                  </m:r>
                </m:sub>
                <m:sup>
                  <m:r>
                    <m:t>​</m:t>
                  </m:r>
                </m:sup>
                <m:e>
                  <m:sSubSup>
                    <m:e>
                      <m:r>
                        <m:t>x</m:t>
                      </m:r>
                    </m:e>
                    <m:sub>
                      <m:r>
                        <m:t>i</m:t>
                      </m:r>
                    </m:sub>
                    <m:sup>
                      <m:r>
                        <m:rPr>
                          <m:sty m:val="p"/>
                        </m:rPr>
                        <m:t>(</m:t>
                      </m:r>
                      <m:r>
                        <m:t>k</m:t>
                      </m:r>
                      <m:r>
                        <m:rPr>
                          <m:sty m:val="p"/>
                        </m:rPr>
                        <m:t>)</m:t>
                      </m:r>
                    </m:sup>
                  </m:sSubSup>
                </m:e>
              </m:nary>
            </m:den>
          </m:f>
          <m:r>
            <m:rPr>
              <m:sty m:val="p"/>
            </m:rPr>
            <m:t>,</m:t>
          </m:r>
          <m:r>
            <m:t>  </m:t>
          </m:r>
          <m:sSup>
            <m:e>
              <m:r>
                <m:t>f</m:t>
              </m:r>
            </m:e>
            <m:sup>
              <m:r>
                <m:rPr>
                  <m:sty m:val="p"/>
                </m:rPr>
                <m:t>(</m:t>
              </m:r>
              <m:r>
                <m:t>k</m:t>
              </m:r>
              <m:r>
                <m:rPr>
                  <m:sty m:val="p"/>
                </m:rPr>
                <m:t>)</m:t>
              </m:r>
            </m:sup>
          </m:sSup>
          <m:r>
            <m:rPr>
              <m:sty m:val="p"/>
            </m:rPr>
            <m:t>=</m:t>
          </m:r>
          <m:f>
            <m:fPr>
              <m:type m:val="bar"/>
            </m:fPr>
            <m:num>
              <m:r>
                <m:t>100</m:t>
              </m:r>
            </m:num>
            <m:den>
              <m:nary>
                <m:naryPr>
                  <m:chr m:val="∑"/>
                  <m:limLoc m:val="undOvr"/>
                  <m:subHide m:val="off"/>
                  <m:supHide m:val="on"/>
                </m:naryPr>
                <m:sub>
                  <m:r>
                    <m:t>i</m:t>
                  </m:r>
                </m:sub>
                <m:sup>
                  <m:r>
                    <m:t>​</m:t>
                  </m:r>
                </m:sup>
                <m:e>
                  <m:sSubSup>
                    <m:e>
                      <m:r>
                        <m:t>x</m:t>
                      </m:r>
                    </m:e>
                    <m:sub>
                      <m:r>
                        <m:t>i</m:t>
                      </m:r>
                    </m:sub>
                    <m:sup>
                      <m:r>
                        <m:rPr>
                          <m:sty m:val="p"/>
                        </m:rPr>
                        <m:t>(</m:t>
                      </m:r>
                      <m:r>
                        <m:t>k</m:t>
                      </m:r>
                      <m:r>
                        <m:rPr>
                          <m:sty m:val="p"/>
                        </m:rPr>
                        <m:t>)</m:t>
                      </m:r>
                    </m:sup>
                  </m:sSubSup>
                </m:e>
              </m:nary>
            </m:den>
          </m:f>
          <m:r>
            <m:rPr>
              <m:sty m:val="p"/>
            </m:rPr>
            <m:t>,</m:t>
          </m:r>
          <m:r>
            <m:t>  </m:t>
          </m:r>
          <m:sSub>
            <m:e>
              <m:r>
                <m:t>s</m:t>
              </m:r>
            </m:e>
            <m:sub>
              <m:r>
                <m:t>j</m:t>
              </m:r>
            </m:sub>
          </m:sSub>
          <m:r>
            <m:rPr>
              <m:sty m:val="p"/>
            </m:rPr>
            <m:t>=</m:t>
          </m:r>
          <m:f>
            <m:fPr>
              <m:type m:val="bar"/>
            </m:fPr>
            <m:num>
              <m:sSubSup>
                <m:e>
                  <m:r>
                    <m:t>M</m:t>
                  </m:r>
                </m:e>
                <m:sub>
                  <m:r>
                    <m:t>2025</m:t>
                  </m:r>
                </m:sub>
                <m:sup>
                  <m:r>
                    <m:t>d</m:t>
                  </m:r>
                </m:sup>
              </m:sSubSup>
              <m:r>
                <m:t> </m:t>
              </m:r>
              <m:sSubSup>
                <m:e>
                  <m:r>
                    <m:t>s</m:t>
                  </m:r>
                </m:e>
                <m:sub>
                  <m:r>
                    <m:t>j</m:t>
                  </m:r>
                </m:sub>
                <m:sup>
                  <m:r>
                    <m:rPr>
                      <m:sty m:val="p"/>
                    </m:rPr>
                    <m:t>(</m:t>
                  </m:r>
                  <m:r>
                    <m:t>d</m:t>
                  </m:r>
                  <m:r>
                    <m:rPr>
                      <m:sty m:val="p"/>
                    </m:rPr>
                    <m:t>)</m:t>
                  </m:r>
                </m:sup>
              </m:sSubSup>
              <m:r>
                <m:rPr>
                  <m:sty m:val="p"/>
                </m:rPr>
                <m:t>+</m:t>
              </m:r>
              <m:sSubSup>
                <m:e>
                  <m:r>
                    <m:t>M</m:t>
                  </m:r>
                </m:e>
                <m:sub>
                  <m:r>
                    <m:t>2025</m:t>
                  </m:r>
                </m:sub>
                <m:sup>
                  <m:r>
                    <m:t>n</m:t>
                  </m:r>
                </m:sup>
              </m:sSubSup>
              <m:r>
                <m:t> </m:t>
              </m:r>
              <m:sSubSup>
                <m:e>
                  <m:r>
                    <m:t>s</m:t>
                  </m:r>
                </m:e>
                <m:sub>
                  <m:r>
                    <m:t>j</m:t>
                  </m:r>
                </m:sub>
                <m:sup>
                  <m:r>
                    <m:rPr>
                      <m:sty m:val="p"/>
                    </m:rPr>
                    <m:t>(</m:t>
                  </m:r>
                  <m:r>
                    <m:t>n</m:t>
                  </m:r>
                  <m:r>
                    <m:rPr>
                      <m:sty m:val="p"/>
                    </m:rPr>
                    <m:t>)</m:t>
                  </m:r>
                </m:sup>
              </m:sSubSup>
            </m:num>
            <m:den>
              <m:sSubSup>
                <m:e>
                  <m:r>
                    <m:t>M</m:t>
                  </m:r>
                </m:e>
                <m:sub>
                  <m:r>
                    <m:t>2025</m:t>
                  </m:r>
                </m:sub>
                <m:sup>
                  <m:r>
                    <m:t>d</m:t>
                  </m:r>
                </m:sup>
              </m:sSubSup>
              <m:r>
                <m:rPr>
                  <m:sty m:val="p"/>
                </m:rPr>
                <m:t>+</m:t>
              </m:r>
              <m:sSubSup>
                <m:e>
                  <m:r>
                    <m:t>M</m:t>
                  </m:r>
                </m:e>
                <m:sub>
                  <m:r>
                    <m:t>2025</m:t>
                  </m:r>
                </m:sub>
                <m:sup>
                  <m:r>
                    <m:t>n</m:t>
                  </m:r>
                </m:sup>
              </m:sSubSup>
            </m:den>
          </m:f>
          <m:r>
            <m:t>  </m:t>
          </m:r>
          <m:r>
            <m:rPr>
              <m:sty m:val="p"/>
            </m:rPr>
            <m:t>(</m:t>
          </m:r>
          <m:r>
            <m:t>2</m:t>
          </m:r>
          <m:r>
            <m:rPr>
              <m:sty m:val="p"/>
            </m:rPr>
            <m:t>)</m:t>
          </m:r>
        </m:oMath>
      </m:oMathPara>
    </w:p>
    <w:p>
      <w:pPr>
        <w:pStyle w:val="FirstParagraph"/>
        <w:jc w:val="both"/>
      </w:pPr>
      <w:r>
        <w:t xml:space="preserve">Kab. Pemalang (100.10%) has f = 0.9990. Blank category cells are absent categories: glass is</w:t>
      </w:r>
      <w:r>
        <w:t xml:space="preserve"> </w:t>
      </w:r>
      <w:r>
        <w:rPr>
          <w:i/>
          <w:iCs/>
        </w:rPr>
        <w:t xml:space="preserve">reported</w:t>
      </w:r>
      <w:r>
        <w:t xml:space="preserve"> </w:t>
      </w:r>
      <w:r>
        <w:t xml:space="preserve">in 15 locations,</w:t>
      </w:r>
      <w:r>
        <w:t xml:space="preserve"> </w:t>
      </w:r>
      <w:r>
        <w:rPr>
          <w:i/>
          <w:iCs/>
        </w:rPr>
        <w:t xml:space="preserve">folded into lain-lain</w:t>
      </w:r>
      <w:r>
        <w:t xml:space="preserve"> </w:t>
      </w:r>
      <w:r>
        <w:t xml:space="preserve">in 5 and</w:t>
      </w:r>
      <w:r>
        <w:t xml:space="preserve"> </w:t>
      </w:r>
      <w:r>
        <w:rPr>
          <w:i/>
          <w:iCs/>
        </w:rPr>
        <w:t xml:space="preserve">not reported</w:t>
      </w:r>
      <w:r>
        <w:t xml:space="preserve"> </w:t>
      </w:r>
      <w:r>
        <w:t xml:space="preserve">in Kota Padang, and the three cases are flagged separately (C3, C4). Rules L (organic aggregate split with share γ) and W (kayu treated as garden) of v2 are kept as sampled harmonisation priors. Semarang and Nganjuk report a non-domestic composition but no non-domestic tonnage; it receives zero weight (flag C6). All compositions refer to waste at generation or collection, not at the landfill gate.</w:t>
      </w:r>
    </w:p>
    <w:bookmarkEnd w:id="15"/>
    <w:bookmarkStart w:id="19" w:name="managed-waste-and-table-5"/>
    <w:p>
      <w:pPr>
        <w:pStyle w:val="Heading2"/>
      </w:pPr>
      <w:r>
        <w:t xml:space="preserve">3.3 Managed waste and Table 5</w:t>
      </w:r>
    </w:p>
    <w:p>
      <w:pPr>
        <w:pStyle w:val="FirstParagraph"/>
        <w:jc w:val="both"/>
      </w:pPr>
      <w:r>
        <w:t xml:space="preserve">The managed share μ is used only in the managed-tonnage scenarios, where it scales the plant size: Q</w:t>
      </w:r>
      <w:r>
        <w:rPr>
          <w:vertAlign w:val="subscript"/>
        </w:rPr>
        <w:t xml:space="preserve">managed</w:t>
      </w:r>
      <w:r>
        <w:t xml:space="preserve"> </w:t>
      </w:r>
      <w:r>
        <w:t xml:space="preserve">= μ Q</w:t>
      </w:r>
      <w:r>
        <w:rPr>
          <w:vertAlign w:val="subscript"/>
        </w:rPr>
        <w:t xml:space="preserve">2025</w:t>
      </w:r>
      <w:r>
        <w:t xml:space="preserve">. Holding μ constant from its source year is a scenario assumption, not a 2025 observation. The package filled the seven blanks of v2 with candidates whose definitions differ; v3 keeps every candidate visible instead of choosing by numerical similarity:</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584"/>
        <w:gridCol w:w="2640"/>
        <w:gridCol w:w="3696"/>
      </w:tblGrid>
      <w:tr>
        <w:trPr>
          <w:tblHeader w:val="on"/>
        </w:trPr>
        <w:tc>
          <w:tcPr>
            <w:shd w:val="clear" w:color="auto" w:fill="DCE6F0"/>
          </w:tcPr>
          <w:p>
            <w:pPr>
              <w:pStyle w:val="Compact"/>
              <w:spacing w:after="0" w:before="0"/>
            </w:pPr>
            <w:r>
              <w:rPr>
                <w:b/>
                <w:sz w:val="16"/>
              </w:rPr>
              <w:t xml:space="preserve">Indicator family</w:t>
            </w:r>
          </w:p>
        </w:tc>
        <w:tc>
          <w:tcPr>
            <w:shd w:val="clear" w:color="auto" w:fill="DCE6F0"/>
          </w:tcPr>
          <w:p>
            <w:pPr>
              <w:pStyle w:val="Compact"/>
              <w:spacing w:after="0" w:before="0"/>
            </w:pPr>
            <w:r>
              <w:rPr>
                <w:b/>
                <w:sz w:val="16"/>
              </w:rPr>
              <w:t xml:space="preserve">Locations</w:t>
            </w:r>
          </w:p>
        </w:tc>
        <w:tc>
          <w:tcPr>
            <w:shd w:val="clear" w:color="auto" w:fill="DCE6F0"/>
          </w:tcPr>
          <w:p>
            <w:pPr>
              <w:pStyle w:val="Compact"/>
              <w:spacing w:after="0" w:before="0"/>
            </w:pPr>
            <w:r>
              <w:rPr>
                <w:b/>
                <w:sz w:val="16"/>
              </w:rPr>
              <w:t xml:space="preserve">Definition and status</w:t>
            </w:r>
          </w:p>
        </w:tc>
      </w:tr>
      <w:tr>
        <w:tc>
          <w:tcPr/>
          <w:p>
            <w:pPr>
              <w:pStyle w:val="Compact"/>
              <w:spacing w:after="0" w:before="0"/>
            </w:pPr>
            <w:r>
              <w:rPr>
                <w:sz w:val="16"/>
              </w:rPr>
              <w:t xml:space="preserve">RIPS status index (M1)</w:t>
            </w:r>
          </w:p>
        </w:tc>
        <w:tc>
          <w:tcPr/>
          <w:p>
            <w:pPr>
              <w:pStyle w:val="Compact"/>
              <w:spacing w:after="0" w:before="0"/>
            </w:pPr>
            <w:r>
              <w:rPr>
                <w:sz w:val="16"/>
              </w:rPr>
              <w:t xml:space="preserve">14 legacy + 5 candidates (Bogor, Denpasar, Cianjur, Indramayu, Semarang)</w:t>
            </w:r>
          </w:p>
        </w:tc>
        <w:tc>
          <w:tcPr/>
          <w:p>
            <w:pPr>
              <w:pStyle w:val="Compact"/>
              <w:spacing w:after="0" w:before="0"/>
            </w:pPr>
            <w:r>
              <w:rPr>
                <w:sz w:val="16"/>
              </w:rPr>
              <w:t xml:space="preserve">Same index series as v2 Table 5. Its definition and denominator are not documented in the package rows; comparable only within the series.</w:t>
            </w:r>
          </w:p>
        </w:tc>
      </w:tr>
      <w:tr>
        <w:tc>
          <w:tcPr/>
          <w:p>
            <w:pPr>
              <w:pStyle w:val="Compact"/>
              <w:spacing w:after="0" w:before="0"/>
            </w:pPr>
            <w:r>
              <w:rPr>
                <w:sz w:val="16"/>
              </w:rPr>
              <w:t xml:space="preserve">Local service / handling indicators</w:t>
            </w:r>
          </w:p>
        </w:tc>
        <w:tc>
          <w:tcPr/>
          <w:p>
            <w:pPr>
              <w:pStyle w:val="Compact"/>
              <w:spacing w:after="0" w:before="0"/>
            </w:pPr>
            <w:r>
              <w:rPr>
                <w:sz w:val="16"/>
              </w:rPr>
              <w:t xml:space="preserve">Bogor 35.15%, Denpasar 96.91%, Cianjur 30.36%, Indramayu 61.52%, Semarang 59.43%</w:t>
            </w:r>
          </w:p>
        </w:tc>
        <w:tc>
          <w:tcPr/>
          <w:p>
            <w:pPr>
              <w:pStyle w:val="Compact"/>
              <w:spacing w:after="0" w:before="0"/>
            </w:pPr>
            <w:r>
              <w:rPr>
                <w:sz w:val="16"/>
              </w:rPr>
              <w:t xml:space="preserve">Urban managed waste, reduction + handling, or service level. Different numerators and denominators from the index; kept as alternatives, not merged.</w:t>
            </w:r>
          </w:p>
        </w:tc>
      </w:tr>
      <w:tr>
        <w:tc>
          <w:tcPr/>
          <w:p>
            <w:pPr>
              <w:pStyle w:val="Compact"/>
              <w:spacing w:after="0" w:before="0"/>
            </w:pPr>
            <w:r>
              <w:rPr>
                <w:sz w:val="16"/>
              </w:rPr>
              <w:t xml:space="preserve">Padang, derived</w:t>
            </w:r>
          </w:p>
        </w:tc>
        <w:tc>
          <w:tcPr/>
          <w:p>
            <w:pPr>
              <w:pStyle w:val="Compact"/>
              <w:spacing w:after="0" w:before="0"/>
            </w:pPr>
            <w:r>
              <w:rPr>
                <w:sz w:val="16"/>
              </w:rPr>
              <w:t xml:space="preserve">93.71% (upper), 71.82% (TPA delivery only)</w:t>
            </w:r>
          </w:p>
        </w:tc>
        <w:tc>
          <w:tcPr/>
          <w:p>
            <w:pPr>
              <w:pStyle w:val="Compact"/>
              <w:spacing w:after="0" w:before="0"/>
            </w:pPr>
            <w:r>
              <w:rPr>
                <w:sz w:val="16"/>
              </w:rPr>
              <w:t xml:space="preserve">(141.76 recovery + 465.08 to TPA) / 647.57. Source is a draft feasibility study (p. 94); the recovery may be a potential and the denominator is the 2023 RIPS total. Provisional; not an observed managed share.</w:t>
            </w:r>
          </w:p>
        </w:tc>
      </w:tr>
      <w:tr>
        <w:tc>
          <w:tcPr/>
          <w:p>
            <w:pPr>
              <w:pStyle w:val="Compact"/>
              <w:spacing w:after="0" w:before="0"/>
            </w:pPr>
            <w:r>
              <w:rPr>
                <w:sz w:val="16"/>
              </w:rPr>
              <w:t xml:space="preserve">Serang, local observed</w:t>
            </w:r>
          </w:p>
        </w:tc>
        <w:tc>
          <w:tcPr/>
          <w:p>
            <w:pPr>
              <w:pStyle w:val="Compact"/>
              <w:spacing w:after="0" w:before="0"/>
            </w:pPr>
            <w:r>
              <w:rPr>
                <w:sz w:val="16"/>
              </w:rPr>
              <w:t xml:space="preserve">7.45% (14% target as scenario only)</w:t>
            </w:r>
          </w:p>
        </w:tc>
        <w:tc>
          <w:tcPr/>
          <w:p>
            <w:pPr>
              <w:pStyle w:val="Compact"/>
              <w:spacing w:after="0" w:before="0"/>
            </w:pPr>
            <w:r>
              <w:rPr>
                <w:sz w:val="16"/>
              </w:rPr>
              <w:t xml:space="preserve">Existing condition from the master-plan executive summary (p. 154); the 14% is a 2025 service target (pp. 180-181).</w:t>
            </w:r>
          </w:p>
        </w:tc>
      </w:tr>
    </w:tbl>
    <w:p>
      <w:pPr>
        <w:pStyle w:val="Caption"/>
      </w:pPr>
      <w:r>
        <w:t xml:space="preserve">Table S2: Families of managed-waste indicators held in the database.</w:t>
      </w:r>
    </w:p>
    <w:p>
      <w:pPr>
        <w:pStyle w:val="BodyText"/>
        <w:jc w:val="both"/>
      </w:pPr>
      <w:r>
        <w:t xml:space="preserve">Two series are run and reported side by side.</w:t>
      </w:r>
      <w:r>
        <w:t xml:space="preserve"> </w:t>
      </w:r>
      <w:r>
        <w:rPr>
          <w:b/>
          <w:bCs/>
        </w:rPr>
        <w:t xml:space="preserve">M1</w:t>
      </w:r>
      <w:r>
        <w:t xml:space="preserve"> </w:t>
      </w:r>
      <w:r>
        <w:t xml:space="preserve">uses the status index only: 19 locations, Padang and Serang n.a.</w:t>
      </w:r>
      <w:r>
        <w:t xml:space="preserve"> </w:t>
      </w:r>
      <w:r>
        <w:rPr>
          <w:b/>
          <w:bCs/>
        </w:rPr>
        <w:t xml:space="preserve">M2</w:t>
      </w:r>
      <w:r>
        <w:t xml:space="preserve"> </w:t>
      </w:r>
      <w:r>
        <w:t xml:space="preserve">uses the local indicator where one is held (Padang at its 71.82% lower bound, because the recovery numerator is unverified) and the status index elsewhere; it mixes definitions by construction and is labelled so. Neither series implies that all 21 locations have the same indicator. Qmanaged ≤ Q</w:t>
      </w:r>
      <w:r>
        <w:rPr>
          <w:vertAlign w:val="subscript"/>
        </w:rPr>
        <w:t xml:space="preserve">2025</w:t>
      </w:r>
      <w:r>
        <w:t xml:space="preserve"> </w:t>
      </w:r>
      <w:r>
        <w:t xml:space="preserve">holds for every value.</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52"/>
        <w:gridCol w:w="660"/>
        <w:gridCol w:w="792"/>
        <w:gridCol w:w="1188"/>
        <w:gridCol w:w="660"/>
        <w:gridCol w:w="660"/>
        <w:gridCol w:w="2508"/>
      </w:tblGrid>
      <w:tr>
        <w:trPr>
          <w:tblHeader w:val="on"/>
        </w:trPr>
        <w:tc>
          <w:tcPr>
            <w:shd w:val="clear" w:color="auto" w:fill="DCE6F0"/>
          </w:tcPr>
          <w:p>
            <w:pPr>
              <w:pStyle w:val="Compact"/>
              <w:spacing w:after="0" w:before="0"/>
            </w:pPr>
            <w:r>
              <w:rPr>
                <w:b/>
                <w:sz w:val="16"/>
              </w:rPr>
              <w:t xml:space="preserve">Location</w:t>
            </w:r>
          </w:p>
        </w:tc>
        <w:tc>
          <w:tcPr>
            <w:shd w:val="clear" w:color="auto" w:fill="DCE6F0"/>
          </w:tcPr>
          <w:p>
            <w:pPr>
              <w:pStyle w:val="Compact"/>
              <w:spacing w:after="0" w:before="0"/>
            </w:pPr>
            <w:r>
              <w:rPr>
                <w:b/>
                <w:sz w:val="16"/>
              </w:rPr>
              <w:t xml:space="preserve">Q2025 t/d</w:t>
            </w:r>
          </w:p>
        </w:tc>
        <w:tc>
          <w:tcPr>
            <w:shd w:val="clear" w:color="auto" w:fill="DCE6F0"/>
          </w:tcPr>
          <w:p>
            <w:pPr>
              <w:pStyle w:val="Compact"/>
              <w:spacing w:after="0" w:before="0"/>
            </w:pPr>
            <w:r>
              <w:rPr>
                <w:b/>
                <w:sz w:val="16"/>
              </w:rPr>
              <w:t xml:space="preserve">Status index</w:t>
            </w:r>
          </w:p>
        </w:tc>
        <w:tc>
          <w:tcPr>
            <w:shd w:val="clear" w:color="auto" w:fill="DCE6F0"/>
          </w:tcPr>
          <w:p>
            <w:pPr>
              <w:pStyle w:val="Compact"/>
              <w:spacing w:after="0" w:before="0"/>
            </w:pPr>
            <w:r>
              <w:rPr>
                <w:b/>
                <w:sz w:val="16"/>
              </w:rPr>
              <w:t xml:space="preserve">Local</w:t>
            </w:r>
          </w:p>
        </w:tc>
        <w:tc>
          <w:tcPr>
            <w:shd w:val="clear" w:color="auto" w:fill="DCE6F0"/>
          </w:tcPr>
          <w:p>
            <w:pPr>
              <w:pStyle w:val="Compact"/>
              <w:spacing w:after="0" w:before="0"/>
            </w:pPr>
            <w:r>
              <w:rPr>
                <w:b/>
                <w:sz w:val="16"/>
              </w:rPr>
              <w:t xml:space="preserve">M1 t/d</w:t>
            </w:r>
          </w:p>
        </w:tc>
        <w:tc>
          <w:tcPr>
            <w:shd w:val="clear" w:color="auto" w:fill="DCE6F0"/>
          </w:tcPr>
          <w:p>
            <w:pPr>
              <w:pStyle w:val="Compact"/>
              <w:spacing w:after="0" w:before="0"/>
            </w:pPr>
            <w:r>
              <w:rPr>
                <w:b/>
                <w:sz w:val="16"/>
              </w:rPr>
              <w:t xml:space="preserve">M2 t/d</w:t>
            </w:r>
          </w:p>
        </w:tc>
        <w:tc>
          <w:tcPr>
            <w:shd w:val="clear" w:color="auto" w:fill="DCE6F0"/>
          </w:tcPr>
          <w:p>
            <w:pPr>
              <w:pStyle w:val="Compact"/>
              <w:spacing w:after="0" w:before="0"/>
            </w:pPr>
            <w:r>
              <w:rPr>
                <w:b/>
                <w:sz w:val="16"/>
              </w:rPr>
              <w:t xml:space="preserve">Status of the local value</w:t>
            </w:r>
          </w:p>
        </w:tc>
      </w:tr>
      <w:tr>
        <w:tc>
          <w:tcPr/>
          <w:p>
            <w:pPr>
              <w:pStyle w:val="Compact"/>
              <w:spacing w:after="0" w:before="0"/>
            </w:pPr>
            <w:r>
              <w:rPr>
                <w:sz w:val="16"/>
              </w:rPr>
              <w:t xml:space="preserve">Kota Padang</w:t>
            </w:r>
          </w:p>
        </w:tc>
        <w:tc>
          <w:tcPr/>
          <w:p>
            <w:pPr>
              <w:pStyle w:val="Compact"/>
              <w:spacing w:after="0" w:before="0"/>
            </w:pPr>
            <w:r>
              <w:rPr>
                <w:sz w:val="16"/>
              </w:rPr>
              <w:t xml:space="preserve">656</w:t>
            </w:r>
          </w:p>
        </w:tc>
        <w:tc>
          <w:tcPr/>
          <w:p>
            <w:pPr>
              <w:pStyle w:val="Compact"/>
              <w:spacing w:after="0" w:before="0"/>
            </w:pPr>
            <w:r>
              <w:rPr>
                <w:sz w:val="16"/>
              </w:rPr>
              <w:t xml:space="preserve">n.a.</w:t>
            </w:r>
          </w:p>
        </w:tc>
        <w:tc>
          <w:tcPr/>
          <w:p>
            <w:pPr>
              <w:pStyle w:val="Compact"/>
              <w:spacing w:after="0" w:before="0"/>
            </w:pPr>
            <w:r>
              <w:rPr>
                <w:sz w:val="16"/>
              </w:rPr>
              <w:t xml:space="preserve">93.71% (71.82% low)</w:t>
            </w:r>
          </w:p>
        </w:tc>
        <w:tc>
          <w:tcPr/>
          <w:p>
            <w:pPr>
              <w:pStyle w:val="Compact"/>
              <w:spacing w:after="0" w:before="0"/>
            </w:pPr>
            <w:r>
              <w:rPr>
                <w:sz w:val="16"/>
              </w:rPr>
              <w:t xml:space="preserve">n.a.</w:t>
            </w:r>
          </w:p>
        </w:tc>
        <w:tc>
          <w:tcPr/>
          <w:p>
            <w:pPr>
              <w:pStyle w:val="Compact"/>
              <w:spacing w:after="0" w:before="0"/>
            </w:pPr>
            <w:r>
              <w:rPr>
                <w:sz w:val="16"/>
              </w:rPr>
              <w:t xml:space="preserve">471</w:t>
            </w:r>
          </w:p>
        </w:tc>
        <w:tc>
          <w:tcPr/>
          <w:p>
            <w:pPr>
              <w:pStyle w:val="Compact"/>
              <w:spacing w:after="0" w:before="0"/>
            </w:pPr>
            <w:r>
              <w:rPr>
                <w:sz w:val="16"/>
              </w:rPr>
              <w:t xml:space="preserve">derived, provisional (not an observed managed share)</w:t>
            </w:r>
          </w:p>
        </w:tc>
      </w:tr>
      <w:tr>
        <w:tc>
          <w:tcPr/>
          <w:p>
            <w:pPr>
              <w:pStyle w:val="Compact"/>
              <w:spacing w:after="0" w:before="0"/>
            </w:pPr>
            <w:r>
              <w:rPr>
                <w:sz w:val="16"/>
              </w:rPr>
              <w:t xml:space="preserve">Kab. Bogor</w:t>
            </w:r>
          </w:p>
        </w:tc>
        <w:tc>
          <w:tcPr/>
          <w:p>
            <w:pPr>
              <w:pStyle w:val="Compact"/>
              <w:spacing w:after="0" w:before="0"/>
            </w:pPr>
            <w:r>
              <w:rPr>
                <w:sz w:val="16"/>
              </w:rPr>
              <w:t xml:space="preserve">2,891</w:t>
            </w:r>
          </w:p>
        </w:tc>
        <w:tc>
          <w:tcPr/>
          <w:p>
            <w:pPr>
              <w:pStyle w:val="Compact"/>
              <w:spacing w:after="0" w:before="0"/>
            </w:pPr>
            <w:r>
              <w:rPr>
                <w:sz w:val="16"/>
              </w:rPr>
              <w:t xml:space="preserve">22.10%</w:t>
            </w:r>
          </w:p>
        </w:tc>
        <w:tc>
          <w:tcPr/>
          <w:p>
            <w:pPr>
              <w:pStyle w:val="Compact"/>
              <w:spacing w:after="0" w:before="0"/>
            </w:pPr>
            <w:r>
              <w:rPr>
                <w:sz w:val="16"/>
              </w:rPr>
              <w:t xml:space="preserve">35.15%</w:t>
            </w:r>
          </w:p>
        </w:tc>
        <w:tc>
          <w:tcPr/>
          <w:p>
            <w:pPr>
              <w:pStyle w:val="Compact"/>
              <w:spacing w:after="0" w:before="0"/>
            </w:pPr>
            <w:r>
              <w:rPr>
                <w:sz w:val="16"/>
              </w:rPr>
              <w:t xml:space="preserve">639</w:t>
            </w:r>
          </w:p>
        </w:tc>
        <w:tc>
          <w:tcPr/>
          <w:p>
            <w:pPr>
              <w:pStyle w:val="Compact"/>
              <w:spacing w:after="0" w:before="0"/>
            </w:pPr>
            <w:r>
              <w:rPr>
                <w:sz w:val="16"/>
              </w:rPr>
              <w:t xml:space="preserve">1016</w:t>
            </w:r>
          </w:p>
        </w:tc>
        <w:tc>
          <w:tcPr/>
          <w:p>
            <w:pPr>
              <w:pStyle w:val="Compact"/>
              <w:spacing w:after="0" w:before="0"/>
            </w:pPr>
            <w:r>
              <w:rPr>
                <w:sz w:val="16"/>
              </w:rPr>
              <w:t xml:space="preserve">local indicator with a different definition from the status index</w:t>
            </w:r>
          </w:p>
        </w:tc>
      </w:tr>
      <w:tr>
        <w:tc>
          <w:tcPr/>
          <w:p>
            <w:pPr>
              <w:pStyle w:val="Compact"/>
              <w:spacing w:after="0" w:before="0"/>
            </w:pPr>
            <w:r>
              <w:rPr>
                <w:sz w:val="16"/>
              </w:rPr>
              <w:t xml:space="preserve">Kab. Serang</w:t>
            </w:r>
          </w:p>
        </w:tc>
        <w:tc>
          <w:tcPr/>
          <w:p>
            <w:pPr>
              <w:pStyle w:val="Compact"/>
              <w:spacing w:after="0" w:before="0"/>
            </w:pPr>
            <w:r>
              <w:rPr>
                <w:sz w:val="16"/>
              </w:rPr>
              <w:t xml:space="preserve">1,187</w:t>
            </w:r>
          </w:p>
        </w:tc>
        <w:tc>
          <w:tcPr/>
          <w:p>
            <w:pPr>
              <w:pStyle w:val="Compact"/>
              <w:spacing w:after="0" w:before="0"/>
            </w:pPr>
            <w:r>
              <w:rPr>
                <w:sz w:val="16"/>
              </w:rPr>
              <w:t xml:space="preserve">n.a.</w:t>
            </w:r>
          </w:p>
        </w:tc>
        <w:tc>
          <w:tcPr/>
          <w:p>
            <w:pPr>
              <w:pStyle w:val="Compact"/>
              <w:spacing w:after="0" w:before="0"/>
            </w:pPr>
            <w:r>
              <w:rPr>
                <w:sz w:val="16"/>
              </w:rPr>
              <w:t xml:space="preserve">7.45%</w:t>
            </w:r>
          </w:p>
        </w:tc>
        <w:tc>
          <w:tcPr/>
          <w:p>
            <w:pPr>
              <w:pStyle w:val="Compact"/>
              <w:spacing w:after="0" w:before="0"/>
            </w:pPr>
            <w:r>
              <w:rPr>
                <w:sz w:val="16"/>
              </w:rPr>
              <w:t xml:space="preserve">n.a.</w:t>
            </w:r>
          </w:p>
        </w:tc>
        <w:tc>
          <w:tcPr/>
          <w:p>
            <w:pPr>
              <w:pStyle w:val="Compact"/>
              <w:spacing w:after="0" w:before="0"/>
            </w:pPr>
            <w:r>
              <w:rPr>
                <w:sz w:val="16"/>
              </w:rPr>
              <w:t xml:space="preserve">88</w:t>
            </w:r>
          </w:p>
        </w:tc>
        <w:tc>
          <w:tcPr/>
          <w:p>
            <w:pPr>
              <w:pStyle w:val="Compact"/>
              <w:spacing w:after="0" w:before="0"/>
            </w:pPr>
            <w:r>
              <w:rPr>
                <w:sz w:val="16"/>
              </w:rPr>
              <w:t xml:space="preserve">local observed (existing condition)</w:t>
            </w:r>
          </w:p>
        </w:tc>
      </w:tr>
      <w:tr>
        <w:tc>
          <w:tcPr/>
          <w:p>
            <w:pPr>
              <w:pStyle w:val="Compact"/>
              <w:spacing w:after="0" w:before="0"/>
            </w:pPr>
            <w:r>
              <w:rPr>
                <w:sz w:val="16"/>
              </w:rPr>
              <w:t xml:space="preserve">Kota Denpasar</w:t>
            </w:r>
          </w:p>
        </w:tc>
        <w:tc>
          <w:tcPr/>
          <w:p>
            <w:pPr>
              <w:pStyle w:val="Compact"/>
              <w:spacing w:after="0" w:before="0"/>
            </w:pPr>
            <w:r>
              <w:rPr>
                <w:sz w:val="16"/>
              </w:rPr>
              <w:t xml:space="preserve">918</w:t>
            </w:r>
          </w:p>
        </w:tc>
        <w:tc>
          <w:tcPr/>
          <w:p>
            <w:pPr>
              <w:pStyle w:val="Compact"/>
              <w:spacing w:after="0" w:before="0"/>
            </w:pPr>
            <w:r>
              <w:rPr>
                <w:sz w:val="16"/>
              </w:rPr>
              <w:t xml:space="preserve">10.73%</w:t>
            </w:r>
          </w:p>
        </w:tc>
        <w:tc>
          <w:tcPr/>
          <w:p>
            <w:pPr>
              <w:pStyle w:val="Compact"/>
              <w:spacing w:after="0" w:before="0"/>
            </w:pPr>
            <w:r>
              <w:rPr>
                <w:sz w:val="16"/>
              </w:rPr>
              <w:t xml:space="preserve">96.91%</w:t>
            </w:r>
          </w:p>
        </w:tc>
        <w:tc>
          <w:tcPr/>
          <w:p>
            <w:pPr>
              <w:pStyle w:val="Compact"/>
              <w:spacing w:after="0" w:before="0"/>
            </w:pPr>
            <w:r>
              <w:rPr>
                <w:sz w:val="16"/>
              </w:rPr>
              <w:t xml:space="preserve">99</w:t>
            </w:r>
          </w:p>
        </w:tc>
        <w:tc>
          <w:tcPr/>
          <w:p>
            <w:pPr>
              <w:pStyle w:val="Compact"/>
              <w:spacing w:after="0" w:before="0"/>
            </w:pPr>
            <w:r>
              <w:rPr>
                <w:sz w:val="16"/>
              </w:rPr>
              <w:t xml:space="preserve">890</w:t>
            </w:r>
          </w:p>
        </w:tc>
        <w:tc>
          <w:tcPr/>
          <w:p>
            <w:pPr>
              <w:pStyle w:val="Compact"/>
              <w:spacing w:after="0" w:before="0"/>
            </w:pPr>
            <w:r>
              <w:rPr>
                <w:sz w:val="16"/>
              </w:rPr>
              <w:t xml:space="preserve">local indicator with a different definition from the status index</w:t>
            </w:r>
          </w:p>
        </w:tc>
      </w:tr>
      <w:tr>
        <w:tc>
          <w:tcPr/>
          <w:p>
            <w:pPr>
              <w:pStyle w:val="Compact"/>
              <w:spacing w:after="0" w:before="0"/>
            </w:pPr>
            <w:r>
              <w:rPr>
                <w:sz w:val="16"/>
              </w:rPr>
              <w:t xml:space="preserve">Kab. Cianjur</w:t>
            </w:r>
          </w:p>
        </w:tc>
        <w:tc>
          <w:tcPr/>
          <w:p>
            <w:pPr>
              <w:pStyle w:val="Compact"/>
              <w:spacing w:after="0" w:before="0"/>
            </w:pPr>
            <w:r>
              <w:rPr>
                <w:sz w:val="16"/>
              </w:rPr>
              <w:t xml:space="preserve">1,114</w:t>
            </w:r>
          </w:p>
        </w:tc>
        <w:tc>
          <w:tcPr/>
          <w:p>
            <w:pPr>
              <w:pStyle w:val="Compact"/>
              <w:spacing w:after="0" w:before="0"/>
            </w:pPr>
            <w:r>
              <w:rPr>
                <w:sz w:val="16"/>
              </w:rPr>
              <w:t xml:space="preserve">2.67%</w:t>
            </w:r>
          </w:p>
        </w:tc>
        <w:tc>
          <w:tcPr/>
          <w:p>
            <w:pPr>
              <w:pStyle w:val="Compact"/>
              <w:spacing w:after="0" w:before="0"/>
            </w:pPr>
            <w:r>
              <w:rPr>
                <w:sz w:val="16"/>
              </w:rPr>
              <w:t xml:space="preserve">30.36%</w:t>
            </w:r>
          </w:p>
        </w:tc>
        <w:tc>
          <w:tcPr/>
          <w:p>
            <w:pPr>
              <w:pStyle w:val="Compact"/>
              <w:spacing w:after="0" w:before="0"/>
            </w:pPr>
            <w:r>
              <w:rPr>
                <w:sz w:val="16"/>
              </w:rPr>
              <w:t xml:space="preserve">30</w:t>
            </w:r>
          </w:p>
        </w:tc>
        <w:tc>
          <w:tcPr/>
          <w:p>
            <w:pPr>
              <w:pStyle w:val="Compact"/>
              <w:spacing w:after="0" w:before="0"/>
            </w:pPr>
            <w:r>
              <w:rPr>
                <w:sz w:val="16"/>
              </w:rPr>
              <w:t xml:space="preserve">338</w:t>
            </w:r>
          </w:p>
        </w:tc>
        <w:tc>
          <w:tcPr/>
          <w:p>
            <w:pPr>
              <w:pStyle w:val="Compact"/>
              <w:spacing w:after="0" w:before="0"/>
            </w:pPr>
            <w:r>
              <w:rPr>
                <w:sz w:val="16"/>
              </w:rPr>
              <w:t xml:space="preserve">local indicator with a different definition from the status index</w:t>
            </w:r>
          </w:p>
        </w:tc>
      </w:tr>
      <w:tr>
        <w:tc>
          <w:tcPr/>
          <w:p>
            <w:pPr>
              <w:pStyle w:val="Compact"/>
              <w:spacing w:after="0" w:before="0"/>
            </w:pPr>
            <w:r>
              <w:rPr>
                <w:sz w:val="16"/>
              </w:rPr>
              <w:t xml:space="preserve">Kab. Indramayu</w:t>
            </w:r>
          </w:p>
        </w:tc>
        <w:tc>
          <w:tcPr/>
          <w:p>
            <w:pPr>
              <w:pStyle w:val="Compact"/>
              <w:spacing w:after="0" w:before="0"/>
            </w:pPr>
            <w:r>
              <w:rPr>
                <w:sz w:val="16"/>
              </w:rPr>
              <w:t xml:space="preserve">1,152</w:t>
            </w:r>
          </w:p>
        </w:tc>
        <w:tc>
          <w:tcPr/>
          <w:p>
            <w:pPr>
              <w:pStyle w:val="Compact"/>
              <w:spacing w:after="0" w:before="0"/>
            </w:pPr>
            <w:r>
              <w:rPr>
                <w:sz w:val="16"/>
              </w:rPr>
              <w:t xml:space="preserve">8.59%</w:t>
            </w:r>
          </w:p>
        </w:tc>
        <w:tc>
          <w:tcPr/>
          <w:p>
            <w:pPr>
              <w:pStyle w:val="Compact"/>
              <w:spacing w:after="0" w:before="0"/>
            </w:pPr>
            <w:r>
              <w:rPr>
                <w:sz w:val="16"/>
              </w:rPr>
              <w:t xml:space="preserve">61.52%</w:t>
            </w:r>
          </w:p>
        </w:tc>
        <w:tc>
          <w:tcPr/>
          <w:p>
            <w:pPr>
              <w:pStyle w:val="Compact"/>
              <w:spacing w:after="0" w:before="0"/>
            </w:pPr>
            <w:r>
              <w:rPr>
                <w:sz w:val="16"/>
              </w:rPr>
              <w:t xml:space="preserve">99</w:t>
            </w:r>
          </w:p>
        </w:tc>
        <w:tc>
          <w:tcPr/>
          <w:p>
            <w:pPr>
              <w:pStyle w:val="Compact"/>
              <w:spacing w:after="0" w:before="0"/>
            </w:pPr>
            <w:r>
              <w:rPr>
                <w:sz w:val="16"/>
              </w:rPr>
              <w:t xml:space="preserve">709</w:t>
            </w:r>
          </w:p>
        </w:tc>
        <w:tc>
          <w:tcPr/>
          <w:p>
            <w:pPr>
              <w:pStyle w:val="Compact"/>
              <w:spacing w:after="0" w:before="0"/>
            </w:pPr>
            <w:r>
              <w:rPr>
                <w:sz w:val="16"/>
              </w:rPr>
              <w:t xml:space="preserve">local indicator with a different definition from the status index</w:t>
            </w:r>
          </w:p>
        </w:tc>
      </w:tr>
      <w:tr>
        <w:tc>
          <w:tcPr/>
          <w:p>
            <w:pPr>
              <w:pStyle w:val="Compact"/>
              <w:spacing w:after="0" w:before="0"/>
            </w:pPr>
            <w:r>
              <w:rPr>
                <w:sz w:val="16"/>
              </w:rPr>
              <w:t xml:space="preserve">Kota Semarang</w:t>
            </w:r>
          </w:p>
        </w:tc>
        <w:tc>
          <w:tcPr/>
          <w:p>
            <w:pPr>
              <w:pStyle w:val="Compact"/>
              <w:spacing w:after="0" w:before="0"/>
            </w:pPr>
            <w:r>
              <w:rPr>
                <w:sz w:val="16"/>
              </w:rPr>
              <w:t xml:space="preserve">1,190</w:t>
            </w:r>
          </w:p>
        </w:tc>
        <w:tc>
          <w:tcPr/>
          <w:p>
            <w:pPr>
              <w:pStyle w:val="Compact"/>
              <w:spacing w:after="0" w:before="0"/>
            </w:pPr>
            <w:r>
              <w:rPr>
                <w:sz w:val="16"/>
              </w:rPr>
              <w:t xml:space="preserve">8.27%</w:t>
            </w:r>
          </w:p>
        </w:tc>
        <w:tc>
          <w:tcPr/>
          <w:p>
            <w:pPr>
              <w:pStyle w:val="Compact"/>
              <w:spacing w:after="0" w:before="0"/>
            </w:pPr>
            <w:r>
              <w:rPr>
                <w:sz w:val="16"/>
              </w:rPr>
              <w:t xml:space="preserve">59.43%</w:t>
            </w:r>
          </w:p>
        </w:tc>
        <w:tc>
          <w:tcPr/>
          <w:p>
            <w:pPr>
              <w:pStyle w:val="Compact"/>
              <w:spacing w:after="0" w:before="0"/>
            </w:pPr>
            <w:r>
              <w:rPr>
                <w:sz w:val="16"/>
              </w:rPr>
              <w:t xml:space="preserve">98</w:t>
            </w:r>
          </w:p>
        </w:tc>
        <w:tc>
          <w:tcPr/>
          <w:p>
            <w:pPr>
              <w:pStyle w:val="Compact"/>
              <w:spacing w:after="0" w:before="0"/>
            </w:pPr>
            <w:r>
              <w:rPr>
                <w:sz w:val="16"/>
              </w:rPr>
              <w:t xml:space="preserve">707</w:t>
            </w:r>
          </w:p>
        </w:tc>
        <w:tc>
          <w:tcPr/>
          <w:p>
            <w:pPr>
              <w:pStyle w:val="Compact"/>
              <w:spacing w:after="0" w:before="0"/>
            </w:pPr>
            <w:r>
              <w:rPr>
                <w:sz w:val="16"/>
              </w:rPr>
              <w:t xml:space="preserve">local indicator with a different definition from the status index</w:t>
            </w:r>
          </w:p>
        </w:tc>
      </w:tr>
      <w:tr>
        <w:tc>
          <w:tcPr/>
          <w:p>
            <w:pPr>
              <w:pStyle w:val="Compact"/>
              <w:spacing w:after="0" w:before="0"/>
            </w:pPr>
            <w:r>
              <w:rPr>
                <w:sz w:val="16"/>
              </w:rPr>
              <w:t xml:space="preserve">Kab. Brebes</w:t>
            </w:r>
          </w:p>
        </w:tc>
        <w:tc>
          <w:tcPr/>
          <w:p>
            <w:pPr>
              <w:pStyle w:val="Compact"/>
              <w:spacing w:after="0" w:before="0"/>
            </w:pPr>
            <w:r>
              <w:rPr>
                <w:sz w:val="16"/>
              </w:rPr>
              <w:t xml:space="preserve">1,033</w:t>
            </w:r>
          </w:p>
        </w:tc>
        <w:tc>
          <w:tcPr/>
          <w:p>
            <w:pPr>
              <w:pStyle w:val="Compact"/>
              <w:spacing w:after="0" w:before="0"/>
            </w:pPr>
            <w:r>
              <w:rPr>
                <w:sz w:val="16"/>
              </w:rPr>
              <w:t xml:space="preserve">2.32%</w:t>
            </w:r>
          </w:p>
        </w:tc>
        <w:tc>
          <w:tcPr/>
          <w:p>
            <w:pPr>
              <w:pStyle w:val="Compact"/>
              <w:spacing w:after="0" w:before="0"/>
            </w:pPr>
            <w:r>
              <w:rPr>
                <w:sz w:val="16"/>
              </w:rPr>
              <w:t xml:space="preserve">-</w:t>
            </w:r>
          </w:p>
        </w:tc>
        <w:tc>
          <w:tcPr/>
          <w:p>
            <w:pPr>
              <w:pStyle w:val="Compact"/>
              <w:spacing w:after="0" w:before="0"/>
            </w:pPr>
            <w:r>
              <w:rPr>
                <w:sz w:val="16"/>
              </w:rPr>
              <w:t xml:space="preserve">24</w:t>
            </w:r>
          </w:p>
        </w:tc>
        <w:tc>
          <w:tcPr/>
          <w:p>
            <w:pPr>
              <w:pStyle w:val="Compact"/>
              <w:spacing w:after="0" w:before="0"/>
            </w:pPr>
            <w:r>
              <w:rPr>
                <w:sz w:val="16"/>
              </w:rPr>
              <w:t xml:space="preserve">24</w:t>
            </w:r>
          </w:p>
        </w:tc>
        <w:tc>
          <w:tcPr/>
          <w:p>
            <w:pPr>
              <w:pStyle w:val="Compact"/>
              <w:spacing w:after="0" w:before="0"/>
            </w:pPr>
          </w:p>
        </w:tc>
      </w:tr>
      <w:tr>
        <w:tc>
          <w:tcPr/>
          <w:p>
            <w:pPr>
              <w:pStyle w:val="Compact"/>
              <w:spacing w:after="0" w:before="0"/>
            </w:pPr>
            <w:r>
              <w:rPr>
                <w:sz w:val="16"/>
              </w:rPr>
              <w:t xml:space="preserve">Kab. Nganjuk</w:t>
            </w:r>
          </w:p>
        </w:tc>
        <w:tc>
          <w:tcPr/>
          <w:p>
            <w:pPr>
              <w:pStyle w:val="Compact"/>
              <w:spacing w:after="0" w:before="0"/>
            </w:pPr>
            <w:r>
              <w:rPr>
                <w:sz w:val="16"/>
              </w:rPr>
              <w:t xml:space="preserve">744</w:t>
            </w:r>
          </w:p>
        </w:tc>
        <w:tc>
          <w:tcPr/>
          <w:p>
            <w:pPr>
              <w:pStyle w:val="Compact"/>
              <w:spacing w:after="0" w:before="0"/>
            </w:pPr>
            <w:r>
              <w:rPr>
                <w:sz w:val="16"/>
              </w:rPr>
              <w:t xml:space="preserve">11.33%</w:t>
            </w:r>
          </w:p>
        </w:tc>
        <w:tc>
          <w:tcPr/>
          <w:p>
            <w:pPr>
              <w:pStyle w:val="Compact"/>
              <w:spacing w:after="0" w:before="0"/>
            </w:pPr>
            <w:r>
              <w:rPr>
                <w:sz w:val="16"/>
              </w:rPr>
              <w:t xml:space="preserve">-</w:t>
            </w:r>
          </w:p>
        </w:tc>
        <w:tc>
          <w:tcPr/>
          <w:p>
            <w:pPr>
              <w:pStyle w:val="Compact"/>
              <w:spacing w:after="0" w:before="0"/>
            </w:pPr>
            <w:r>
              <w:rPr>
                <w:sz w:val="16"/>
              </w:rPr>
              <w:t xml:space="preserve">84</w:t>
            </w:r>
          </w:p>
        </w:tc>
        <w:tc>
          <w:tcPr/>
          <w:p>
            <w:pPr>
              <w:pStyle w:val="Compact"/>
              <w:spacing w:after="0" w:before="0"/>
            </w:pPr>
            <w:r>
              <w:rPr>
                <w:sz w:val="16"/>
              </w:rPr>
              <w:t xml:space="preserve">84</w:t>
            </w:r>
          </w:p>
        </w:tc>
        <w:tc>
          <w:tcPr/>
          <w:p>
            <w:pPr>
              <w:pStyle w:val="Compact"/>
              <w:spacing w:after="0" w:before="0"/>
            </w:pPr>
          </w:p>
        </w:tc>
      </w:tr>
      <w:tr>
        <w:tc>
          <w:tcPr/>
          <w:p>
            <w:pPr>
              <w:pStyle w:val="Compact"/>
              <w:spacing w:after="0" w:before="0"/>
            </w:pPr>
            <w:r>
              <w:rPr>
                <w:sz w:val="16"/>
              </w:rPr>
              <w:t xml:space="preserve">Kab. Pati</w:t>
            </w:r>
          </w:p>
        </w:tc>
        <w:tc>
          <w:tcPr/>
          <w:p>
            <w:pPr>
              <w:pStyle w:val="Compact"/>
              <w:spacing w:after="0" w:before="0"/>
            </w:pPr>
            <w:r>
              <w:rPr>
                <w:sz w:val="16"/>
              </w:rPr>
              <w:t xml:space="preserve">691</w:t>
            </w:r>
          </w:p>
        </w:tc>
        <w:tc>
          <w:tcPr/>
          <w:p>
            <w:pPr>
              <w:pStyle w:val="Compact"/>
              <w:spacing w:after="0" w:before="0"/>
            </w:pPr>
            <w:r>
              <w:rPr>
                <w:sz w:val="16"/>
              </w:rPr>
              <w:t xml:space="preserve">18.38%</w:t>
            </w:r>
          </w:p>
        </w:tc>
        <w:tc>
          <w:tcPr/>
          <w:p>
            <w:pPr>
              <w:pStyle w:val="Compact"/>
              <w:spacing w:after="0" w:before="0"/>
            </w:pPr>
            <w:r>
              <w:rPr>
                <w:sz w:val="16"/>
              </w:rPr>
              <w:t xml:space="preserve">-</w:t>
            </w:r>
          </w:p>
        </w:tc>
        <w:tc>
          <w:tcPr/>
          <w:p>
            <w:pPr>
              <w:pStyle w:val="Compact"/>
              <w:spacing w:after="0" w:before="0"/>
            </w:pPr>
            <w:r>
              <w:rPr>
                <w:sz w:val="16"/>
              </w:rPr>
              <w:t xml:space="preserve">127</w:t>
            </w:r>
          </w:p>
        </w:tc>
        <w:tc>
          <w:tcPr/>
          <w:p>
            <w:pPr>
              <w:pStyle w:val="Compact"/>
              <w:spacing w:after="0" w:before="0"/>
            </w:pPr>
            <w:r>
              <w:rPr>
                <w:sz w:val="16"/>
              </w:rPr>
              <w:t xml:space="preserve">127</w:t>
            </w:r>
          </w:p>
        </w:tc>
        <w:tc>
          <w:tcPr/>
          <w:p>
            <w:pPr>
              <w:pStyle w:val="Compact"/>
              <w:spacing w:after="0" w:before="0"/>
            </w:pPr>
          </w:p>
        </w:tc>
      </w:tr>
      <w:tr>
        <w:tc>
          <w:tcPr/>
          <w:p>
            <w:pPr>
              <w:pStyle w:val="Compact"/>
              <w:spacing w:after="0" w:before="0"/>
            </w:pPr>
            <w:r>
              <w:rPr>
                <w:sz w:val="16"/>
              </w:rPr>
              <w:t xml:space="preserve">Kab. Magelang</w:t>
            </w:r>
          </w:p>
        </w:tc>
        <w:tc>
          <w:tcPr/>
          <w:p>
            <w:pPr>
              <w:pStyle w:val="Compact"/>
              <w:spacing w:after="0" w:before="0"/>
            </w:pPr>
            <w:r>
              <w:rPr>
                <w:sz w:val="16"/>
              </w:rPr>
              <w:t xml:space="preserve">671</w:t>
            </w:r>
          </w:p>
        </w:tc>
        <w:tc>
          <w:tcPr/>
          <w:p>
            <w:pPr>
              <w:pStyle w:val="Compact"/>
              <w:spacing w:after="0" w:before="0"/>
            </w:pPr>
            <w:r>
              <w:rPr>
                <w:sz w:val="16"/>
              </w:rPr>
              <w:t xml:space="preserve">10.45%</w:t>
            </w:r>
          </w:p>
        </w:tc>
        <w:tc>
          <w:tcPr/>
          <w:p>
            <w:pPr>
              <w:pStyle w:val="Compact"/>
              <w:spacing w:after="0" w:before="0"/>
            </w:pPr>
            <w:r>
              <w:rPr>
                <w:sz w:val="16"/>
              </w:rPr>
              <w:t xml:space="preserve">-</w:t>
            </w:r>
          </w:p>
        </w:tc>
        <w:tc>
          <w:tcPr/>
          <w:p>
            <w:pPr>
              <w:pStyle w:val="Compact"/>
              <w:spacing w:after="0" w:before="0"/>
            </w:pPr>
            <w:r>
              <w:rPr>
                <w:sz w:val="16"/>
              </w:rPr>
              <w:t xml:space="preserve">70</w:t>
            </w:r>
          </w:p>
        </w:tc>
        <w:tc>
          <w:tcPr/>
          <w:p>
            <w:pPr>
              <w:pStyle w:val="Compact"/>
              <w:spacing w:after="0" w:before="0"/>
            </w:pPr>
            <w:r>
              <w:rPr>
                <w:sz w:val="16"/>
              </w:rPr>
              <w:t xml:space="preserve">70</w:t>
            </w:r>
          </w:p>
        </w:tc>
        <w:tc>
          <w:tcPr/>
          <w:p>
            <w:pPr>
              <w:pStyle w:val="Compact"/>
              <w:spacing w:after="0" w:before="0"/>
            </w:pPr>
          </w:p>
        </w:tc>
      </w:tr>
      <w:tr>
        <w:tc>
          <w:tcPr/>
          <w:p>
            <w:pPr>
              <w:pStyle w:val="Compact"/>
              <w:spacing w:after="0" w:before="0"/>
            </w:pPr>
            <w:r>
              <w:rPr>
                <w:sz w:val="16"/>
              </w:rPr>
              <w:t xml:space="preserve">Kab. Pandeglang</w:t>
            </w:r>
          </w:p>
        </w:tc>
        <w:tc>
          <w:tcPr/>
          <w:p>
            <w:pPr>
              <w:pStyle w:val="Compact"/>
              <w:spacing w:after="0" w:before="0"/>
            </w:pPr>
            <w:r>
              <w:rPr>
                <w:sz w:val="16"/>
              </w:rPr>
              <w:t xml:space="preserve">527</w:t>
            </w:r>
          </w:p>
        </w:tc>
        <w:tc>
          <w:tcPr/>
          <w:p>
            <w:pPr>
              <w:pStyle w:val="Compact"/>
              <w:spacing w:after="0" w:before="0"/>
            </w:pPr>
            <w:r>
              <w:rPr>
                <w:sz w:val="16"/>
              </w:rPr>
              <w:t xml:space="preserve">29.80%</w:t>
            </w:r>
          </w:p>
        </w:tc>
        <w:tc>
          <w:tcPr/>
          <w:p>
            <w:pPr>
              <w:pStyle w:val="Compact"/>
              <w:spacing w:after="0" w:before="0"/>
            </w:pPr>
            <w:r>
              <w:rPr>
                <w:sz w:val="16"/>
              </w:rPr>
              <w:t xml:space="preserve">-</w:t>
            </w:r>
          </w:p>
        </w:tc>
        <w:tc>
          <w:tcPr/>
          <w:p>
            <w:pPr>
              <w:pStyle w:val="Compact"/>
              <w:spacing w:after="0" w:before="0"/>
            </w:pPr>
            <w:r>
              <w:rPr>
                <w:sz w:val="16"/>
              </w:rPr>
              <w:t xml:space="preserve">157</w:t>
            </w:r>
          </w:p>
        </w:tc>
        <w:tc>
          <w:tcPr/>
          <w:p>
            <w:pPr>
              <w:pStyle w:val="Compact"/>
              <w:spacing w:after="0" w:before="0"/>
            </w:pPr>
            <w:r>
              <w:rPr>
                <w:sz w:val="16"/>
              </w:rPr>
              <w:t xml:space="preserve">157</w:t>
            </w:r>
          </w:p>
        </w:tc>
        <w:tc>
          <w:tcPr/>
          <w:p>
            <w:pPr>
              <w:pStyle w:val="Compact"/>
              <w:spacing w:after="0" w:before="0"/>
            </w:pPr>
          </w:p>
        </w:tc>
      </w:tr>
      <w:tr>
        <w:tc>
          <w:tcPr/>
          <w:p>
            <w:pPr>
              <w:pStyle w:val="Compact"/>
              <w:spacing w:after="0" w:before="0"/>
            </w:pPr>
            <w:r>
              <w:rPr>
                <w:sz w:val="16"/>
              </w:rPr>
              <w:t xml:space="preserve">Kab. Pemalang</w:t>
            </w:r>
          </w:p>
        </w:tc>
        <w:tc>
          <w:tcPr/>
          <w:p>
            <w:pPr>
              <w:pStyle w:val="Compact"/>
              <w:spacing w:after="0" w:before="0"/>
            </w:pPr>
            <w:r>
              <w:rPr>
                <w:sz w:val="16"/>
              </w:rPr>
              <w:t xml:space="preserve">484</w:t>
            </w:r>
          </w:p>
        </w:tc>
        <w:tc>
          <w:tcPr/>
          <w:p>
            <w:pPr>
              <w:pStyle w:val="Compact"/>
              <w:spacing w:after="0" w:before="0"/>
            </w:pPr>
            <w:r>
              <w:rPr>
                <w:sz w:val="16"/>
              </w:rPr>
              <w:t xml:space="preserve">16.11%</w:t>
            </w:r>
          </w:p>
        </w:tc>
        <w:tc>
          <w:tcPr/>
          <w:p>
            <w:pPr>
              <w:pStyle w:val="Compact"/>
              <w:spacing w:after="0" w:before="0"/>
            </w:pPr>
            <w:r>
              <w:rPr>
                <w:sz w:val="16"/>
              </w:rPr>
              <w:t xml:space="preserve">-</w:t>
            </w:r>
          </w:p>
        </w:tc>
        <w:tc>
          <w:tcPr/>
          <w:p>
            <w:pPr>
              <w:pStyle w:val="Compact"/>
              <w:spacing w:after="0" w:before="0"/>
            </w:pPr>
            <w:r>
              <w:rPr>
                <w:sz w:val="16"/>
              </w:rPr>
              <w:t xml:space="preserve">78</w:t>
            </w:r>
          </w:p>
        </w:tc>
        <w:tc>
          <w:tcPr/>
          <w:p>
            <w:pPr>
              <w:pStyle w:val="Compact"/>
              <w:spacing w:after="0" w:before="0"/>
            </w:pPr>
            <w:r>
              <w:rPr>
                <w:sz w:val="16"/>
              </w:rPr>
              <w:t xml:space="preserve">78</w:t>
            </w:r>
          </w:p>
        </w:tc>
        <w:tc>
          <w:tcPr/>
          <w:p>
            <w:pPr>
              <w:pStyle w:val="Compact"/>
              <w:spacing w:after="0" w:before="0"/>
            </w:pPr>
          </w:p>
        </w:tc>
      </w:tr>
      <w:tr>
        <w:tc>
          <w:tcPr/>
          <w:p>
            <w:pPr>
              <w:pStyle w:val="Compact"/>
              <w:spacing w:after="0" w:before="0"/>
            </w:pPr>
            <w:r>
              <w:rPr>
                <w:sz w:val="16"/>
              </w:rPr>
              <w:t xml:space="preserve">Kab. Temanggung</w:t>
            </w:r>
          </w:p>
        </w:tc>
        <w:tc>
          <w:tcPr/>
          <w:p>
            <w:pPr>
              <w:pStyle w:val="Compact"/>
              <w:spacing w:after="0" w:before="0"/>
            </w:pPr>
            <w:r>
              <w:rPr>
                <w:sz w:val="16"/>
              </w:rPr>
              <w:t xml:space="preserve">423</w:t>
            </w:r>
          </w:p>
        </w:tc>
        <w:tc>
          <w:tcPr/>
          <w:p>
            <w:pPr>
              <w:pStyle w:val="Compact"/>
              <w:spacing w:after="0" w:before="0"/>
            </w:pPr>
            <w:r>
              <w:rPr>
                <w:sz w:val="16"/>
              </w:rPr>
              <w:t xml:space="preserve">8.65%</w:t>
            </w:r>
          </w:p>
        </w:tc>
        <w:tc>
          <w:tcPr/>
          <w:p>
            <w:pPr>
              <w:pStyle w:val="Compact"/>
              <w:spacing w:after="0" w:before="0"/>
            </w:pPr>
            <w:r>
              <w:rPr>
                <w:sz w:val="16"/>
              </w:rPr>
              <w:t xml:space="preserve">-</w:t>
            </w:r>
          </w:p>
        </w:tc>
        <w:tc>
          <w:tcPr/>
          <w:p>
            <w:pPr>
              <w:pStyle w:val="Compact"/>
              <w:spacing w:after="0" w:before="0"/>
            </w:pPr>
            <w:r>
              <w:rPr>
                <w:sz w:val="16"/>
              </w:rPr>
              <w:t xml:space="preserve">37</w:t>
            </w:r>
          </w:p>
        </w:tc>
        <w:tc>
          <w:tcPr/>
          <w:p>
            <w:pPr>
              <w:pStyle w:val="Compact"/>
              <w:spacing w:after="0" w:before="0"/>
            </w:pPr>
            <w:r>
              <w:rPr>
                <w:sz w:val="16"/>
              </w:rPr>
              <w:t xml:space="preserve">37</w:t>
            </w:r>
          </w:p>
        </w:tc>
        <w:tc>
          <w:tcPr/>
          <w:p>
            <w:pPr>
              <w:pStyle w:val="Compact"/>
              <w:spacing w:after="0" w:before="0"/>
            </w:pPr>
          </w:p>
        </w:tc>
      </w:tr>
      <w:tr>
        <w:tc>
          <w:tcPr/>
          <w:p>
            <w:pPr>
              <w:pStyle w:val="Compact"/>
              <w:spacing w:after="0" w:before="0"/>
            </w:pPr>
            <w:r>
              <w:rPr>
                <w:sz w:val="16"/>
              </w:rPr>
              <w:t xml:space="preserve">Kab. Pekalongan</w:t>
            </w:r>
          </w:p>
        </w:tc>
        <w:tc>
          <w:tcPr/>
          <w:p>
            <w:pPr>
              <w:pStyle w:val="Compact"/>
              <w:spacing w:after="0" w:before="0"/>
            </w:pPr>
            <w:r>
              <w:rPr>
                <w:sz w:val="16"/>
              </w:rPr>
              <w:t xml:space="preserve">560</w:t>
            </w:r>
          </w:p>
        </w:tc>
        <w:tc>
          <w:tcPr/>
          <w:p>
            <w:pPr>
              <w:pStyle w:val="Compact"/>
              <w:spacing w:after="0" w:before="0"/>
            </w:pPr>
            <w:r>
              <w:rPr>
                <w:sz w:val="16"/>
              </w:rPr>
              <w:t xml:space="preserve">15.58%</w:t>
            </w:r>
          </w:p>
        </w:tc>
        <w:tc>
          <w:tcPr/>
          <w:p>
            <w:pPr>
              <w:pStyle w:val="Compact"/>
              <w:spacing w:after="0" w:before="0"/>
            </w:pPr>
            <w:r>
              <w:rPr>
                <w:sz w:val="16"/>
              </w:rPr>
              <w:t xml:space="preserve">-</w:t>
            </w:r>
          </w:p>
        </w:tc>
        <w:tc>
          <w:tcPr/>
          <w:p>
            <w:pPr>
              <w:pStyle w:val="Compact"/>
              <w:spacing w:after="0" w:before="0"/>
            </w:pPr>
            <w:r>
              <w:rPr>
                <w:sz w:val="16"/>
              </w:rPr>
              <w:t xml:space="preserve">87</w:t>
            </w:r>
          </w:p>
        </w:tc>
        <w:tc>
          <w:tcPr/>
          <w:p>
            <w:pPr>
              <w:pStyle w:val="Compact"/>
              <w:spacing w:after="0" w:before="0"/>
            </w:pPr>
            <w:r>
              <w:rPr>
                <w:sz w:val="16"/>
              </w:rPr>
              <w:t xml:space="preserve">87</w:t>
            </w:r>
          </w:p>
        </w:tc>
        <w:tc>
          <w:tcPr/>
          <w:p>
            <w:pPr>
              <w:pStyle w:val="Compact"/>
              <w:spacing w:after="0" w:before="0"/>
            </w:pPr>
          </w:p>
        </w:tc>
      </w:tr>
      <w:tr>
        <w:tc>
          <w:tcPr/>
          <w:p>
            <w:pPr>
              <w:pStyle w:val="Compact"/>
              <w:spacing w:after="0" w:before="0"/>
            </w:pPr>
            <w:r>
              <w:rPr>
                <w:sz w:val="16"/>
              </w:rPr>
              <w:t xml:space="preserve">Kab. Sragen</w:t>
            </w:r>
          </w:p>
        </w:tc>
        <w:tc>
          <w:tcPr/>
          <w:p>
            <w:pPr>
              <w:pStyle w:val="Compact"/>
              <w:spacing w:after="0" w:before="0"/>
            </w:pPr>
            <w:r>
              <w:rPr>
                <w:sz w:val="16"/>
              </w:rPr>
              <w:t xml:space="preserve">402</w:t>
            </w:r>
          </w:p>
        </w:tc>
        <w:tc>
          <w:tcPr/>
          <w:p>
            <w:pPr>
              <w:pStyle w:val="Compact"/>
              <w:spacing w:after="0" w:before="0"/>
            </w:pPr>
            <w:r>
              <w:rPr>
                <w:sz w:val="16"/>
              </w:rPr>
              <w:t xml:space="preserve">20.24%</w:t>
            </w:r>
          </w:p>
        </w:tc>
        <w:tc>
          <w:tcPr/>
          <w:p>
            <w:pPr>
              <w:pStyle w:val="Compact"/>
              <w:spacing w:after="0" w:before="0"/>
            </w:pPr>
            <w:r>
              <w:rPr>
                <w:sz w:val="16"/>
              </w:rPr>
              <w:t xml:space="preserve">-</w:t>
            </w:r>
          </w:p>
        </w:tc>
        <w:tc>
          <w:tcPr/>
          <w:p>
            <w:pPr>
              <w:pStyle w:val="Compact"/>
              <w:spacing w:after="0" w:before="0"/>
            </w:pPr>
            <w:r>
              <w:rPr>
                <w:sz w:val="16"/>
              </w:rPr>
              <w:t xml:space="preserve">81</w:t>
            </w:r>
          </w:p>
        </w:tc>
        <w:tc>
          <w:tcPr/>
          <w:p>
            <w:pPr>
              <w:pStyle w:val="Compact"/>
              <w:spacing w:after="0" w:before="0"/>
            </w:pPr>
            <w:r>
              <w:rPr>
                <w:sz w:val="16"/>
              </w:rPr>
              <w:t xml:space="preserve">81</w:t>
            </w:r>
          </w:p>
        </w:tc>
        <w:tc>
          <w:tcPr/>
          <w:p>
            <w:pPr>
              <w:pStyle w:val="Compact"/>
              <w:spacing w:after="0" w:before="0"/>
            </w:pPr>
          </w:p>
        </w:tc>
      </w:tr>
      <w:tr>
        <w:tc>
          <w:tcPr/>
          <w:p>
            <w:pPr>
              <w:pStyle w:val="Compact"/>
              <w:spacing w:after="0" w:before="0"/>
            </w:pPr>
            <w:r>
              <w:rPr>
                <w:sz w:val="16"/>
              </w:rPr>
              <w:t xml:space="preserve">Kab. Kutai Kartanegara</w:t>
            </w:r>
          </w:p>
        </w:tc>
        <w:tc>
          <w:tcPr/>
          <w:p>
            <w:pPr>
              <w:pStyle w:val="Compact"/>
              <w:spacing w:after="0" w:before="0"/>
            </w:pPr>
            <w:r>
              <w:rPr>
                <w:sz w:val="16"/>
              </w:rPr>
              <w:t xml:space="preserve">373</w:t>
            </w:r>
          </w:p>
        </w:tc>
        <w:tc>
          <w:tcPr/>
          <w:p>
            <w:pPr>
              <w:pStyle w:val="Compact"/>
              <w:spacing w:after="0" w:before="0"/>
            </w:pPr>
            <w:r>
              <w:rPr>
                <w:sz w:val="16"/>
              </w:rPr>
              <w:t xml:space="preserve">55.92%</w:t>
            </w:r>
          </w:p>
        </w:tc>
        <w:tc>
          <w:tcPr/>
          <w:p>
            <w:pPr>
              <w:pStyle w:val="Compact"/>
              <w:spacing w:after="0" w:before="0"/>
            </w:pPr>
            <w:r>
              <w:rPr>
                <w:sz w:val="16"/>
              </w:rPr>
              <w:t xml:space="preserve">-</w:t>
            </w:r>
          </w:p>
        </w:tc>
        <w:tc>
          <w:tcPr/>
          <w:p>
            <w:pPr>
              <w:pStyle w:val="Compact"/>
              <w:spacing w:after="0" w:before="0"/>
            </w:pPr>
            <w:r>
              <w:rPr>
                <w:sz w:val="16"/>
              </w:rPr>
              <w:t xml:space="preserve">209</w:t>
            </w:r>
          </w:p>
        </w:tc>
        <w:tc>
          <w:tcPr/>
          <w:p>
            <w:pPr>
              <w:pStyle w:val="Compact"/>
              <w:spacing w:after="0" w:before="0"/>
            </w:pPr>
            <w:r>
              <w:rPr>
                <w:sz w:val="16"/>
              </w:rPr>
              <w:t xml:space="preserve">209</w:t>
            </w:r>
          </w:p>
        </w:tc>
        <w:tc>
          <w:tcPr/>
          <w:p>
            <w:pPr>
              <w:pStyle w:val="Compact"/>
              <w:spacing w:after="0" w:before="0"/>
            </w:pPr>
          </w:p>
        </w:tc>
      </w:tr>
      <w:tr>
        <w:tc>
          <w:tcPr/>
          <w:p>
            <w:pPr>
              <w:pStyle w:val="Compact"/>
              <w:spacing w:after="0" w:before="0"/>
            </w:pPr>
            <w:r>
              <w:rPr>
                <w:sz w:val="16"/>
              </w:rPr>
              <w:t xml:space="preserve">Kab. Kendal</w:t>
            </w:r>
          </w:p>
        </w:tc>
        <w:tc>
          <w:tcPr/>
          <w:p>
            <w:pPr>
              <w:pStyle w:val="Compact"/>
              <w:spacing w:after="0" w:before="0"/>
            </w:pPr>
            <w:r>
              <w:rPr>
                <w:sz w:val="16"/>
              </w:rPr>
              <w:t xml:space="preserve">437</w:t>
            </w:r>
          </w:p>
        </w:tc>
        <w:tc>
          <w:tcPr/>
          <w:p>
            <w:pPr>
              <w:pStyle w:val="Compact"/>
              <w:spacing w:after="0" w:before="0"/>
            </w:pPr>
            <w:r>
              <w:rPr>
                <w:sz w:val="16"/>
              </w:rPr>
              <w:t xml:space="preserve">27.41%</w:t>
            </w:r>
          </w:p>
        </w:tc>
        <w:tc>
          <w:tcPr/>
          <w:p>
            <w:pPr>
              <w:pStyle w:val="Compact"/>
              <w:spacing w:after="0" w:before="0"/>
            </w:pPr>
            <w:r>
              <w:rPr>
                <w:sz w:val="16"/>
              </w:rPr>
              <w:t xml:space="preserve">-</w:t>
            </w:r>
          </w:p>
        </w:tc>
        <w:tc>
          <w:tcPr/>
          <w:p>
            <w:pPr>
              <w:pStyle w:val="Compact"/>
              <w:spacing w:after="0" w:before="0"/>
            </w:pPr>
            <w:r>
              <w:rPr>
                <w:sz w:val="16"/>
              </w:rPr>
              <w:t xml:space="preserve">120</w:t>
            </w:r>
          </w:p>
        </w:tc>
        <w:tc>
          <w:tcPr/>
          <w:p>
            <w:pPr>
              <w:pStyle w:val="Compact"/>
              <w:spacing w:after="0" w:before="0"/>
            </w:pPr>
            <w:r>
              <w:rPr>
                <w:sz w:val="16"/>
              </w:rPr>
              <w:t xml:space="preserve">120</w:t>
            </w:r>
          </w:p>
        </w:tc>
        <w:tc>
          <w:tcPr/>
          <w:p>
            <w:pPr>
              <w:pStyle w:val="Compact"/>
              <w:spacing w:after="0" w:before="0"/>
            </w:pPr>
          </w:p>
        </w:tc>
      </w:tr>
      <w:tr>
        <w:tc>
          <w:tcPr/>
          <w:p>
            <w:pPr>
              <w:pStyle w:val="Compact"/>
              <w:spacing w:after="0" w:before="0"/>
            </w:pPr>
            <w:r>
              <w:rPr>
                <w:sz w:val="16"/>
              </w:rPr>
              <w:t xml:space="preserve">Kab. Wonogiri</w:t>
            </w:r>
          </w:p>
        </w:tc>
        <w:tc>
          <w:tcPr/>
          <w:p>
            <w:pPr>
              <w:pStyle w:val="Compact"/>
              <w:spacing w:after="0" w:before="0"/>
            </w:pPr>
            <w:r>
              <w:rPr>
                <w:sz w:val="16"/>
              </w:rPr>
              <w:t xml:space="preserve">422</w:t>
            </w:r>
          </w:p>
        </w:tc>
        <w:tc>
          <w:tcPr/>
          <w:p>
            <w:pPr>
              <w:pStyle w:val="Compact"/>
              <w:spacing w:after="0" w:before="0"/>
            </w:pPr>
            <w:r>
              <w:rPr>
                <w:sz w:val="16"/>
              </w:rPr>
              <w:t xml:space="preserve">20.02%</w:t>
            </w:r>
          </w:p>
        </w:tc>
        <w:tc>
          <w:tcPr/>
          <w:p>
            <w:pPr>
              <w:pStyle w:val="Compact"/>
              <w:spacing w:after="0" w:before="0"/>
            </w:pPr>
            <w:r>
              <w:rPr>
                <w:sz w:val="16"/>
              </w:rPr>
              <w:t xml:space="preserve">-</w:t>
            </w:r>
          </w:p>
        </w:tc>
        <w:tc>
          <w:tcPr/>
          <w:p>
            <w:pPr>
              <w:pStyle w:val="Compact"/>
              <w:spacing w:after="0" w:before="0"/>
            </w:pPr>
            <w:r>
              <w:rPr>
                <w:sz w:val="16"/>
              </w:rPr>
              <w:t xml:space="preserve">84</w:t>
            </w:r>
          </w:p>
        </w:tc>
        <w:tc>
          <w:tcPr/>
          <w:p>
            <w:pPr>
              <w:pStyle w:val="Compact"/>
              <w:spacing w:after="0" w:before="0"/>
            </w:pPr>
            <w:r>
              <w:rPr>
                <w:sz w:val="16"/>
              </w:rPr>
              <w:t xml:space="preserve">84</w:t>
            </w:r>
          </w:p>
        </w:tc>
        <w:tc>
          <w:tcPr/>
          <w:p>
            <w:pPr>
              <w:pStyle w:val="Compact"/>
              <w:spacing w:after="0" w:before="0"/>
            </w:pPr>
          </w:p>
        </w:tc>
      </w:tr>
      <w:tr>
        <w:tc>
          <w:tcPr/>
          <w:p>
            <w:pPr>
              <w:pStyle w:val="Compact"/>
              <w:spacing w:after="0" w:before="0"/>
            </w:pPr>
            <w:r>
              <w:rPr>
                <w:sz w:val="16"/>
              </w:rPr>
              <w:t xml:space="preserve">Kota Pekalongan</w:t>
            </w:r>
          </w:p>
        </w:tc>
        <w:tc>
          <w:tcPr/>
          <w:p>
            <w:pPr>
              <w:pStyle w:val="Compact"/>
              <w:spacing w:after="0" w:before="0"/>
            </w:pPr>
            <w:r>
              <w:rPr>
                <w:sz w:val="16"/>
              </w:rPr>
              <w:t xml:space="preserve">164</w:t>
            </w:r>
          </w:p>
        </w:tc>
        <w:tc>
          <w:tcPr/>
          <w:p>
            <w:pPr>
              <w:pStyle w:val="Compact"/>
              <w:spacing w:after="0" w:before="0"/>
            </w:pPr>
            <w:r>
              <w:rPr>
                <w:sz w:val="16"/>
              </w:rPr>
              <w:t xml:space="preserve">48.16%</w:t>
            </w:r>
          </w:p>
        </w:tc>
        <w:tc>
          <w:tcPr/>
          <w:p>
            <w:pPr>
              <w:pStyle w:val="Compact"/>
              <w:spacing w:after="0" w:before="0"/>
            </w:pPr>
            <w:r>
              <w:rPr>
                <w:sz w:val="16"/>
              </w:rPr>
              <w:t xml:space="preserve">-</w:t>
            </w:r>
          </w:p>
        </w:tc>
        <w:tc>
          <w:tcPr/>
          <w:p>
            <w:pPr>
              <w:pStyle w:val="Compact"/>
              <w:spacing w:after="0" w:before="0"/>
            </w:pPr>
            <w:r>
              <w:rPr>
                <w:sz w:val="16"/>
              </w:rPr>
              <w:t xml:space="preserve">79</w:t>
            </w:r>
          </w:p>
        </w:tc>
        <w:tc>
          <w:tcPr/>
          <w:p>
            <w:pPr>
              <w:pStyle w:val="Compact"/>
              <w:spacing w:after="0" w:before="0"/>
            </w:pPr>
            <w:r>
              <w:rPr>
                <w:sz w:val="16"/>
              </w:rPr>
              <w:t xml:space="preserve">79</w:t>
            </w:r>
          </w:p>
        </w:tc>
        <w:tc>
          <w:tcPr/>
          <w:p>
            <w:pPr>
              <w:pStyle w:val="Compact"/>
              <w:spacing w:after="0" w:before="0"/>
            </w:pPr>
          </w:p>
        </w:tc>
      </w:tr>
      <w:tr>
        <w:tc>
          <w:tcPr/>
          <w:p>
            <w:pPr>
              <w:pStyle w:val="Compact"/>
              <w:spacing w:after="0" w:before="0"/>
            </w:pPr>
            <w:r>
              <w:rPr>
                <w:sz w:val="16"/>
              </w:rPr>
              <w:t xml:space="preserve">Kota Magelang</w:t>
            </w:r>
          </w:p>
        </w:tc>
        <w:tc>
          <w:tcPr/>
          <w:p>
            <w:pPr>
              <w:pStyle w:val="Compact"/>
              <w:spacing w:after="0" w:before="0"/>
            </w:pPr>
            <w:r>
              <w:rPr>
                <w:sz w:val="16"/>
              </w:rPr>
              <w:t xml:space="preserve">50</w:t>
            </w:r>
          </w:p>
        </w:tc>
        <w:tc>
          <w:tcPr/>
          <w:p>
            <w:pPr>
              <w:pStyle w:val="Compact"/>
              <w:spacing w:after="0" w:before="0"/>
            </w:pPr>
            <w:r>
              <w:rPr>
                <w:sz w:val="16"/>
              </w:rPr>
              <w:t xml:space="preserve">68.49%</w:t>
            </w:r>
          </w:p>
        </w:tc>
        <w:tc>
          <w:tcPr/>
          <w:p>
            <w:pPr>
              <w:pStyle w:val="Compact"/>
              <w:spacing w:after="0" w:before="0"/>
            </w:pPr>
            <w:r>
              <w:rPr>
                <w:sz w:val="16"/>
              </w:rPr>
              <w:t xml:space="preserve">-</w:t>
            </w:r>
          </w:p>
        </w:tc>
        <w:tc>
          <w:tcPr/>
          <w:p>
            <w:pPr>
              <w:pStyle w:val="Compact"/>
              <w:spacing w:after="0" w:before="0"/>
            </w:pPr>
            <w:r>
              <w:rPr>
                <w:sz w:val="16"/>
              </w:rPr>
              <w:t xml:space="preserve">34</w:t>
            </w:r>
          </w:p>
        </w:tc>
        <w:tc>
          <w:tcPr/>
          <w:p>
            <w:pPr>
              <w:pStyle w:val="Compact"/>
              <w:spacing w:after="0" w:before="0"/>
            </w:pPr>
            <w:r>
              <w:rPr>
                <w:sz w:val="16"/>
              </w:rPr>
              <w:t xml:space="preserve">34</w:t>
            </w:r>
          </w:p>
        </w:tc>
        <w:tc>
          <w:tcPr/>
          <w:p>
            <w:pPr>
              <w:pStyle w:val="Compact"/>
              <w:spacing w:after="0" w:before="0"/>
            </w:pPr>
          </w:p>
        </w:tc>
      </w:tr>
    </w:tbl>
    <w:p>
      <w:pPr>
        <w:pStyle w:val="Caption"/>
      </w:pPr>
      <w:r>
        <w:t xml:space="preserve">Table 5: Managed waste in 2025 (constant-share scenario). Status-index values of the 14 original locations are carried over from v2 without re-audit of their definition.</w:t>
      </w:r>
    </w:p>
    <w:p>
      <w:pPr>
        <w:pStyle w:val="CaptionedFigure"/>
      </w:pPr>
      <w:r>
        <w:drawing>
          <wp:inline>
            <wp:extent cx="4859999" cy="3087529"/>
            <wp:effectExtent b="0" l="0" r="0" t="0"/>
            <wp:docPr descr="Figure 2: Managed share by indicator family. Grey lines join the two values held for the same location." title="" id="17" name="Picture"/>
            <a:graphic>
              <a:graphicData uri="http://schemas.openxmlformats.org/drawingml/2006/picture">
                <pic:pic>
                  <pic:nvPicPr>
                    <pic:cNvPr descr="/home/user/claude/MSW_pathway_model_v3/docs/figures/fig_qmanaged.png" id="18" name="Picture"/>
                    <pic:cNvPicPr>
                      <a:picLocks noChangeArrowheads="1" noChangeAspect="1"/>
                    </pic:cNvPicPr>
                  </pic:nvPicPr>
                  <pic:blipFill>
                    <a:blip r:embed="rId16"/>
                    <a:stretch>
                      <a:fillRect/>
                    </a:stretch>
                  </pic:blipFill>
                  <pic:spPr bwMode="auto">
                    <a:xfrm>
                      <a:off x="0" y="0"/>
                      <a:ext cx="4859999" cy="3087529"/>
                    </a:xfrm>
                    <a:prstGeom prst="rect">
                      <a:avLst/>
                    </a:prstGeom>
                    <a:noFill/>
                    <a:ln w="9525">
                      <a:noFill/>
                      <a:headEnd/>
                      <a:tailEnd/>
                    </a:ln>
                  </pic:spPr>
                </pic:pic>
              </a:graphicData>
            </a:graphic>
          </wp:inline>
        </w:drawing>
      </w:r>
    </w:p>
    <w:p>
      <w:pPr>
        <w:pStyle w:val="ImageCaption"/>
      </w:pPr>
      <w:r>
        <w:t xml:space="preserve">Figure 2: Managed share by indicator family. Grey lines join the two values held for the same location.</w:t>
      </w:r>
    </w:p>
    <w:bookmarkEnd w:id="19"/>
    <w:bookmarkStart w:id="23" w:name="X0874d47f705b64f8e60c96cce23a54499fc23c8"/>
    <w:p>
      <w:pPr>
        <w:pStyle w:val="Heading2"/>
      </w:pPr>
      <w:r>
        <w:t xml:space="preserve">3.4 Waste-fraction taxonomy: Level I, II and III</w:t>
      </w:r>
    </w:p>
    <w:p>
      <w:pPr>
        <w:pStyle w:val="FirstParagraph"/>
        <w:jc w:val="both"/>
      </w:pPr>
      <w:r>
        <w:t xml:space="preserve">The taxonomy follows the tiered approach of Edjabou et al. (2015): 10 Level I material groups, 36 harmonised Level II fractions (aluminium foil merged into metal packaging, which gives the 36 stated in the source prose while the printed Table 2 lists 37) and a catalogue of 56 Level III refinements. The catalogue is</w:t>
      </w:r>
      <w:r>
        <w:t xml:space="preserve"> </w:t>
      </w:r>
      <w:r>
        <w:rPr>
          <w:b/>
          <w:bCs/>
        </w:rPr>
        <w:t xml:space="preserve">provisional</w:t>
      </w:r>
      <w:r>
        <w:t xml:space="preserve">: the printed source table has duplicated codes (condoms), WEEE printed under 10.3, index notation for plastics and metals, and no explicit food refinements. The six Level III food sub-fractions are a modelling interpretation. The 56 entries are neither 56 measurements nor a complete terminal partition.</w:t>
      </w:r>
    </w:p>
    <w:p>
      <w:pPr>
        <w:pStyle w:val="BodyText"/>
        <w:jc w:val="both"/>
      </w:pPr>
      <w:r>
        <w:t xml:space="preserve">All joins use the key (level, code), stored as text so that codes such as 6.1 and 6.10 cannot collide. The crosswalk (</w:t>
      </w:r>
      <w:r>
        <w:rPr>
          <w:i/>
          <w:iCs/>
        </w:rPr>
        <w:t xml:space="preserve">taxonomy_crosswalk.csv</w:t>
      </w:r>
      <w:r>
        <w:t xml:space="preserve">) records for every key its parent, the model fraction it maps to and a note where the mapping is not one-to-one. Three cases matter. (i) The ferrous/non-ferrous split (6.x.1, 6.x.2) has the parent</w:t>
      </w:r>
      <w:r>
        <w:t xml:space="preserve"> </w:t>
      </w:r>
      <w:r>
        <w:rPr>
          <w:i/>
          <w:iCs/>
        </w:rPr>
        <w:t xml:space="preserve">all metal</w:t>
      </w:r>
      <w:r>
        <w:t xml:space="preserve"> </w:t>
      </w:r>
      <w:r>
        <w:t xml:space="preserve">and crosses 6.1 and 6.2; it is excluded from the terminal partition and kept as a cross-cutting attribute. (ii) The local label of 4.3,</w:t>
      </w:r>
      <w:r>
        <w:t xml:space="preserve"> </w:t>
      </w:r>
      <w:r>
        <w:rPr>
          <w:i/>
          <w:iCs/>
        </w:rPr>
        <w:t xml:space="preserve">cartons, plates and cups</w:t>
      </w:r>
      <w:r>
        <w:t xml:space="preserve">, is broader than the Danish</w:t>
      </w:r>
      <w:r>
        <w:t xml:space="preserve"> </w:t>
      </w:r>
      <w:r>
        <w:rPr>
          <w:i/>
          <w:iCs/>
        </w:rPr>
        <w:t xml:space="preserve">beverage cartons</w:t>
      </w:r>
      <w:r>
        <w:t xml:space="preserve">, and beverage cartons appear again as 4.4.1; no Danish value is copied to 4.3. (iii) Level I</w:t>
      </w:r>
      <w:r>
        <w:t xml:space="preserve"> </w:t>
      </w:r>
      <w:r>
        <w:rPr>
          <w:i/>
          <w:iCs/>
        </w:rPr>
        <w:t xml:space="preserve">Gardening</w:t>
      </w:r>
      <w:r>
        <w:t xml:space="preserve"> </w:t>
      </w:r>
      <w:r>
        <w:t xml:space="preserve">and</w:t>
      </w:r>
      <w:r>
        <w:t xml:space="preserve"> </w:t>
      </w:r>
      <w:r>
        <w:rPr>
          <w:i/>
          <w:iCs/>
        </w:rPr>
        <w:t xml:space="preserve">Miscellaneous combustibles</w:t>
      </w:r>
      <w:r>
        <w:t xml:space="preserve"> </w:t>
      </w:r>
      <w:r>
        <w:t xml:space="preserve">are heterogeneous and do not map to one IPCC category.</w:t>
      </w:r>
    </w:p>
    <w:p>
      <w:pPr>
        <w:pStyle w:val="BodyText"/>
        <w:jc w:val="both"/>
      </w:pPr>
      <w:r>
        <w:rPr>
          <w:b/>
          <w:bCs/>
        </w:rPr>
        <w:t xml:space="preserve">Mass balance.</w:t>
      </w:r>
      <w:r>
        <w:t xml:space="preserve"> </w:t>
      </w:r>
      <w:r>
        <w:t xml:space="preserve">The Level III detail file holds only catalogued refinements and covers 76.8 to 93.7% of each stream; it is not forced to 100%. Where a full terminal partition is needed, it is built from the 54 Level III leaves (56 minus the two cross-parent metal rows) and the 24 Level II fractions without children (including 6.1 and 6.2):</w:t>
      </w:r>
      <w:r>
        <w:t xml:space="preserve"> </w:t>
      </w:r>
      <w:r>
        <w:rPr>
          <w:b/>
          <w:bCs/>
        </w:rPr>
        <w:t xml:space="preserve">78 leaves</w:t>
      </w:r>
      <w:r>
        <w:t xml:space="preserve">, each stream summing to 100%. Because every catalogued parent is fully split by its priors, no residual leaf is needed (the code would create one, labelled</w:t>
      </w:r>
      <w:r>
        <w:t xml:space="preserve"> </w:t>
      </w:r>
      <w:r>
        <w:rPr>
          <w:i/>
          <w:iCs/>
        </w:rPr>
        <w:t xml:space="preserve">X.R unrefined remainder</w:t>
      </w:r>
      <w:r>
        <w:t xml:space="preserve">, if a gap appeared).</w:t>
      </w:r>
    </w:p>
    <w:p>
      <w:pPr>
        <w:pStyle w:val="BodyText"/>
        <w:jc w:val="both"/>
      </w:pPr>
      <w:r>
        <w:rPr>
          <w:b/>
          <w:bCs/>
        </w:rPr>
        <w:t xml:space="preserve">Benchmarks and conditional shares.</w:t>
      </w:r>
      <w:r>
        <w:t xml:space="preserve"> </w:t>
      </w:r>
      <w:r>
        <w:t xml:space="preserve">The Danish single- and multi-family values (Edjabou et al. 2015, Tables 3 and 4) are percentages of total residual household waste. They are a foreign benchmark: not an Indonesian city measurement and not non-domestic waste. A conditional share within the parent is computed only for complete sibling sets on the same basis:</w:t>
      </w:r>
    </w:p>
    <w:p>
      <w:pPr>
        <w:pStyle w:val="BodyText"/>
      </w:pPr>
      <m:oMathPara>
        <m:oMathParaPr>
          <m:jc m:val="center"/>
        </m:oMathParaPr>
        <m:oMath>
          <m:r>
            <m:t>p</m:t>
          </m:r>
          <m:r>
            <m:rPr>
              <m:sty m:val="p"/>
            </m:rPr>
            <m:t>(</m:t>
          </m:r>
          <m:r>
            <m:t>c</m:t>
          </m:r>
          <m:r>
            <m:t> </m:t>
          </m:r>
          <m:r>
            <m:rPr>
              <m:sty m:val="p"/>
            </m:rPr>
            <m:t>|</m:t>
          </m:r>
          <m:r>
            <m:t> </m:t>
          </m:r>
          <m:r>
            <m:t>π</m:t>
          </m:r>
          <m:r>
            <m:rPr>
              <m:sty m:val="p"/>
            </m:rPr>
            <m:t>)</m:t>
          </m:r>
          <m:r>
            <m:rPr>
              <m:sty m:val="p"/>
            </m:rPr>
            <m:t>=</m:t>
          </m:r>
          <m:f>
            <m:fPr>
              <m:type m:val="bar"/>
            </m:fPr>
            <m:num>
              <m:sSub>
                <m:e>
                  <m:r>
                    <m:t>x</m:t>
                  </m:r>
                </m:e>
                <m:sub>
                  <m:r>
                    <m:t>c</m:t>
                  </m:r>
                </m:sub>
              </m:sSub>
            </m:num>
            <m:den>
              <m:nary>
                <m:naryPr>
                  <m:chr m:val="∑"/>
                  <m:limLoc m:val="undOvr"/>
                  <m:subHide m:val="off"/>
                  <m:supHide m:val="on"/>
                </m:naryPr>
                <m:sub>
                  <m:sSup>
                    <m:e>
                      <m:r>
                        <m:t>c</m:t>
                      </m:r>
                    </m:e>
                    <m:sup>
                      <m:r>
                        <m:rPr>
                          <m:sty m:val="p"/>
                        </m:rPr>
                        <m:t>′</m:t>
                      </m:r>
                    </m:sup>
                  </m:sSup>
                  <m:r>
                    <m:rPr>
                      <m:sty m:val="p"/>
                    </m:rPr>
                    <m:t>∈</m:t>
                  </m:r>
                  <m:r>
                    <m:rPr>
                      <m:sty m:val="p"/>
                    </m:rPr>
                    <m:t>c</m:t>
                  </m:r>
                  <m:r>
                    <m:rPr>
                      <m:sty m:val="p"/>
                    </m:rPr>
                    <m:t>h</m:t>
                  </m:r>
                  <m:r>
                    <m:rPr>
                      <m:sty m:val="p"/>
                    </m:rPr>
                    <m:t>(</m:t>
                  </m:r>
                  <m:r>
                    <m:t>π</m:t>
                  </m:r>
                  <m:r>
                    <m:rPr>
                      <m:sty m:val="p"/>
                    </m:rPr>
                    <m:t>)</m:t>
                  </m:r>
                </m:sub>
                <m:sup>
                  <m:r>
                    <m:t>​</m:t>
                  </m:r>
                </m:sup>
                <m:e>
                  <m:sSub>
                    <m:e>
                      <m:r>
                        <m:t>x</m:t>
                      </m:r>
                    </m:e>
                    <m:sub>
                      <m:sSup>
                        <m:e>
                          <m:r>
                            <m:t>c</m:t>
                          </m:r>
                        </m:e>
                        <m:sup>
                          <m:r>
                            <m:rPr>
                              <m:sty m:val="p"/>
                            </m:rPr>
                            <m:t>′</m:t>
                          </m:r>
                        </m:sup>
                      </m:sSup>
                    </m:sub>
                  </m:sSub>
                </m:e>
              </m:nary>
            </m:den>
          </m:f>
          <m:r>
            <m:t>  </m:t>
          </m:r>
          <m:r>
            <m:rPr>
              <m:sty m:val="p"/>
            </m:rPr>
            <m:t>o</m:t>
          </m:r>
          <m:r>
            <m:rPr>
              <m:sty m:val="p"/>
            </m:rPr>
            <m:t>n</m:t>
          </m:r>
          <m:r>
            <m:rPr>
              <m:sty m:val="p"/>
            </m:rPr>
            <m:t>l</m:t>
          </m:r>
          <m:r>
            <m:rPr>
              <m:sty m:val="p"/>
            </m:rPr>
            <m:t>y</m:t>
          </m:r>
          <m:r>
            <m:rPr>
              <m:sty m:val="p"/>
            </m:rPr>
            <m:t> </m:t>
          </m:r>
          <m:r>
            <m:rPr>
              <m:sty m:val="p"/>
            </m:rPr>
            <m:t>i</m:t>
          </m:r>
          <m:r>
            <m:rPr>
              <m:sty m:val="p"/>
            </m:rPr>
            <m:t>f</m:t>
          </m:r>
          <m:r>
            <m:rPr>
              <m:sty m:val="p"/>
            </m:rPr>
            <m:t> </m:t>
          </m:r>
          <m:r>
            <m:rPr>
              <m:sty m:val="p"/>
            </m:rPr>
            <m:t>e</m:t>
          </m:r>
          <m:r>
            <m:rPr>
              <m:sty m:val="p"/>
            </m:rPr>
            <m:t>v</m:t>
          </m:r>
          <m:r>
            <m:rPr>
              <m:sty m:val="p"/>
            </m:rPr>
            <m:t>e</m:t>
          </m:r>
          <m:r>
            <m:rPr>
              <m:sty m:val="p"/>
            </m:rPr>
            <m:t>r</m:t>
          </m:r>
          <m:r>
            <m:rPr>
              <m:sty m:val="p"/>
            </m:rPr>
            <m:t>y</m:t>
          </m:r>
          <m:r>
            <m:rPr>
              <m:sty m:val="p"/>
            </m:rPr>
            <m:t> </m:t>
          </m:r>
          <m:sSub>
            <m:e>
              <m:r>
                <m:t>x</m:t>
              </m:r>
            </m:e>
            <m:sub>
              <m:sSup>
                <m:e>
                  <m:r>
                    <m:t>c</m:t>
                  </m:r>
                </m:e>
                <m:sup>
                  <m:r>
                    <m:rPr>
                      <m:sty m:val="p"/>
                    </m:rPr>
                    <m:t>′</m:t>
                  </m:r>
                </m:sup>
              </m:sSup>
            </m:sub>
          </m:sSub>
          <m:r>
            <m:rPr>
              <m:sty m:val="p"/>
            </m:rPr>
            <m:t> </m:t>
          </m:r>
          <m:r>
            <m:rPr>
              <m:sty m:val="p"/>
            </m:rPr>
            <m:t>i</m:t>
          </m:r>
          <m:r>
            <m:rPr>
              <m:sty m:val="p"/>
            </m:rPr>
            <m:t>s</m:t>
          </m:r>
          <m:r>
            <m:rPr>
              <m:sty m:val="p"/>
            </m:rPr>
            <m:t> </m:t>
          </m:r>
          <m:r>
            <m:rPr>
              <m:sty m:val="p"/>
            </m:rPr>
            <m:t>o</m:t>
          </m:r>
          <m:r>
            <m:rPr>
              <m:sty m:val="p"/>
            </m:rPr>
            <m:t>b</m:t>
          </m:r>
          <m:r>
            <m:rPr>
              <m:sty m:val="p"/>
            </m:rPr>
            <m:t>s</m:t>
          </m:r>
          <m:r>
            <m:rPr>
              <m:sty m:val="p"/>
            </m:rPr>
            <m:t>e</m:t>
          </m:r>
          <m:r>
            <m:rPr>
              <m:sty m:val="p"/>
            </m:rPr>
            <m:t>r</m:t>
          </m:r>
          <m:r>
            <m:rPr>
              <m:sty m:val="p"/>
            </m:rPr>
            <m:t>v</m:t>
          </m:r>
          <m:r>
            <m:rPr>
              <m:sty m:val="p"/>
            </m:rPr>
            <m:t>e</m:t>
          </m:r>
          <m:r>
            <m:rPr>
              <m:sty m:val="p"/>
            </m:rPr>
            <m:t>d</m:t>
          </m:r>
          <m:r>
            <m:t>  </m:t>
          </m:r>
          <m:r>
            <m:rPr>
              <m:sty m:val="p"/>
            </m:rPr>
            <m:t>(</m:t>
          </m:r>
          <m:r>
            <m:t>3</m:t>
          </m:r>
          <m:r>
            <m:rPr>
              <m:sty m:val="p"/>
            </m:rPr>
            <m:t>)</m:t>
          </m:r>
        </m:oMath>
      </m:oMathPara>
    </w:p>
    <w:p>
      <w:pPr>
        <w:pStyle w:val="FirstParagraph"/>
        <w:jc w:val="both"/>
      </w:pPr>
      <w:r>
        <w:t xml:space="preserve">This holds for 11 sibling sets (food, gardening, paper, plastic, metal, glass, miscellaneous combustibles and special waste at Level II; packaging plastic, plastic film and packaging glass at Level III). Board (4.3 missing), inert (9.3, 9.4 missing), garden waste (2.2.4), miscellaneous paper (3.7.4, 3.7.5) and miscellaneous board (4.4.1, 4.4.2) are incomplete and receive no conditional share; partial subsets are not renormalised. Reported zeros are kept; a pseudocount for a Dirichlet prior would be a separate modelling decision.</w:t>
      </w:r>
    </w:p>
    <w:p>
      <w:pPr>
        <w:pStyle w:val="BodyText"/>
        <w:jc w:val="both"/>
      </w:pPr>
      <w:r>
        <w:rPr>
          <w:b/>
          <w:bCs/>
        </w:rPr>
        <w:t xml:space="preserve">Allocation priors.</w:t>
      </w:r>
      <w:r>
        <w:t xml:space="preserve"> </w:t>
      </w:r>
      <w:r>
        <w:t xml:space="preserve">The Level I/II/III compositions (</w:t>
      </w:r>
      <w:r>
        <w:rPr>
          <w:i/>
          <w:iCs/>
        </w:rPr>
        <w:t xml:space="preserve">composition_level*_2025.csv</w:t>
      </w:r>
      <w:r>
        <w:t xml:space="preserve">) rescale the package allocations to the 2025 stream masses and label every split with its audit ID. The audit found that several are priors without an Indonesian or literature basis (A01 organic 85/15, A03 lain-lain 80/20, A05 gardening 2/98 where Table 3 gives 9.2/90.8, A09 B3 20/80 where Table 3 implies 28.6/71.4, and the equal-share Level III splits); others are rounded Danish ratios (A04, A06 to A08). These allocations are database content for future calibration.</w:t>
      </w:r>
      <w:r>
        <w:t xml:space="preserve"> </w:t>
      </w:r>
      <w:r>
        <w:rPr>
          <w:b/>
          <w:bCs/>
        </w:rPr>
        <w:t xml:space="preserve">They are not used by the model</w:t>
      </w:r>
      <w:r>
        <w:t xml:space="preserve">, which computes on the ten model fractions mapped directly from the RIPS categories (Figure 6).</w:t>
      </w:r>
    </w:p>
    <w:p>
      <w:pPr>
        <w:pStyle w:val="CaptionedFigure"/>
      </w:pPr>
      <w:r>
        <w:drawing>
          <wp:inline>
            <wp:extent cx="5579999" cy="2343599"/>
            <wp:effectExtent b="0" l="0" r="0" t="0"/>
            <wp:docPr descr="Figure 3: Status of material parameters by level (left) and availability of Danish composition benchmarks (right)." title="" id="21" name="Picture"/>
            <a:graphic>
              <a:graphicData uri="http://schemas.openxmlformats.org/drawingml/2006/picture">
                <pic:pic>
                  <pic:nvPicPr>
                    <pic:cNvPr descr="/home/user/claude/MSW_pathway_model_v3/docs/figures/fig_hierarchy.png" id="22" name="Picture"/>
                    <pic:cNvPicPr>
                      <a:picLocks noChangeArrowheads="1" noChangeAspect="1"/>
                    </pic:cNvPicPr>
                  </pic:nvPicPr>
                  <pic:blipFill>
                    <a:blip r:embed="rId20"/>
                    <a:stretch>
                      <a:fillRect/>
                    </a:stretch>
                  </pic:blipFill>
                  <pic:spPr bwMode="auto">
                    <a:xfrm>
                      <a:off x="0" y="0"/>
                      <a:ext cx="5579999" cy="2343599"/>
                    </a:xfrm>
                    <a:prstGeom prst="rect">
                      <a:avLst/>
                    </a:prstGeom>
                    <a:noFill/>
                    <a:ln w="9525">
                      <a:noFill/>
                      <a:headEnd/>
                      <a:tailEnd/>
                    </a:ln>
                  </pic:spPr>
                </pic:pic>
              </a:graphicData>
            </a:graphic>
          </wp:inline>
        </w:drawing>
      </w:r>
    </w:p>
    <w:p>
      <w:pPr>
        <w:pStyle w:val="ImageCaption"/>
      </w:pPr>
      <w:r>
        <w:t xml:space="preserve">Figure 3: Status of material parameters by level (left) and availability of Danish composition benchmarks (right).</w:t>
      </w:r>
    </w:p>
    <w:bookmarkEnd w:id="23"/>
    <w:bookmarkStart w:id="24" w:name="Xb2e7335f35e78df1a97c6c6f7cc5e11ce081d1a"/>
    <w:p>
      <w:pPr>
        <w:pStyle w:val="Heading2"/>
      </w:pPr>
      <w:r>
        <w:t xml:space="preserve">3.5 Material parameters (Table 2 and the detailed table)</w:t>
      </w:r>
    </w:p>
    <w:p>
      <w:pPr>
        <w:pStyle w:val="FirstParagraph"/>
        <w:jc w:val="both"/>
      </w:pPr>
      <w:r>
        <w:t xml:space="preserve">IPCC (2006) Volume 5 Table 2.4 supplies default dry matter, DOC, total carbon and fossil-carbon share for the parent categories; the 2019 Refinement Table 3.0 supplies DOCf: 0.70 for food and garden/grass, 0.50 for paper, textile and nappies and 0.10 for wood and branches. DOC is on a dry basis and multiplies dry mass; the wet value is</w:t>
      </w:r>
    </w:p>
    <w:p>
      <w:pPr>
        <w:pStyle w:val="BodyText"/>
      </w:pPr>
      <m:oMathPara>
        <m:oMathParaPr>
          <m:jc m:val="center"/>
        </m:oMathParaPr>
        <m:oMath>
          <m:sSub>
            <m:e>
              <m:r>
                <m:rPr>
                  <m:sty m:val="p"/>
                </m:rPr>
                <m:t>D</m:t>
              </m:r>
              <m:r>
                <m:rPr>
                  <m:sty m:val="p"/>
                </m:rPr>
                <m:t>O</m:t>
              </m:r>
              <m:r>
                <m:rPr>
                  <m:sty m:val="p"/>
                </m:rPr>
                <m:t>C</m:t>
              </m:r>
            </m:e>
            <m:sub>
              <m:r>
                <m:t>w</m:t>
              </m:r>
              <m:r>
                <m:t>e</m:t>
              </m:r>
              <m:r>
                <m:t>t</m:t>
              </m:r>
            </m:sub>
          </m:sSub>
          <m:r>
            <m:rPr>
              <m:sty m:val="p"/>
            </m:rPr>
            <m:t>=</m:t>
          </m:r>
          <m:sSub>
            <m:e>
              <m:r>
                <m:rPr>
                  <m:sty m:val="p"/>
                </m:rPr>
                <m:t>D</m:t>
              </m:r>
              <m:r>
                <m:rPr>
                  <m:sty m:val="p"/>
                </m:rPr>
                <m:t>O</m:t>
              </m:r>
              <m:r>
                <m:rPr>
                  <m:sty m:val="p"/>
                </m:rPr>
                <m:t>C</m:t>
              </m:r>
            </m:e>
            <m:sub>
              <m:r>
                <m:t>d</m:t>
              </m:r>
              <m:r>
                <m:t>r</m:t>
              </m:r>
              <m:r>
                <m:t>y</m:t>
              </m:r>
            </m:sub>
          </m:sSub>
          <m:r>
            <m:t> </m:t>
          </m:r>
          <m:r>
            <m:rPr>
              <m:sty m:val="p"/>
            </m:rPr>
            <m:t>(</m:t>
          </m:r>
          <m:r>
            <m:t>1</m:t>
          </m:r>
          <m:r>
            <m:rPr>
              <m:sty m:val="p"/>
            </m:rPr>
            <m:t>−</m:t>
          </m:r>
          <m:r>
            <m:t>w</m:t>
          </m:r>
          <m:r>
            <m:rPr>
              <m:sty m:val="p"/>
            </m:rPr>
            <m:t>)</m:t>
          </m:r>
          <m:r>
            <m:t>  </m:t>
          </m:r>
          <m:r>
            <m:rPr>
              <m:sty m:val="p"/>
            </m:rPr>
            <m:t>C</m:t>
          </m:r>
          <m:sSub>
            <m:e>
              <m:r>
                <m:rPr>
                  <m:sty m:val="p"/>
                </m:rPr>
                <m:t>H</m:t>
              </m:r>
            </m:e>
            <m:sub>
              <m:r>
                <m:rPr>
                  <m:sty m:val="p"/>
                </m:rPr>
                <m:t>4</m:t>
              </m:r>
            </m:sub>
          </m:sSub>
          <m:r>
            <m:rPr>
              <m:sty m:val="p"/>
            </m:rPr>
            <m:t>=</m:t>
          </m:r>
          <m:sSup>
            <m:e>
              <m:r>
                <m:t>10</m:t>
              </m:r>
            </m:e>
            <m:sup>
              <m:r>
                <m:t>3</m:t>
              </m:r>
            </m:sup>
          </m:sSup>
          <m:r>
            <m:t> </m:t>
          </m:r>
          <m:sSub>
            <m:e>
              <m:r>
                <m:t>k</m:t>
              </m:r>
            </m:e>
            <m:sub>
              <m:r>
                <m:t>D</m:t>
              </m:r>
            </m:sub>
          </m:sSub>
          <m:r>
            <m:t> </m:t>
          </m:r>
          <m:r>
            <m:rPr>
              <m:sty m:val="p"/>
            </m:rPr>
            <m:t>M</m:t>
          </m:r>
          <m:r>
            <m:rPr>
              <m:sty m:val="p"/>
            </m:rPr>
            <m:t>C</m:t>
          </m:r>
          <m:r>
            <m:rPr>
              <m:sty m:val="p"/>
            </m:rPr>
            <m:t>F</m:t>
          </m:r>
          <m:r>
            <m:t> </m:t>
          </m:r>
          <m:r>
            <m:t>F</m:t>
          </m:r>
          <m:r>
            <m:t> </m:t>
          </m:r>
          <m:f>
            <m:fPr>
              <m:type m:val="bar"/>
            </m:fPr>
            <m:num>
              <m:r>
                <m:t>16</m:t>
              </m:r>
            </m:num>
            <m:den>
              <m:r>
                <m:t>12</m:t>
              </m:r>
            </m:den>
          </m:f>
          <m:nary>
            <m:naryPr>
              <m:chr m:val="∑"/>
              <m:limLoc m:val="undOvr"/>
              <m:subHide m:val="off"/>
              <m:supHide m:val="on"/>
            </m:naryPr>
            <m:sub>
              <m:r>
                <m:t>j</m:t>
              </m:r>
            </m:sub>
            <m:sup>
              <m:r>
                <m:t>​</m:t>
              </m:r>
            </m:sup>
            <m:e>
              <m:sSub>
                <m:e>
                  <m:r>
                    <m:t>m</m:t>
                  </m:r>
                </m:e>
                <m:sub>
                  <m:r>
                    <m:t>j</m:t>
                  </m:r>
                </m:sub>
              </m:sSub>
            </m:e>
          </m:nary>
          <m:r>
            <m:rPr>
              <m:sty m:val="p"/>
            </m:rPr>
            <m:t>(</m:t>
          </m:r>
          <m:r>
            <m:t>1</m:t>
          </m:r>
          <m:r>
            <m:rPr>
              <m:sty m:val="p"/>
            </m:rPr>
            <m:t>−</m:t>
          </m:r>
          <m:sSub>
            <m:e>
              <m:r>
                <m:t>w</m:t>
              </m:r>
            </m:e>
            <m:sub>
              <m:r>
                <m:t>j</m:t>
              </m:r>
            </m:sub>
          </m:sSub>
          <m:r>
            <m:rPr>
              <m:sty m:val="p"/>
            </m:rPr>
            <m:t>)</m:t>
          </m:r>
          <m:r>
            <m:t> </m:t>
          </m:r>
          <m:sSub>
            <m:e>
              <m:r>
                <m:rPr>
                  <m:sty m:val="p"/>
                </m:rPr>
                <m:t>D</m:t>
              </m:r>
              <m:r>
                <m:rPr>
                  <m:sty m:val="p"/>
                </m:rPr>
                <m:t>O</m:t>
              </m:r>
              <m:r>
                <m:rPr>
                  <m:sty m:val="p"/>
                </m:rPr>
                <m:t>C</m:t>
              </m:r>
            </m:e>
            <m:sub>
              <m:r>
                <m:t>d</m:t>
              </m:r>
              <m:r>
                <m:t>r</m:t>
              </m:r>
              <m:r>
                <m:t>y</m:t>
              </m:r>
              <m:r>
                <m:rPr>
                  <m:sty m:val="p"/>
                </m:rPr>
                <m:t>,</m:t>
              </m:r>
              <m:r>
                <m:t>j</m:t>
              </m:r>
            </m:sub>
          </m:sSub>
          <m:r>
            <m:t> </m:t>
          </m:r>
          <m:sSub>
            <m:e>
              <m:r>
                <m:rPr>
                  <m:sty m:val="p"/>
                </m:rPr>
                <m:t>D</m:t>
              </m:r>
              <m:r>
                <m:rPr>
                  <m:sty m:val="p"/>
                </m:rPr>
                <m:t>O</m:t>
              </m:r>
              <m:r>
                <m:rPr>
                  <m:sty m:val="p"/>
                </m:rPr>
                <m:t>C</m:t>
              </m:r>
              <m:r>
                <m:rPr>
                  <m:sty m:val="p"/>
                </m:rPr>
                <m:t>f</m:t>
              </m:r>
            </m:e>
            <m:sub>
              <m:r>
                <m:t>j</m:t>
              </m:r>
            </m:sub>
          </m:sSub>
          <m:r>
            <m:t>  </m:t>
          </m:r>
          <m:r>
            <m:rPr>
              <m:sty m:val="p"/>
            </m:rPr>
            <m:t>(</m:t>
          </m:r>
          <m:r>
            <m:t>4</m:t>
          </m:r>
          <m:r>
            <m:rPr>
              <m:sty m:val="p"/>
            </m:rPr>
            <m:t>)</m:t>
          </m:r>
        </m:oMath>
      </m:oMathPara>
    </w:p>
    <w:p>
      <w:pPr>
        <w:pStyle w:val="FirstParagraph"/>
        <w:jc w:val="both"/>
      </w:pPr>
      <w:r>
        <w:t xml:space="preserve">so moisture is applied once. With IPCC moisture the check reproduces the IPCC wet DOC values (food 0.15, garden 0.20, paper 0.40, wood 0.43, textile 0.24, rubber 0.39) within 0.005. Landfill DOCf is not the biochemical methane potential of a digester: AD uses its own yield parameter (A8).</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805"/>
        <w:gridCol w:w="536"/>
        <w:gridCol w:w="1208"/>
        <w:gridCol w:w="536"/>
        <w:gridCol w:w="1342"/>
        <w:gridCol w:w="402"/>
        <w:gridCol w:w="402"/>
        <w:gridCol w:w="1342"/>
        <w:gridCol w:w="1342"/>
      </w:tblGrid>
      <w:tr>
        <w:trPr>
          <w:tblHeader w:val="on"/>
        </w:trPr>
        <w:tc>
          <w:tcPr>
            <w:shd w:val="clear" w:color="auto" w:fill="DCE6F0"/>
          </w:tcPr>
          <w:p>
            <w:pPr>
              <w:pStyle w:val="Compact"/>
              <w:spacing w:after="0" w:before="0"/>
            </w:pPr>
            <w:r>
              <w:rPr>
                <w:b/>
                <w:sz w:val="16"/>
              </w:rPr>
              <w:t xml:space="preserve">Fraction</w:t>
            </w:r>
          </w:p>
        </w:tc>
        <w:tc>
          <w:tcPr>
            <w:shd w:val="clear" w:color="auto" w:fill="DCE6F0"/>
          </w:tcPr>
          <w:p>
            <w:pPr>
              <w:pStyle w:val="Compact"/>
              <w:spacing w:after="0" w:before="0"/>
            </w:pPr>
            <w:r>
              <w:rPr>
                <w:b/>
                <w:sz w:val="16"/>
              </w:rPr>
              <w:t xml:space="preserve">w IPCC</w:t>
            </w:r>
          </w:p>
        </w:tc>
        <w:tc>
          <w:tcPr>
            <w:shd w:val="clear" w:color="auto" w:fill="DCE6F0"/>
          </w:tcPr>
          <w:p>
            <w:pPr>
              <w:pStyle w:val="Compact"/>
              <w:spacing w:after="0" w:before="0"/>
            </w:pPr>
            <w:r>
              <w:rPr>
                <w:b/>
                <w:sz w:val="16"/>
              </w:rPr>
              <w:t xml:space="preserve">w as received (range)</w:t>
            </w:r>
          </w:p>
        </w:tc>
        <w:tc>
          <w:tcPr>
            <w:shd w:val="clear" w:color="auto" w:fill="DCE6F0"/>
          </w:tcPr>
          <w:p>
            <w:pPr>
              <w:pStyle w:val="Compact"/>
              <w:spacing w:after="0" w:before="0"/>
            </w:pPr>
            <w:r>
              <w:rPr>
                <w:b/>
                <w:sz w:val="16"/>
              </w:rPr>
              <w:t xml:space="preserve">DOC dry</w:t>
            </w:r>
          </w:p>
        </w:tc>
        <w:tc>
          <w:tcPr>
            <w:shd w:val="clear" w:color="auto" w:fill="DCE6F0"/>
          </w:tcPr>
          <w:p>
            <w:pPr>
              <w:pStyle w:val="Compact"/>
              <w:spacing w:after="0" w:before="0"/>
            </w:pPr>
            <w:r>
              <w:rPr>
                <w:b/>
                <w:sz w:val="16"/>
              </w:rPr>
              <w:t xml:space="preserve">DOCf (status)</w:t>
            </w:r>
          </w:p>
        </w:tc>
        <w:tc>
          <w:tcPr>
            <w:shd w:val="clear" w:color="auto" w:fill="DCE6F0"/>
          </w:tcPr>
          <w:p>
            <w:pPr>
              <w:pStyle w:val="Compact"/>
              <w:spacing w:after="0" w:before="0"/>
            </w:pPr>
            <w:r>
              <w:rPr>
                <w:b/>
                <w:sz w:val="16"/>
              </w:rPr>
              <w:t xml:space="preserve">C</w:t>
            </w:r>
          </w:p>
        </w:tc>
        <w:tc>
          <w:tcPr>
            <w:shd w:val="clear" w:color="auto" w:fill="DCE6F0"/>
          </w:tcPr>
          <w:p>
            <w:pPr>
              <w:pStyle w:val="Compact"/>
              <w:spacing w:after="0" w:before="0"/>
            </w:pPr>
            <w:r>
              <w:rPr>
                <w:b/>
                <w:sz w:val="16"/>
              </w:rPr>
              <w:t xml:space="preserve">φ</w:t>
            </w:r>
          </w:p>
        </w:tc>
        <w:tc>
          <w:tcPr>
            <w:shd w:val="clear" w:color="auto" w:fill="DCE6F0"/>
          </w:tcPr>
          <w:p>
            <w:pPr>
              <w:pStyle w:val="Compact"/>
              <w:spacing w:after="0" w:before="0"/>
            </w:pPr>
            <w:r>
              <w:rPr>
                <w:b/>
                <w:sz w:val="16"/>
              </w:rPr>
              <w:t xml:space="preserve">h dry MJ/kg (status)</w:t>
            </w:r>
          </w:p>
        </w:tc>
        <w:tc>
          <w:tcPr>
            <w:shd w:val="clear" w:color="auto" w:fill="DCE6F0"/>
          </w:tcPr>
          <w:p>
            <w:pPr>
              <w:pStyle w:val="Compact"/>
              <w:spacing w:after="0" w:before="0"/>
            </w:pPr>
            <w:r>
              <w:rPr>
                <w:b/>
                <w:sz w:val="16"/>
              </w:rPr>
              <w:t xml:space="preserve">τ (status)</w:t>
            </w:r>
          </w:p>
        </w:tc>
      </w:tr>
      <w:tr>
        <w:tc>
          <w:tcPr/>
          <w:p>
            <w:pPr>
              <w:pStyle w:val="Compact"/>
              <w:spacing w:after="0" w:before="0"/>
            </w:pPr>
            <w:r>
              <w:rPr>
                <w:sz w:val="16"/>
              </w:rPr>
              <w:t xml:space="preserve">food</w:t>
            </w:r>
          </w:p>
        </w:tc>
        <w:tc>
          <w:tcPr/>
          <w:p>
            <w:pPr>
              <w:pStyle w:val="Compact"/>
              <w:spacing w:after="0" w:before="0"/>
            </w:pPr>
            <w:r>
              <w:rPr>
                <w:sz w:val="16"/>
              </w:rPr>
              <w:t xml:space="preserve">0.60</w:t>
            </w:r>
          </w:p>
        </w:tc>
        <w:tc>
          <w:tcPr/>
          <w:p>
            <w:pPr>
              <w:pStyle w:val="Compact"/>
              <w:spacing w:after="0" w:before="0"/>
            </w:pPr>
            <w:r>
              <w:rPr>
                <w:sz w:val="16"/>
              </w:rPr>
              <w:t xml:space="preserve">0.75 (0.65-0.82)</w:t>
            </w:r>
          </w:p>
        </w:tc>
        <w:tc>
          <w:tcPr/>
          <w:p>
            <w:pPr>
              <w:pStyle w:val="Compact"/>
              <w:spacing w:after="0" w:before="0"/>
            </w:pPr>
            <w:r>
              <w:rPr>
                <w:sz w:val="16"/>
              </w:rPr>
              <w:t xml:space="preserve">0.38</w:t>
            </w:r>
          </w:p>
        </w:tc>
        <w:tc>
          <w:tcPr/>
          <w:p>
            <w:pPr>
              <w:pStyle w:val="Compact"/>
              <w:spacing w:after="0" w:before="0"/>
            </w:pPr>
            <w:r>
              <w:rPr>
                <w:sz w:val="16"/>
              </w:rPr>
              <w:t xml:space="preserve">0.70 (IPCC 2019)</w:t>
            </w:r>
          </w:p>
        </w:tc>
        <w:tc>
          <w:tcPr/>
          <w:p>
            <w:pPr>
              <w:pStyle w:val="Compact"/>
              <w:spacing w:after="0" w:before="0"/>
            </w:pPr>
            <w:r>
              <w:rPr>
                <w:sz w:val="16"/>
              </w:rPr>
              <w:t xml:space="preserve">0.38</w:t>
            </w:r>
          </w:p>
        </w:tc>
        <w:tc>
          <w:tcPr/>
          <w:p>
            <w:pPr>
              <w:pStyle w:val="Compact"/>
              <w:spacing w:after="0" w:before="0"/>
            </w:pPr>
            <w:r>
              <w:rPr>
                <w:sz w:val="16"/>
              </w:rPr>
              <w:t xml:space="preserve">0.00</w:t>
            </w:r>
          </w:p>
        </w:tc>
        <w:tc>
          <w:tcPr/>
          <w:p>
            <w:pPr>
              <w:pStyle w:val="Compact"/>
              <w:spacing w:after="0" w:before="0"/>
            </w:pPr>
            <w:r>
              <w:rPr>
                <w:sz w:val="16"/>
              </w:rPr>
              <w:t xml:space="preserve">16.5 (legacy)</w:t>
            </w:r>
          </w:p>
        </w:tc>
        <w:tc>
          <w:tcPr/>
          <w:p>
            <w:pPr>
              <w:pStyle w:val="Compact"/>
              <w:spacing w:after="0" w:before="0"/>
            </w:pPr>
            <w:r>
              <w:rPr>
                <w:sz w:val="16"/>
              </w:rPr>
              <w:t xml:space="preserve">0.10 (legacy A)</w:t>
            </w:r>
          </w:p>
        </w:tc>
      </w:tr>
      <w:tr>
        <w:tc>
          <w:tcPr/>
          <w:p>
            <w:pPr>
              <w:pStyle w:val="Compact"/>
              <w:spacing w:after="0" w:before="0"/>
            </w:pPr>
            <w:r>
              <w:rPr>
                <w:sz w:val="16"/>
              </w:rPr>
              <w:t xml:space="preserve">garden</w:t>
            </w:r>
          </w:p>
        </w:tc>
        <w:tc>
          <w:tcPr/>
          <w:p>
            <w:pPr>
              <w:pStyle w:val="Compact"/>
              <w:spacing w:after="0" w:before="0"/>
            </w:pPr>
            <w:r>
              <w:rPr>
                <w:sz w:val="16"/>
              </w:rPr>
              <w:t xml:space="preserve">0.60</w:t>
            </w:r>
          </w:p>
        </w:tc>
        <w:tc>
          <w:tcPr/>
          <w:p>
            <w:pPr>
              <w:pStyle w:val="Compact"/>
              <w:spacing w:after="0" w:before="0"/>
            </w:pPr>
            <w:r>
              <w:rPr>
                <w:sz w:val="16"/>
              </w:rPr>
              <w:t xml:space="preserve">0.55 (0.40-0.65)</w:t>
            </w:r>
          </w:p>
        </w:tc>
        <w:tc>
          <w:tcPr/>
          <w:p>
            <w:pPr>
              <w:pStyle w:val="Compact"/>
              <w:spacing w:after="0" w:before="0"/>
            </w:pPr>
            <w:r>
              <w:rPr>
                <w:sz w:val="16"/>
              </w:rPr>
              <w:t xml:space="preserve">0.49</w:t>
            </w:r>
          </w:p>
        </w:tc>
        <w:tc>
          <w:tcPr/>
          <w:p>
            <w:pPr>
              <w:pStyle w:val="Compact"/>
              <w:spacing w:after="0" w:before="0"/>
            </w:pPr>
            <w:r>
              <w:rPr>
                <w:sz w:val="16"/>
              </w:rPr>
              <w:t xml:space="preserve">0.70 (IPCC 2019)</w:t>
            </w:r>
          </w:p>
        </w:tc>
        <w:tc>
          <w:tcPr/>
          <w:p>
            <w:pPr>
              <w:pStyle w:val="Compact"/>
              <w:spacing w:after="0" w:before="0"/>
            </w:pPr>
            <w:r>
              <w:rPr>
                <w:sz w:val="16"/>
              </w:rPr>
              <w:t xml:space="preserve">0.49</w:t>
            </w:r>
          </w:p>
        </w:tc>
        <w:tc>
          <w:tcPr/>
          <w:p>
            <w:pPr>
              <w:pStyle w:val="Compact"/>
              <w:spacing w:after="0" w:before="0"/>
            </w:pPr>
            <w:r>
              <w:rPr>
                <w:sz w:val="16"/>
              </w:rPr>
              <w:t xml:space="preserve">0.00</w:t>
            </w:r>
          </w:p>
        </w:tc>
        <w:tc>
          <w:tcPr/>
          <w:p>
            <w:pPr>
              <w:pStyle w:val="Compact"/>
              <w:spacing w:after="0" w:before="0"/>
            </w:pPr>
            <w:r>
              <w:rPr>
                <w:sz w:val="16"/>
              </w:rPr>
              <w:t xml:space="preserve">16.0 (legacy)</w:t>
            </w:r>
          </w:p>
        </w:tc>
        <w:tc>
          <w:tcPr/>
          <w:p>
            <w:pPr>
              <w:pStyle w:val="Compact"/>
              <w:spacing w:after="0" w:before="0"/>
            </w:pPr>
            <w:r>
              <w:rPr>
                <w:sz w:val="16"/>
              </w:rPr>
              <w:t xml:space="preserve">0.40 (legacy A)</w:t>
            </w:r>
          </w:p>
        </w:tc>
      </w:tr>
      <w:tr>
        <w:tc>
          <w:tcPr/>
          <w:p>
            <w:pPr>
              <w:pStyle w:val="Compact"/>
              <w:spacing w:after="0" w:before="0"/>
            </w:pPr>
            <w:r>
              <w:rPr>
                <w:sz w:val="16"/>
              </w:rPr>
              <w:t xml:space="preserve">paper</w:t>
            </w:r>
          </w:p>
        </w:tc>
        <w:tc>
          <w:tcPr/>
          <w:p>
            <w:pPr>
              <w:pStyle w:val="Compact"/>
              <w:spacing w:after="0" w:before="0"/>
            </w:pPr>
            <w:r>
              <w:rPr>
                <w:sz w:val="16"/>
              </w:rPr>
              <w:t xml:space="preserve">0.10</w:t>
            </w:r>
          </w:p>
        </w:tc>
        <w:tc>
          <w:tcPr/>
          <w:p>
            <w:pPr>
              <w:pStyle w:val="Compact"/>
              <w:spacing w:after="0" w:before="0"/>
            </w:pPr>
            <w:r>
              <w:rPr>
                <w:sz w:val="16"/>
              </w:rPr>
              <w:t xml:space="preserve">0.35 (0.15-0.50)</w:t>
            </w:r>
          </w:p>
        </w:tc>
        <w:tc>
          <w:tcPr/>
          <w:p>
            <w:pPr>
              <w:pStyle w:val="Compact"/>
              <w:spacing w:after="0" w:before="0"/>
            </w:pPr>
            <w:r>
              <w:rPr>
                <w:sz w:val="16"/>
              </w:rPr>
              <w:t xml:space="preserve">0.44</w:t>
            </w:r>
          </w:p>
        </w:tc>
        <w:tc>
          <w:tcPr/>
          <w:p>
            <w:pPr>
              <w:pStyle w:val="Compact"/>
              <w:spacing w:after="0" w:before="0"/>
            </w:pPr>
            <w:r>
              <w:rPr>
                <w:sz w:val="16"/>
              </w:rPr>
              <w:t xml:space="preserve">0.50 (IPCC 2019)</w:t>
            </w:r>
          </w:p>
        </w:tc>
        <w:tc>
          <w:tcPr/>
          <w:p>
            <w:pPr>
              <w:pStyle w:val="Compact"/>
              <w:spacing w:after="0" w:before="0"/>
            </w:pPr>
            <w:r>
              <w:rPr>
                <w:sz w:val="16"/>
              </w:rPr>
              <w:t xml:space="preserve">0.46</w:t>
            </w:r>
          </w:p>
        </w:tc>
        <w:tc>
          <w:tcPr/>
          <w:p>
            <w:pPr>
              <w:pStyle w:val="Compact"/>
              <w:spacing w:after="0" w:before="0"/>
            </w:pPr>
            <w:r>
              <w:rPr>
                <w:sz w:val="16"/>
              </w:rPr>
              <w:t xml:space="preserve">0.01</w:t>
            </w:r>
          </w:p>
        </w:tc>
        <w:tc>
          <w:tcPr/>
          <w:p>
            <w:pPr>
              <w:pStyle w:val="Compact"/>
              <w:spacing w:after="0" w:before="0"/>
            </w:pPr>
            <w:r>
              <w:rPr>
                <w:sz w:val="16"/>
              </w:rPr>
              <w:t xml:space="preserve">16.0 (legacy)</w:t>
            </w:r>
          </w:p>
        </w:tc>
        <w:tc>
          <w:tcPr/>
          <w:p>
            <w:pPr>
              <w:pStyle w:val="Compact"/>
              <w:spacing w:after="0" w:before="0"/>
            </w:pPr>
            <w:r>
              <w:rPr>
                <w:sz w:val="16"/>
              </w:rPr>
              <w:t xml:space="preserve">0.70 (legacy (Nasrullah))</w:t>
            </w:r>
          </w:p>
        </w:tc>
      </w:tr>
      <w:tr>
        <w:tc>
          <w:tcPr/>
          <w:p>
            <w:pPr>
              <w:pStyle w:val="Compact"/>
              <w:spacing w:after="0" w:before="0"/>
            </w:pPr>
            <w:r>
              <w:rPr>
                <w:sz w:val="16"/>
              </w:rPr>
              <w:t xml:space="preserve">wood</w:t>
            </w:r>
          </w:p>
        </w:tc>
        <w:tc>
          <w:tcPr/>
          <w:p>
            <w:pPr>
              <w:pStyle w:val="Compact"/>
              <w:spacing w:after="0" w:before="0"/>
            </w:pPr>
            <w:r>
              <w:rPr>
                <w:sz w:val="16"/>
              </w:rPr>
              <w:t xml:space="preserve">0.15</w:t>
            </w:r>
          </w:p>
        </w:tc>
        <w:tc>
          <w:tcPr/>
          <w:p>
            <w:pPr>
              <w:pStyle w:val="Compact"/>
              <w:spacing w:after="0" w:before="0"/>
            </w:pPr>
            <w:r>
              <w:rPr>
                <w:sz w:val="16"/>
              </w:rPr>
              <w:t xml:space="preserve">0.25 (0.15-0.40)</w:t>
            </w:r>
          </w:p>
        </w:tc>
        <w:tc>
          <w:tcPr/>
          <w:p>
            <w:pPr>
              <w:pStyle w:val="Compact"/>
              <w:spacing w:after="0" w:before="0"/>
            </w:pPr>
            <w:r>
              <w:rPr>
                <w:sz w:val="16"/>
              </w:rPr>
              <w:t xml:space="preserve">0.50</w:t>
            </w:r>
          </w:p>
        </w:tc>
        <w:tc>
          <w:tcPr/>
          <w:p>
            <w:pPr>
              <w:pStyle w:val="Compact"/>
              <w:spacing w:after="0" w:before="0"/>
            </w:pPr>
            <w:r>
              <w:rPr>
                <w:sz w:val="16"/>
              </w:rPr>
              <w:t xml:space="preserve">0.10 (IPCC 2019)</w:t>
            </w:r>
          </w:p>
        </w:tc>
        <w:tc>
          <w:tcPr/>
          <w:p>
            <w:pPr>
              <w:pStyle w:val="Compact"/>
              <w:spacing w:after="0" w:before="0"/>
            </w:pPr>
            <w:r>
              <w:rPr>
                <w:sz w:val="16"/>
              </w:rPr>
              <w:t xml:space="preserve">0.50</w:t>
            </w:r>
          </w:p>
        </w:tc>
        <w:tc>
          <w:tcPr/>
          <w:p>
            <w:pPr>
              <w:pStyle w:val="Compact"/>
              <w:spacing w:after="0" w:before="0"/>
            </w:pPr>
            <w:r>
              <w:rPr>
                <w:sz w:val="16"/>
              </w:rPr>
              <w:t xml:space="preserve">0.00</w:t>
            </w:r>
          </w:p>
        </w:tc>
        <w:tc>
          <w:tcPr/>
          <w:p>
            <w:pPr>
              <w:pStyle w:val="Compact"/>
              <w:spacing w:after="0" w:before="0"/>
            </w:pPr>
            <w:r>
              <w:rPr>
                <w:sz w:val="16"/>
              </w:rPr>
              <w:t xml:space="preserve">18.0 (legacy)</w:t>
            </w:r>
          </w:p>
        </w:tc>
        <w:tc>
          <w:tcPr/>
          <w:p>
            <w:pPr>
              <w:pStyle w:val="Compact"/>
              <w:spacing w:after="0" w:before="0"/>
            </w:pPr>
            <w:r>
              <w:rPr>
                <w:sz w:val="16"/>
              </w:rPr>
              <w:t xml:space="preserve">0.60 (legacy (Nasrullah))</w:t>
            </w:r>
          </w:p>
        </w:tc>
      </w:tr>
      <w:tr>
        <w:tc>
          <w:tcPr/>
          <w:p>
            <w:pPr>
              <w:pStyle w:val="Compact"/>
              <w:spacing w:after="0" w:before="0"/>
            </w:pPr>
            <w:r>
              <w:rPr>
                <w:sz w:val="16"/>
              </w:rPr>
              <w:t xml:space="preserve">textile</w:t>
            </w:r>
          </w:p>
        </w:tc>
        <w:tc>
          <w:tcPr/>
          <w:p>
            <w:pPr>
              <w:pStyle w:val="Compact"/>
              <w:spacing w:after="0" w:before="0"/>
            </w:pPr>
            <w:r>
              <w:rPr>
                <w:sz w:val="16"/>
              </w:rPr>
              <w:t xml:space="preserve">0.20</w:t>
            </w:r>
          </w:p>
        </w:tc>
        <w:tc>
          <w:tcPr/>
          <w:p>
            <w:pPr>
              <w:pStyle w:val="Compact"/>
              <w:spacing w:after="0" w:before="0"/>
            </w:pPr>
            <w:r>
              <w:rPr>
                <w:sz w:val="16"/>
              </w:rPr>
              <w:t xml:space="preserve">0.35 (0.15-0.50)</w:t>
            </w:r>
          </w:p>
        </w:tc>
        <w:tc>
          <w:tcPr/>
          <w:p>
            <w:pPr>
              <w:pStyle w:val="Compact"/>
              <w:spacing w:after="0" w:before="0"/>
            </w:pPr>
            <w:r>
              <w:rPr>
                <w:sz w:val="16"/>
              </w:rPr>
              <w:t xml:space="preserve">0.30</w:t>
            </w:r>
          </w:p>
        </w:tc>
        <w:tc>
          <w:tcPr/>
          <w:p>
            <w:pPr>
              <w:pStyle w:val="Compact"/>
              <w:spacing w:after="0" w:before="0"/>
            </w:pPr>
            <w:r>
              <w:rPr>
                <w:sz w:val="16"/>
              </w:rPr>
              <w:t xml:space="preserve">0.50 (IPCC 2019)</w:t>
            </w:r>
          </w:p>
        </w:tc>
        <w:tc>
          <w:tcPr/>
          <w:p>
            <w:pPr>
              <w:pStyle w:val="Compact"/>
              <w:spacing w:after="0" w:before="0"/>
            </w:pPr>
            <w:r>
              <w:rPr>
                <w:sz w:val="16"/>
              </w:rPr>
              <w:t xml:space="preserve">0.50</w:t>
            </w:r>
          </w:p>
        </w:tc>
        <w:tc>
          <w:tcPr/>
          <w:p>
            <w:pPr>
              <w:pStyle w:val="Compact"/>
              <w:spacing w:after="0" w:before="0"/>
            </w:pPr>
            <w:r>
              <w:rPr>
                <w:sz w:val="16"/>
              </w:rPr>
              <w:t xml:space="preserve">0.20</w:t>
            </w:r>
          </w:p>
        </w:tc>
        <w:tc>
          <w:tcPr/>
          <w:p>
            <w:pPr>
              <w:pStyle w:val="Compact"/>
              <w:spacing w:after="0" w:before="0"/>
            </w:pPr>
            <w:r>
              <w:rPr>
                <w:sz w:val="16"/>
              </w:rPr>
              <w:t xml:space="preserve">18.5 (legacy)</w:t>
            </w:r>
          </w:p>
        </w:tc>
        <w:tc>
          <w:tcPr/>
          <w:p>
            <w:pPr>
              <w:pStyle w:val="Compact"/>
              <w:spacing w:after="0" w:before="0"/>
            </w:pPr>
            <w:r>
              <w:rPr>
                <w:sz w:val="16"/>
              </w:rPr>
              <w:t xml:space="preserve">0.70 (legacy A)</w:t>
            </w:r>
          </w:p>
        </w:tc>
      </w:tr>
      <w:tr>
        <w:tc>
          <w:tcPr/>
          <w:p>
            <w:pPr>
              <w:pStyle w:val="Compact"/>
              <w:spacing w:after="0" w:before="0"/>
            </w:pPr>
            <w:r>
              <w:rPr>
                <w:sz w:val="16"/>
              </w:rPr>
              <w:t xml:space="preserve">rubber</w:t>
            </w:r>
          </w:p>
        </w:tc>
        <w:tc>
          <w:tcPr/>
          <w:p>
            <w:pPr>
              <w:pStyle w:val="Compact"/>
              <w:spacing w:after="0" w:before="0"/>
            </w:pPr>
            <w:r>
              <w:rPr>
                <w:sz w:val="16"/>
              </w:rPr>
              <w:t xml:space="preserve">0.16</w:t>
            </w:r>
          </w:p>
        </w:tc>
        <w:tc>
          <w:tcPr/>
          <w:p>
            <w:pPr>
              <w:pStyle w:val="Compact"/>
              <w:spacing w:after="0" w:before="0"/>
            </w:pPr>
            <w:r>
              <w:rPr>
                <w:sz w:val="16"/>
              </w:rPr>
              <w:t xml:space="preserve">0.15 (0.05-0.25)</w:t>
            </w:r>
          </w:p>
        </w:tc>
        <w:tc>
          <w:tcPr/>
          <w:p>
            <w:pPr>
              <w:pStyle w:val="Compact"/>
              <w:spacing w:after="0" w:before="0"/>
            </w:pPr>
            <w:r>
              <w:rPr>
                <w:sz w:val="16"/>
              </w:rPr>
              <w:t xml:space="preserve">0.47</w:t>
            </w:r>
          </w:p>
        </w:tc>
        <w:tc>
          <w:tcPr/>
          <w:p>
            <w:pPr>
              <w:pStyle w:val="Compact"/>
              <w:spacing w:after="0" w:before="0"/>
            </w:pPr>
            <w:r>
              <w:rPr>
                <w:sz w:val="16"/>
              </w:rPr>
              <w:t xml:space="preserve">blank; (gap: scenario 0-0.5)</w:t>
            </w:r>
          </w:p>
        </w:tc>
        <w:tc>
          <w:tcPr/>
          <w:p>
            <w:pPr>
              <w:pStyle w:val="Compact"/>
              <w:spacing w:after="0" w:before="0"/>
            </w:pPr>
            <w:r>
              <w:rPr>
                <w:sz w:val="16"/>
              </w:rPr>
              <w:t xml:space="preserve">0.67</w:t>
            </w:r>
          </w:p>
        </w:tc>
        <w:tc>
          <w:tcPr/>
          <w:p>
            <w:pPr>
              <w:pStyle w:val="Compact"/>
              <w:spacing w:after="0" w:before="0"/>
            </w:pPr>
            <w:r>
              <w:rPr>
                <w:sz w:val="16"/>
              </w:rPr>
              <w:t xml:space="preserve">0.20</w:t>
            </w:r>
          </w:p>
        </w:tc>
        <w:tc>
          <w:tcPr/>
          <w:p>
            <w:pPr>
              <w:pStyle w:val="Compact"/>
              <w:spacing w:after="0" w:before="0"/>
            </w:pPr>
            <w:r>
              <w:rPr>
                <w:sz w:val="16"/>
              </w:rPr>
              <w:t xml:space="preserve">23.0 (legacy)</w:t>
            </w:r>
          </w:p>
        </w:tc>
        <w:tc>
          <w:tcPr/>
          <w:p>
            <w:pPr>
              <w:pStyle w:val="Compact"/>
              <w:spacing w:after="0" w:before="0"/>
            </w:pPr>
            <w:r>
              <w:rPr>
                <w:sz w:val="16"/>
              </w:rPr>
              <w:t xml:space="preserve">0.60 (legacy A)</w:t>
            </w:r>
          </w:p>
        </w:tc>
      </w:tr>
      <w:tr>
        <w:tc>
          <w:tcPr/>
          <w:p>
            <w:pPr>
              <w:pStyle w:val="Compact"/>
              <w:spacing w:after="0" w:before="0"/>
            </w:pPr>
            <w:r>
              <w:rPr>
                <w:sz w:val="16"/>
              </w:rPr>
              <w:t xml:space="preserve">plastic</w:t>
            </w:r>
          </w:p>
        </w:tc>
        <w:tc>
          <w:tcPr/>
          <w:p>
            <w:pPr>
              <w:pStyle w:val="Compact"/>
              <w:spacing w:after="0" w:before="0"/>
            </w:pPr>
            <w:r>
              <w:rPr>
                <w:sz w:val="16"/>
              </w:rPr>
              <w:t xml:space="preserve">0.00</w:t>
            </w:r>
          </w:p>
        </w:tc>
        <w:tc>
          <w:tcPr/>
          <w:p>
            <w:pPr>
              <w:pStyle w:val="Compact"/>
              <w:spacing w:after="0" w:before="0"/>
            </w:pPr>
            <w:r>
              <w:rPr>
                <w:sz w:val="16"/>
              </w:rPr>
              <w:t xml:space="preserve">0.22 (0.05-0.35)</w:t>
            </w:r>
          </w:p>
        </w:tc>
        <w:tc>
          <w:tcPr/>
          <w:p>
            <w:pPr>
              <w:pStyle w:val="Compact"/>
              <w:spacing w:after="0" w:before="0"/>
            </w:pPr>
            <w:r>
              <w:rPr>
                <w:sz w:val="16"/>
              </w:rPr>
              <w:t xml:space="preserve">0.00</w:t>
            </w:r>
          </w:p>
        </w:tc>
        <w:tc>
          <w:tcPr/>
          <w:p>
            <w:pPr>
              <w:pStyle w:val="Compact"/>
              <w:spacing w:after="0" w:before="0"/>
            </w:pPr>
            <w:r>
              <w:rPr>
                <w:sz w:val="16"/>
              </w:rPr>
              <w:t xml:space="preserve">0.00 (n/a)</w:t>
            </w:r>
          </w:p>
        </w:tc>
        <w:tc>
          <w:tcPr/>
          <w:p>
            <w:pPr>
              <w:pStyle w:val="Compact"/>
              <w:spacing w:after="0" w:before="0"/>
            </w:pPr>
            <w:r>
              <w:rPr>
                <w:sz w:val="16"/>
              </w:rPr>
              <w:t xml:space="preserve">0.75</w:t>
            </w:r>
          </w:p>
        </w:tc>
        <w:tc>
          <w:tcPr/>
          <w:p>
            <w:pPr>
              <w:pStyle w:val="Compact"/>
              <w:spacing w:after="0" w:before="0"/>
            </w:pPr>
            <w:r>
              <w:rPr>
                <w:sz w:val="16"/>
              </w:rPr>
              <w:t xml:space="preserve">1.00</w:t>
            </w:r>
          </w:p>
        </w:tc>
        <w:tc>
          <w:tcPr/>
          <w:p>
            <w:pPr>
              <w:pStyle w:val="Compact"/>
              <w:spacing w:after="0" w:before="0"/>
            </w:pPr>
            <w:r>
              <w:rPr>
                <w:sz w:val="16"/>
              </w:rPr>
              <w:t xml:space="preserve">30.5 (Gotze 2016, TS)</w:t>
            </w:r>
          </w:p>
        </w:tc>
        <w:tc>
          <w:tcPr/>
          <w:p>
            <w:pPr>
              <w:pStyle w:val="Compact"/>
              <w:spacing w:after="0" w:before="0"/>
            </w:pPr>
            <w:r>
              <w:rPr>
                <w:sz w:val="16"/>
              </w:rPr>
              <w:t xml:space="preserve">0.80 (legacy (Nasrullah))</w:t>
            </w:r>
          </w:p>
        </w:tc>
      </w:tr>
      <w:tr>
        <w:tc>
          <w:tcPr/>
          <w:p>
            <w:pPr>
              <w:pStyle w:val="Compact"/>
              <w:spacing w:after="0" w:before="0"/>
            </w:pPr>
            <w:r>
              <w:rPr>
                <w:sz w:val="16"/>
              </w:rPr>
              <w:t xml:space="preserve">metal</w:t>
            </w:r>
          </w:p>
        </w:tc>
        <w:tc>
          <w:tcPr/>
          <w:p>
            <w:pPr>
              <w:pStyle w:val="Compact"/>
              <w:spacing w:after="0" w:before="0"/>
            </w:pPr>
            <w:r>
              <w:rPr>
                <w:sz w:val="16"/>
              </w:rPr>
              <w:t xml:space="preserve">0.00</w:t>
            </w:r>
          </w:p>
        </w:tc>
        <w:tc>
          <w:tcPr/>
          <w:p>
            <w:pPr>
              <w:pStyle w:val="Compact"/>
              <w:spacing w:after="0" w:before="0"/>
            </w:pPr>
            <w:r>
              <w:rPr>
                <w:sz w:val="16"/>
              </w:rPr>
              <w:t xml:space="preserve">0.05 (0.02-0.08)</w:t>
            </w:r>
          </w:p>
        </w:tc>
        <w:tc>
          <w:tcPr/>
          <w:p>
            <w:pPr>
              <w:pStyle w:val="Compact"/>
              <w:spacing w:after="0" w:before="0"/>
            </w:pPr>
            <w:r>
              <w:rPr>
                <w:sz w:val="16"/>
              </w:rPr>
              <w:t xml:space="preserve">0.00</w:t>
            </w:r>
          </w:p>
        </w:tc>
        <w:tc>
          <w:tcPr/>
          <w:p>
            <w:pPr>
              <w:pStyle w:val="Compact"/>
              <w:spacing w:after="0" w:before="0"/>
            </w:pPr>
            <w:r>
              <w:rPr>
                <w:sz w:val="16"/>
              </w:rPr>
              <w:t xml:space="preserve">0.00 (n/a)</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 (-)</w:t>
            </w:r>
          </w:p>
        </w:tc>
        <w:tc>
          <w:tcPr/>
          <w:p>
            <w:pPr>
              <w:pStyle w:val="Compact"/>
              <w:spacing w:after="0" w:before="0"/>
            </w:pPr>
            <w:r>
              <w:rPr>
                <w:sz w:val="16"/>
              </w:rPr>
              <w:t xml:space="preserve">0.00 (-)</w:t>
            </w:r>
          </w:p>
        </w:tc>
      </w:tr>
      <w:tr>
        <w:tc>
          <w:tcPr/>
          <w:p>
            <w:pPr>
              <w:pStyle w:val="Compact"/>
              <w:spacing w:after="0" w:before="0"/>
            </w:pPr>
            <w:r>
              <w:rPr>
                <w:sz w:val="16"/>
              </w:rPr>
              <w:t xml:space="preserve">glass</w:t>
            </w:r>
          </w:p>
        </w:tc>
        <w:tc>
          <w:tcPr/>
          <w:p>
            <w:pPr>
              <w:pStyle w:val="Compact"/>
              <w:spacing w:after="0" w:before="0"/>
            </w:pPr>
            <w:r>
              <w:rPr>
                <w:sz w:val="16"/>
              </w:rPr>
              <w:t xml:space="preserve">0.00</w:t>
            </w:r>
          </w:p>
        </w:tc>
        <w:tc>
          <w:tcPr/>
          <w:p>
            <w:pPr>
              <w:pStyle w:val="Compact"/>
              <w:spacing w:after="0" w:before="0"/>
            </w:pPr>
            <w:r>
              <w:rPr>
                <w:sz w:val="16"/>
              </w:rPr>
              <w:t xml:space="preserve">0.02 (0.01-0.03)</w:t>
            </w:r>
          </w:p>
        </w:tc>
        <w:tc>
          <w:tcPr/>
          <w:p>
            <w:pPr>
              <w:pStyle w:val="Compact"/>
              <w:spacing w:after="0" w:before="0"/>
            </w:pPr>
            <w:r>
              <w:rPr>
                <w:sz w:val="16"/>
              </w:rPr>
              <w:t xml:space="preserve">0.00</w:t>
            </w:r>
          </w:p>
        </w:tc>
        <w:tc>
          <w:tcPr/>
          <w:p>
            <w:pPr>
              <w:pStyle w:val="Compact"/>
              <w:spacing w:after="0" w:before="0"/>
            </w:pPr>
            <w:r>
              <w:rPr>
                <w:sz w:val="16"/>
              </w:rPr>
              <w:t xml:space="preserve">0.00 (n/a)</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 (-)</w:t>
            </w:r>
          </w:p>
        </w:tc>
        <w:tc>
          <w:tcPr/>
          <w:p>
            <w:pPr>
              <w:pStyle w:val="Compact"/>
              <w:spacing w:after="0" w:before="0"/>
            </w:pPr>
            <w:r>
              <w:rPr>
                <w:sz w:val="16"/>
              </w:rPr>
              <w:t xml:space="preserve">0.00 (-)</w:t>
            </w:r>
          </w:p>
        </w:tc>
      </w:tr>
      <w:tr>
        <w:tc>
          <w:tcPr/>
          <w:p>
            <w:pPr>
              <w:pStyle w:val="Compact"/>
              <w:spacing w:after="0" w:before="0"/>
            </w:pPr>
            <w:r>
              <w:rPr>
                <w:sz w:val="16"/>
              </w:rPr>
              <w:t xml:space="preserve">other</w:t>
            </w:r>
          </w:p>
        </w:tc>
        <w:tc>
          <w:tcPr/>
          <w:p>
            <w:pPr>
              <w:pStyle w:val="Compact"/>
              <w:spacing w:after="0" w:before="0"/>
            </w:pPr>
            <w:r>
              <w:rPr>
                <w:sz w:val="16"/>
              </w:rPr>
              <w:t xml:space="preserve">0.10</w:t>
            </w:r>
          </w:p>
        </w:tc>
        <w:tc>
          <w:tcPr/>
          <w:p>
            <w:pPr>
              <w:pStyle w:val="Compact"/>
              <w:spacing w:after="0" w:before="0"/>
            </w:pPr>
            <w:r>
              <w:rPr>
                <w:sz w:val="16"/>
              </w:rPr>
              <w:t xml:space="preserve">0.25 (0.10-0.40)</w:t>
            </w:r>
          </w:p>
        </w:tc>
        <w:tc>
          <w:tcPr/>
          <w:p>
            <w:pPr>
              <w:pStyle w:val="Compact"/>
              <w:spacing w:after="0" w:before="0"/>
            </w:pPr>
            <w:r>
              <w:rPr>
                <w:sz w:val="16"/>
              </w:rPr>
              <w:t xml:space="preserve">0.00</w:t>
            </w:r>
          </w:p>
        </w:tc>
        <w:tc>
          <w:tcPr/>
          <w:p>
            <w:pPr>
              <w:pStyle w:val="Compact"/>
              <w:spacing w:after="0" w:before="0"/>
            </w:pPr>
            <w:r>
              <w:rPr>
                <w:sz w:val="16"/>
              </w:rPr>
              <w:t xml:space="preserve">0.00 (n/a)</w:t>
            </w:r>
          </w:p>
        </w:tc>
        <w:tc>
          <w:tcPr/>
          <w:p>
            <w:pPr>
              <w:pStyle w:val="Compact"/>
              <w:spacing w:after="0" w:before="0"/>
            </w:pPr>
            <w:r>
              <w:rPr>
                <w:sz w:val="16"/>
              </w:rPr>
              <w:t xml:space="preserve">0.03</w:t>
            </w:r>
          </w:p>
        </w:tc>
        <w:tc>
          <w:tcPr/>
          <w:p>
            <w:pPr>
              <w:pStyle w:val="Compact"/>
              <w:spacing w:after="0" w:before="0"/>
            </w:pPr>
            <w:r>
              <w:rPr>
                <w:sz w:val="16"/>
              </w:rPr>
              <w:t xml:space="preserve">1.00</w:t>
            </w:r>
          </w:p>
        </w:tc>
        <w:tc>
          <w:tcPr/>
          <w:p>
            <w:pPr>
              <w:pStyle w:val="Compact"/>
              <w:spacing w:after="0" w:before="0"/>
            </w:pPr>
            <w:r>
              <w:rPr>
                <w:sz w:val="16"/>
              </w:rPr>
              <w:t xml:space="preserve">0.0 (-)</w:t>
            </w:r>
          </w:p>
        </w:tc>
        <w:tc>
          <w:tcPr/>
          <w:p>
            <w:pPr>
              <w:pStyle w:val="Compact"/>
              <w:spacing w:after="0" w:before="0"/>
            </w:pPr>
            <w:r>
              <w:rPr>
                <w:sz w:val="16"/>
              </w:rPr>
              <w:t xml:space="preserve">0.10 (legacy A)</w:t>
            </w:r>
          </w:p>
        </w:tc>
      </w:tr>
    </w:tbl>
    <w:p>
      <w:pPr>
        <w:pStyle w:val="BodyText"/>
        <w:jc w:val="both"/>
      </w:pPr>
      <w:r>
        <w:t xml:space="preserve">Table 2: Properties of the ten model fractions (</w:t>
      </w:r>
      <w:r>
        <w:rPr>
          <w:i/>
          <w:iCs/>
        </w:rPr>
        <w:t xml:space="preserve">table2_model_fraction_parameters.csv</w:t>
      </w:r>
      <w:r>
        <w:t xml:space="preserve">). w, DOC, C and φ: IPCC 2006 Table 2.4 defaults, global, not Indonesia-specific. As-received moisture: analyst assumption carried from v2, calibrated to bulk moisture at Indonesian transfer points (Prabowo et al. 2019). DOCf: IPCC 2019 Table 3.0. h: legacy values cited in v2 to Tchobanoglous et al. (1993), not re-verified, multiplied by k</w:t>
      </w:r>
      <w:r>
        <w:rPr>
          <w:vertAlign w:val="subscript"/>
        </w:rPr>
        <w:t xml:space="preserve">h</w:t>
      </w:r>
      <w:r>
        <w:t xml:space="preserve">; plastic: aggregate median LHV of 30.5 MJ/kg TS (Götze et al. 2016, Section 3.2.3), not resin-specific and not multiplied by k</w:t>
      </w:r>
      <w:r>
        <w:rPr>
          <w:vertAlign w:val="subscript"/>
        </w:rPr>
        <w:t xml:space="preserve">h</w:t>
      </w:r>
      <w:r>
        <w:t xml:space="preserve">. τ: legacy RDF transfer coefficients; paper, plastic and wood informed by measurements on commercial and industrial waste (Nasrullah et al. 2014), the others analyst assumptions.</w:t>
      </w:r>
    </w:p>
    <w:p>
      <w:pPr>
        <w:pStyle w:val="BodyText"/>
        <w:jc w:val="both"/>
      </w:pPr>
      <w:r>
        <w:rPr>
          <w:b/>
          <w:bCs/>
        </w:rPr>
        <w:t xml:space="preserve">Moisture decision.</w:t>
      </w:r>
      <w:r>
        <w:t xml:space="preserve"> </w:t>
      </w:r>
      <w:r>
        <w:t xml:space="preserve">IPCC moisture describes waste as generated; the functional unit is waste as received at the gate, wetter after collection. The main case keeps the v2 as-received values, which bring bulk moisture into the measured Indonesian range, and the IPCC defaults are run as the scenario</w:t>
      </w:r>
      <w:r>
        <w:t xml:space="preserve"> </w:t>
      </w:r>
      <w:r>
        <w:rPr>
          <w:i/>
          <w:iCs/>
        </w:rPr>
        <w:t xml:space="preserve">moisture_IPCC_default</w:t>
      </w:r>
      <w:r>
        <w:t xml:space="preserve">. Both are internally consistent because DOC, carbon and heating value always multiply the same dry mass. The choice matters (Section 8): it is the single data assumption that changes the most probable pathway most often.</w:t>
      </w:r>
    </w:p>
    <w:p>
      <w:pPr>
        <w:pStyle w:val="BodyText"/>
        <w:jc w:val="both"/>
      </w:pPr>
      <w:r>
        <w:rPr>
          <w:b/>
          <w:bCs/>
        </w:rPr>
        <w:t xml:space="preserve">Detailed parameters</w:t>
      </w:r>
      <w:r>
        <w:t xml:space="preserve"> </w:t>
      </w:r>
      <w:r>
        <w:t xml:space="preserve">(</w:t>
      </w:r>
      <w:r>
        <w:rPr>
          <w:i/>
          <w:iCs/>
        </w:rPr>
        <w:t xml:space="preserve">fraction_parameters_L1_L2_L3.csv</w:t>
      </w:r>
      <w:r>
        <w:t xml:space="preserve">, 102 rows). Level II/III values are IPCC parent proxies and keep that status; IPCC did not measure these sub-fractions. Grass, woody material and soil are separated: plant material takes the garden proxy (DOCf 0.70), woody plant material and straw the wood proxy (DOCf 0.10) and humid soil the inert proxy (DOC 0). Composite products receive no whole-product value: coated cartons and cups (4.3, 4.4.1, 4.4.2) keep the paper proxy only for their fibre portion, and composite film, batteries, other HHW, WEEE, tampons and condoms are blank until their material composition is known. Animal-derived food keeps the food proxy with a warning that bones and eggshells lower its degradable carbon. Rubber and leather have no verified DOCf and stay blank. LHV and τ are blank for all sub-fractions. Metal and glass moisture is blank at Level II/III because contamination moisture was not measured; the IPCC dry-matter default of 100% applies at Level I only. Literature from 2026 (the Malang plastic study) is retained as a material benchmark, not as 2025 composition data for the study locations.</w:t>
      </w:r>
    </w:p>
    <w:p>
      <w:pPr>
        <w:pStyle w:val="BodyText"/>
        <w:jc w:val="both"/>
      </w:pPr>
      <w:r>
        <w:t xml:space="preserve">Weighted by the terminal composition, a Level II/III DOC value is known for 83 to 96% of each stream’s wet mass, moisture and carbon for 78 to 93% and DOCf for 52 to 85% (</w:t>
      </w:r>
      <w:r>
        <w:rPr>
          <w:i/>
          <w:iCs/>
        </w:rPr>
        <w:t xml:space="preserve">outputs/11_parameter_coverage_L2L3.csv</w:t>
      </w:r>
      <w:r>
        <w:t xml:space="preserve">). A Level II model cannot yet be run without imputation, which is why the model stays on the ten model fractions.</w:t>
      </w:r>
    </w:p>
    <w:p>
      <w:r>
        <w:br w:type="page"/>
      </w:r>
    </w:p>
    <w:bookmarkEnd w:id="24"/>
    <w:bookmarkEnd w:id="25"/>
    <w:bookmarkStart w:id="33" w:name="model-and-metamodel"/>
    <w:p>
      <w:pPr>
        <w:pStyle w:val="Heading1"/>
      </w:pPr>
      <w:r>
        <w:t xml:space="preserve">4 Model and metamodel</w:t>
      </w:r>
    </w:p>
    <w:p>
      <w:pPr>
        <w:pStyle w:val="FirstParagraph"/>
        <w:jc w:val="both"/>
      </w:pPr>
      <w:r>
        <w:t xml:space="preserve">The computation is split into a data layer and a model layer (Figure 5). The data layer turns the package into status-labelled CSV files; the model layer reads them, harmonises, characterises, evaluates the six options, applies the gates and the decision rule, and propagates uncertainty. Figure 6 is the metamodel: the data entities and which of them feed results.</w:t>
      </w:r>
    </w:p>
    <w:p>
      <w:pPr>
        <w:pStyle w:val="CaptionedFigure"/>
      </w:pPr>
      <w:r>
        <w:drawing>
          <wp:inline>
            <wp:extent cx="5939999" cy="3360062"/>
            <wp:effectExtent b="0" l="0" r="0" t="0"/>
            <wp:docPr descr="Figure 5: Model flow. Every arrow into the model layer is a CSV file." title="" id="27" name="Picture"/>
            <a:graphic>
              <a:graphicData uri="http://schemas.openxmlformats.org/drawingml/2006/picture">
                <pic:pic>
                  <pic:nvPicPr>
                    <pic:cNvPr descr="/home/user/claude/MSW_pathway_model_v3/docs/figures/fig_flow.png" id="28" name="Picture"/>
                    <pic:cNvPicPr>
                      <a:picLocks noChangeArrowheads="1" noChangeAspect="1"/>
                    </pic:cNvPicPr>
                  </pic:nvPicPr>
                  <pic:blipFill>
                    <a:blip r:embed="rId26"/>
                    <a:stretch>
                      <a:fillRect/>
                    </a:stretch>
                  </pic:blipFill>
                  <pic:spPr bwMode="auto">
                    <a:xfrm>
                      <a:off x="0" y="0"/>
                      <a:ext cx="5939999" cy="3360062"/>
                    </a:xfrm>
                    <a:prstGeom prst="rect">
                      <a:avLst/>
                    </a:prstGeom>
                    <a:noFill/>
                    <a:ln w="9525">
                      <a:noFill/>
                      <a:headEnd/>
                      <a:tailEnd/>
                    </a:ln>
                  </pic:spPr>
                </pic:pic>
              </a:graphicData>
            </a:graphic>
          </wp:inline>
        </w:drawing>
      </w:r>
    </w:p>
    <w:p>
      <w:pPr>
        <w:pStyle w:val="ImageCaption"/>
      </w:pPr>
      <w:r>
        <w:t xml:space="preserve">Figure 5: Model flow. Every arrow into the model layer is a CSV file.</w:t>
      </w:r>
    </w:p>
    <w:p>
      <w:pPr>
        <w:pStyle w:val="CaptionedFigure"/>
      </w:pPr>
      <w:r>
        <w:drawing>
          <wp:inline>
            <wp:extent cx="5939999" cy="2547483"/>
            <wp:effectExtent b="0" l="0" r="0" t="0"/>
            <wp:docPr descr="Figure 6: Metamodel. The upper chain produces results; the lower chain (Level I/II/III) is reporting and calibration content and never changes a result." title="" id="30" name="Picture"/>
            <a:graphic>
              <a:graphicData uri="http://schemas.openxmlformats.org/drawingml/2006/picture">
                <pic:pic>
                  <pic:nvPicPr>
                    <pic:cNvPr descr="/home/user/claude/MSW_pathway_model_v3/docs/figures/fig_metamodel.png" id="31" name="Picture"/>
                    <pic:cNvPicPr>
                      <a:picLocks noChangeArrowheads="1" noChangeAspect="1"/>
                    </pic:cNvPicPr>
                  </pic:nvPicPr>
                  <pic:blipFill>
                    <a:blip r:embed="rId29"/>
                    <a:stretch>
                      <a:fillRect/>
                    </a:stretch>
                  </pic:blipFill>
                  <pic:spPr bwMode="auto">
                    <a:xfrm>
                      <a:off x="0" y="0"/>
                      <a:ext cx="5939999" cy="2547483"/>
                    </a:xfrm>
                    <a:prstGeom prst="rect">
                      <a:avLst/>
                    </a:prstGeom>
                    <a:noFill/>
                    <a:ln w="9525">
                      <a:noFill/>
                      <a:headEnd/>
                      <a:tailEnd/>
                    </a:ln>
                  </pic:spPr>
                </pic:pic>
              </a:graphicData>
            </a:graphic>
          </wp:inline>
        </w:drawing>
      </w:r>
    </w:p>
    <w:p>
      <w:pPr>
        <w:pStyle w:val="ImageCaption"/>
      </w:pPr>
      <w:r>
        <w:t xml:space="preserve">Figure 6: Metamodel. The upper chain produces results; the lower chain (Level I/II/III) is reporting and calibration content and never changes a result.</w:t>
      </w:r>
    </w:p>
    <w:bookmarkStart w:id="32" w:name="equations"/>
    <w:p>
      <w:pPr>
        <w:pStyle w:val="Heading2"/>
      </w:pPr>
      <w:r>
        <w:t xml:space="preserve">4.1 Equations</w:t>
      </w:r>
    </w:p>
    <w:p>
      <w:pPr>
        <w:pStyle w:val="FirstParagraph"/>
        <w:jc w:val="both"/>
      </w:pPr>
      <w:r>
        <w:t xml:space="preserve">Symbols as in v2: s</w:t>
      </w:r>
      <w:r>
        <w:rPr>
          <w:vertAlign w:val="subscript"/>
        </w:rPr>
        <w:t xml:space="preserve">j</w:t>
      </w:r>
      <w:r>
        <w:t xml:space="preserve"> </w:t>
      </w:r>
      <w:r>
        <w:t xml:space="preserve">share of fraction j; w</w:t>
      </w:r>
      <w:r>
        <w:rPr>
          <w:vertAlign w:val="subscript"/>
        </w:rPr>
        <w:t xml:space="preserve">j</w:t>
      </w:r>
      <w:r>
        <w:t xml:space="preserve"> </w:t>
      </w:r>
      <w:r>
        <w:t xml:space="preserve">moisture; m</w:t>
      </w:r>
      <w:r>
        <w:rPr>
          <w:vertAlign w:val="subscript"/>
        </w:rPr>
        <w:t xml:space="preserve">j</w:t>
      </w:r>
      <w:r>
        <w:t xml:space="preserve"> </w:t>
      </w:r>
      <w:r>
        <w:t xml:space="preserve">tonnes of fraction j sent to a unit per tonne MSW; h</w:t>
      </w:r>
      <w:r>
        <w:rPr>
          <w:vertAlign w:val="subscript"/>
        </w:rPr>
        <w:t xml:space="preserve">j</w:t>
      </w:r>
      <w:r>
        <w:t xml:space="preserve"> </w:t>
      </w:r>
      <w:r>
        <w:t xml:space="preserve">dry-matter LHV; C</w:t>
      </w:r>
      <w:r>
        <w:rPr>
          <w:vertAlign w:val="subscript"/>
        </w:rPr>
        <w:t xml:space="preserve">j</w:t>
      </w:r>
      <w:r>
        <w:t xml:space="preserve"> </w:t>
      </w:r>
      <w:r>
        <w:t xml:space="preserve">dry carbon; φ</w:t>
      </w:r>
      <w:r>
        <w:rPr>
          <w:vertAlign w:val="subscript"/>
        </w:rPr>
        <w:t xml:space="preserve">j</w:t>
      </w:r>
      <w:r>
        <w:t xml:space="preserve"> </w:t>
      </w:r>
      <w:r>
        <w:t xml:space="preserve">fossil share. Characterisation:</w:t>
      </w:r>
    </w:p>
    <w:p>
      <w:pPr>
        <w:pStyle w:val="BodyText"/>
      </w:pPr>
      <m:oMathPara>
        <m:oMathParaPr>
          <m:jc m:val="center"/>
        </m:oMathParaPr>
        <m:oMath>
          <m:r>
            <m:t>M</m:t>
          </m:r>
          <m:r>
            <m:rPr>
              <m:sty m:val="p"/>
            </m:rPr>
            <m:t>=</m:t>
          </m:r>
          <m:nary>
            <m:naryPr>
              <m:chr m:val="∑"/>
              <m:limLoc m:val="undOvr"/>
              <m:subHide m:val="off"/>
              <m:supHide m:val="on"/>
            </m:naryPr>
            <m:sub>
              <m:r>
                <m:t>j</m:t>
              </m:r>
            </m:sub>
            <m:sup>
              <m:r>
                <m:t>​</m:t>
              </m:r>
            </m:sup>
            <m:e>
              <m:sSub>
                <m:e>
                  <m:r>
                    <m:t>s</m:t>
                  </m:r>
                </m:e>
                <m:sub>
                  <m:r>
                    <m:t>j</m:t>
                  </m:r>
                </m:sub>
              </m:sSub>
            </m:e>
          </m:nary>
          <m:sSub>
            <m:e>
              <m:r>
                <m:t>w</m:t>
              </m:r>
            </m:e>
            <m:sub>
              <m:r>
                <m:t>j</m:t>
              </m:r>
            </m:sub>
          </m:sSub>
          <m:r>
            <m:t>  </m:t>
          </m:r>
          <m:r>
            <m:t>H</m:t>
          </m:r>
          <m:r>
            <m:rPr>
              <m:sty m:val="p"/>
            </m:rPr>
            <m:t>=</m:t>
          </m:r>
          <m:r>
            <m:rPr>
              <m:sty m:val="p"/>
            </m:rPr>
            <m:t>m</m:t>
          </m:r>
          <m:r>
            <m:rPr>
              <m:sty m:val="p"/>
            </m:rPr>
            <m:t>a</m:t>
          </m:r>
          <m:r>
            <m:rPr>
              <m:sty m:val="p"/>
            </m:rPr>
            <m:t>x</m:t>
          </m:r>
          <m:d>
            <m:dPr>
              <m:begChr m:val="["/>
              <m:sepChr m:val=""/>
              <m:endChr m:val="]"/>
              <m:grow/>
            </m:dPr>
            <m:e>
              <m:r>
                <m:t>0</m:t>
              </m:r>
              <m:r>
                <m:rPr>
                  <m:sty m:val="p"/>
                </m:rPr>
                <m:t>,</m:t>
              </m:r>
              <m:r>
                <m:t> </m:t>
              </m:r>
              <m:nary>
                <m:naryPr>
                  <m:chr m:val="∑"/>
                  <m:limLoc m:val="undOvr"/>
                  <m:subHide m:val="off"/>
                  <m:supHide m:val="on"/>
                </m:naryPr>
                <m:sub>
                  <m:r>
                    <m:t>j</m:t>
                  </m:r>
                </m:sub>
                <m:sup>
                  <m:r>
                    <m:t>​</m:t>
                  </m:r>
                </m:sup>
                <m:e>
                  <m:sSub>
                    <m:e>
                      <m:r>
                        <m:t>k</m:t>
                      </m:r>
                    </m:e>
                    <m:sub>
                      <m:r>
                        <m:t>h</m:t>
                      </m:r>
                      <m:r>
                        <m:rPr>
                          <m:sty m:val="p"/>
                        </m:rPr>
                        <m:t>,</m:t>
                      </m:r>
                      <m:r>
                        <m:t>j</m:t>
                      </m:r>
                    </m:sub>
                  </m:sSub>
                </m:e>
              </m:nary>
              <m:r>
                <m:t> </m:t>
              </m:r>
              <m:sSub>
                <m:e>
                  <m:r>
                    <m:t>s</m:t>
                  </m:r>
                </m:e>
                <m:sub>
                  <m:r>
                    <m:t>j</m:t>
                  </m:r>
                </m:sub>
              </m:sSub>
              <m:sSub>
                <m:e>
                  <m:r>
                    <m:t>h</m:t>
                  </m:r>
                </m:e>
                <m:sub>
                  <m:r>
                    <m:t>j</m:t>
                  </m:r>
                </m:sub>
              </m:sSub>
              <m:r>
                <m:rPr>
                  <m:sty m:val="p"/>
                </m:rPr>
                <m:t>(</m:t>
              </m:r>
              <m:r>
                <m:t>1</m:t>
              </m:r>
              <m:r>
                <m:rPr>
                  <m:sty m:val="p"/>
                </m:rPr>
                <m:t>−</m:t>
              </m:r>
              <m:sSub>
                <m:e>
                  <m:r>
                    <m:t>w</m:t>
                  </m:r>
                </m:e>
                <m:sub>
                  <m:r>
                    <m:t>j</m:t>
                  </m:r>
                </m:sub>
              </m:sSub>
              <m:r>
                <m:rPr>
                  <m:sty m:val="p"/>
                </m:rPr>
                <m:t>)</m:t>
              </m:r>
              <m:r>
                <m:rPr>
                  <m:sty m:val="p"/>
                </m:rPr>
                <m:t>−</m:t>
              </m:r>
              <m:r>
                <m:t>λ</m:t>
              </m:r>
              <m:r>
                <m:t>M</m:t>
              </m:r>
            </m:e>
          </m:d>
          <m:r>
            <m:t>  </m:t>
          </m:r>
          <m:sSub>
            <m:e>
              <m:r>
                <m:t>E</m:t>
              </m:r>
            </m:e>
            <m:sub>
              <m:r>
                <m:t>f</m:t>
              </m:r>
              <m:r>
                <m:t>o</m:t>
              </m:r>
              <m:r>
                <m:t>s</m:t>
              </m:r>
            </m:sub>
          </m:sSub>
          <m:r>
            <m:rPr>
              <m:sty m:val="p"/>
            </m:rPr>
            <m:t>(</m:t>
          </m:r>
          <m:r>
            <m:t>m</m:t>
          </m:r>
          <m:r>
            <m:rPr>
              <m:sty m:val="p"/>
            </m:rPr>
            <m:t>)</m:t>
          </m:r>
          <m:r>
            <m:rPr>
              <m:sty m:val="p"/>
            </m:rPr>
            <m:t>=</m:t>
          </m:r>
          <m:sSup>
            <m:e>
              <m:r>
                <m:t>10</m:t>
              </m:r>
            </m:e>
            <m:sup>
              <m:r>
                <m:t>3</m:t>
              </m:r>
            </m:sup>
          </m:sSup>
          <m:r>
            <m:t> </m:t>
          </m:r>
          <m:f>
            <m:fPr>
              <m:type m:val="bar"/>
            </m:fPr>
            <m:num>
              <m:r>
                <m:t>44</m:t>
              </m:r>
            </m:num>
            <m:den>
              <m:r>
                <m:t>12</m:t>
              </m:r>
            </m:den>
          </m:f>
          <m:nary>
            <m:naryPr>
              <m:chr m:val="∑"/>
              <m:limLoc m:val="undOvr"/>
              <m:subHide m:val="off"/>
              <m:supHide m:val="on"/>
            </m:naryPr>
            <m:sub>
              <m:r>
                <m:t>j</m:t>
              </m:r>
            </m:sub>
            <m:sup>
              <m:r>
                <m:t>​</m:t>
              </m:r>
            </m:sup>
            <m:e>
              <m:sSub>
                <m:e>
                  <m:r>
                    <m:t>m</m:t>
                  </m:r>
                </m:e>
                <m:sub>
                  <m:r>
                    <m:t>j</m:t>
                  </m:r>
                </m:sub>
              </m:sSub>
            </m:e>
          </m:nary>
          <m:r>
            <m:rPr>
              <m:sty m:val="p"/>
            </m:rPr>
            <m:t>(</m:t>
          </m:r>
          <m:r>
            <m:t>1</m:t>
          </m:r>
          <m:r>
            <m:rPr>
              <m:sty m:val="p"/>
            </m:rPr>
            <m:t>−</m:t>
          </m:r>
          <m:sSub>
            <m:e>
              <m:r>
                <m:t>w</m:t>
              </m:r>
            </m:e>
            <m:sub>
              <m:r>
                <m:t>j</m:t>
              </m:r>
            </m:sub>
          </m:sSub>
          <m:r>
            <m:rPr>
              <m:sty m:val="p"/>
            </m:rPr>
            <m:t>)</m:t>
          </m:r>
          <m:sSub>
            <m:e>
              <m:r>
                <m:t>C</m:t>
              </m:r>
            </m:e>
            <m:sub>
              <m:r>
                <m:t>j</m:t>
              </m:r>
            </m:sub>
          </m:sSub>
          <m:sSub>
            <m:e>
              <m:r>
                <m:t>φ</m:t>
              </m:r>
            </m:e>
            <m:sub>
              <m:r>
                <m:t>j</m:t>
              </m:r>
            </m:sub>
          </m:sSub>
          <m:r>
            <m:t>  </m:t>
          </m:r>
          <m:r>
            <m:rPr>
              <m:sty m:val="p"/>
            </m:rPr>
            <m:t>(</m:t>
          </m:r>
          <m:r>
            <m:t>5</m:t>
          </m:r>
          <m:r>
            <m:rPr>
              <m:sty m:val="p"/>
            </m:rPr>
            <m:t>)</m:t>
          </m:r>
        </m:oMath>
      </m:oMathPara>
    </w:p>
    <w:p>
      <w:pPr>
        <w:pStyle w:val="FirstParagraph"/>
        <w:jc w:val="both"/>
      </w:pPr>
      <w:r>
        <w:t xml:space="preserve">with k</w:t>
      </w:r>
      <w:r>
        <w:rPr>
          <w:vertAlign w:val="subscript"/>
        </w:rPr>
        <w:t xml:space="preserve">h,j</w:t>
      </w:r>
      <w:r>
        <w:t xml:space="preserve"> </w:t>
      </w:r>
      <w:r>
        <w:t xml:space="preserve">= k</w:t>
      </w:r>
      <w:r>
        <w:rPr>
          <w:vertAlign w:val="subscript"/>
        </w:rPr>
        <w:t xml:space="preserve">h</w:t>
      </w:r>
      <w:r>
        <w:t xml:space="preserve"> </w:t>
      </w:r>
      <w:r>
        <w:t xml:space="preserve">for legacy heating values and k</w:t>
      </w:r>
      <w:r>
        <w:rPr>
          <w:vertAlign w:val="subscript"/>
        </w:rPr>
        <w:t xml:space="preserve">h,plastic</w:t>
      </w:r>
      <w:r>
        <w:t xml:space="preserve"> </w:t>
      </w:r>
      <w:r>
        <w:t xml:space="preserve">for plastic (register C10, C10b). Landfill (both baselines and every residue landfill):</w:t>
      </w:r>
    </w:p>
    <w:p>
      <w:pPr>
        <w:pStyle w:val="BodyText"/>
      </w:pPr>
      <m:oMathPara>
        <m:oMathParaPr>
          <m:jc m:val="center"/>
        </m:oMathParaPr>
        <m:oMath>
          <m:sSub>
            <m:e>
              <m:r>
                <m:t>G</m:t>
              </m:r>
            </m:e>
            <m:sub>
              <m:r>
                <m:t>L</m:t>
              </m:r>
              <m:r>
                <m:t>F</m:t>
              </m:r>
            </m:sub>
          </m:sSub>
          <m:r>
            <m:rPr>
              <m:sty m:val="p"/>
            </m:rPr>
            <m:t>(</m:t>
          </m:r>
          <m:r>
            <m:t>m</m:t>
          </m:r>
          <m:r>
            <m:rPr>
              <m:sty m:val="p"/>
            </m:rPr>
            <m:t>,</m:t>
          </m:r>
          <m:sSub>
            <m:e>
              <m:r>
                <m:t>m</m:t>
              </m:r>
            </m:e>
            <m:sub>
              <m:r>
                <m:t>i</m:t>
              </m:r>
              <m:r>
                <m:t>n</m:t>
              </m:r>
            </m:sub>
          </m:sSub>
          <m:r>
            <m:rPr>
              <m:sty m:val="p"/>
            </m:rPr>
            <m:t>)</m:t>
          </m:r>
          <m:r>
            <m:rPr>
              <m:sty m:val="p"/>
            </m:rPr>
            <m:t>=</m:t>
          </m:r>
          <m:r>
            <m:rPr>
              <m:sty m:val="p"/>
            </m:rPr>
            <m:t>C</m:t>
          </m:r>
          <m:sSub>
            <m:e>
              <m:r>
                <m:rPr>
                  <m:sty m:val="p"/>
                </m:rPr>
                <m:t>H</m:t>
              </m:r>
            </m:e>
            <m:sub>
              <m:r>
                <m:rPr>
                  <m:sty m:val="p"/>
                </m:rPr>
                <m:t>4</m:t>
              </m:r>
            </m:sub>
          </m:sSub>
          <m:r>
            <m:rPr>
              <m:sty m:val="p"/>
            </m:rPr>
            <m:t>(</m:t>
          </m:r>
          <m:r>
            <m:t>m</m:t>
          </m:r>
          <m:r>
            <m:rPr>
              <m:sty m:val="p"/>
            </m:rPr>
            <m:t>,</m:t>
          </m:r>
          <m:r>
            <m:rPr>
              <m:sty m:val="p"/>
            </m:rPr>
            <m:t>M</m:t>
          </m:r>
          <m:r>
            <m:rPr>
              <m:sty m:val="p"/>
            </m:rPr>
            <m:t>C</m:t>
          </m:r>
          <m:r>
            <m:rPr>
              <m:sty m:val="p"/>
            </m:rPr>
            <m:t>F</m:t>
          </m:r>
          <m:r>
            <m:rPr>
              <m:sty m:val="p"/>
            </m:rPr>
            <m:t>)</m:t>
          </m:r>
          <m:r>
            <m:t> </m:t>
          </m:r>
          <m:r>
            <m:rPr>
              <m:sty m:val="p"/>
            </m:rPr>
            <m:t>(</m:t>
          </m:r>
          <m:r>
            <m:t>1</m:t>
          </m:r>
          <m:r>
            <m:rPr>
              <m:sty m:val="p"/>
            </m:rPr>
            <m:t>−</m:t>
          </m:r>
          <m:r>
            <m:t>η</m:t>
          </m:r>
          <m:r>
            <m:rPr>
              <m:sty m:val="p"/>
            </m:rPr>
            <m:t>)</m:t>
          </m:r>
          <m:r>
            <m:rPr>
              <m:sty m:val="p"/>
            </m:rPr>
            <m:t>(</m:t>
          </m:r>
          <m:r>
            <m:t>1</m:t>
          </m:r>
          <m:r>
            <m:rPr>
              <m:sty m:val="p"/>
            </m:rPr>
            <m:t>−</m:t>
          </m:r>
          <m:r>
            <m:t>O</m:t>
          </m:r>
          <m:r>
            <m:t>X</m:t>
          </m:r>
          <m:r>
            <m:rPr>
              <m:sty m:val="p"/>
            </m:rPr>
            <m:t>)</m:t>
          </m:r>
          <m:r>
            <m:t> </m:t>
          </m:r>
          <m:r>
            <m:t>G</m:t>
          </m:r>
          <m:r>
            <m:t>W</m:t>
          </m:r>
          <m:sSub>
            <m:e>
              <m:r>
                <m:t>P</m:t>
              </m:r>
            </m:e>
            <m:sub>
              <m:r>
                <m:t>C</m:t>
              </m:r>
              <m:sSub>
                <m:e>
                  <m:r>
                    <m:t>H</m:t>
                  </m:r>
                </m:e>
                <m:sub>
                  <m:r>
                    <m:t>4</m:t>
                  </m:r>
                </m:sub>
              </m:sSub>
            </m:sub>
          </m:sSub>
          <m:r>
            <m:rPr>
              <m:sty m:val="p"/>
            </m:rPr>
            <m:t>+</m:t>
          </m:r>
          <m:sSub>
            <m:e>
              <m:r>
                <m:t>a</m:t>
              </m:r>
            </m:e>
            <m:sub>
              <m:r>
                <m:t>L</m:t>
              </m:r>
              <m:r>
                <m:t>F</m:t>
              </m:r>
            </m:sub>
          </m:sSub>
          <m:d>
            <m:dPr>
              <m:begChr m:val="("/>
              <m:sepChr m:val=""/>
              <m:endChr m:val=")"/>
              <m:grow/>
            </m:dPr>
            <m:e>
              <m:nary>
                <m:naryPr>
                  <m:chr m:val="∑"/>
                  <m:limLoc m:val="undOvr"/>
                  <m:subHide m:val="off"/>
                  <m:supHide m:val="on"/>
                </m:naryPr>
                <m:sub>
                  <m:r>
                    <m:t>j</m:t>
                  </m:r>
                </m:sub>
                <m:sup>
                  <m:r>
                    <m:t>​</m:t>
                  </m:r>
                </m:sup>
                <m:e>
                  <m:sSub>
                    <m:e>
                      <m:r>
                        <m:t>m</m:t>
                      </m:r>
                    </m:e>
                    <m:sub>
                      <m:r>
                        <m:t>j</m:t>
                      </m:r>
                    </m:sub>
                  </m:sSub>
                </m:e>
              </m:nary>
              <m:r>
                <m:rPr>
                  <m:sty m:val="p"/>
                </m:rPr>
                <m:t>+</m:t>
              </m:r>
              <m:sSub>
                <m:e>
                  <m:r>
                    <m:t>m</m:t>
                  </m:r>
                </m:e>
                <m:sub>
                  <m:r>
                    <m:t>i</m:t>
                  </m:r>
                  <m:r>
                    <m:t>n</m:t>
                  </m:r>
                </m:sub>
              </m:sSub>
            </m:e>
          </m:d>
          <m:r>
            <m:t>  </m:t>
          </m:r>
          <m:r>
            <m:rPr>
              <m:sty m:val="p"/>
            </m:rPr>
            <m:t>(</m:t>
          </m:r>
          <m:r>
            <m:t>6</m:t>
          </m:r>
          <m:r>
            <m:rPr>
              <m:sty m:val="p"/>
            </m:rPr>
            <m:t>)</m:t>
          </m:r>
        </m:oMath>
      </m:oMathPara>
    </w:p>
    <w:p>
      <w:pPr>
        <w:pStyle w:val="FirstParagraph"/>
        <w:jc w:val="both"/>
      </w:pPr>
      <w:r>
        <w:t xml:space="preserve">Pathways (S5 combines the S2 and S3 units; rejects and digestate go to the residue landfill):</w:t>
      </w:r>
    </w:p>
    <w:p>
      <w:pPr>
        <w:pStyle w:val="BodyText"/>
      </w:pPr>
      <m:oMathPara>
        <m:oMathParaPr>
          <m:jc m:val="center"/>
        </m:oMathParaPr>
        <m:oMath>
          <m:sSub>
            <m:e>
              <m:r>
                <m:t>G</m:t>
              </m:r>
            </m:e>
            <m:sub>
              <m:r>
                <m:t>1</m:t>
              </m:r>
            </m:sub>
          </m:sSub>
          <m:r>
            <m:rPr>
              <m:sty m:val="p"/>
            </m:rPr>
            <m:t>=</m:t>
          </m:r>
          <m:sSub>
            <m:e>
              <m:r>
                <m:t>E</m:t>
              </m:r>
            </m:e>
            <m:sub>
              <m:r>
                <m:t>f</m:t>
              </m:r>
              <m:r>
                <m:t>o</m:t>
              </m:r>
              <m:r>
                <m:t>s</m:t>
              </m:r>
            </m:sub>
          </m:sSub>
          <m:r>
            <m:rPr>
              <m:sty m:val="p"/>
            </m:rPr>
            <m:t>(</m:t>
          </m:r>
          <m:r>
            <m:t>s</m:t>
          </m:r>
          <m:r>
            <m:rPr>
              <m:sty m:val="p"/>
            </m:rPr>
            <m:t>)</m:t>
          </m:r>
          <m:r>
            <m:rPr>
              <m:sty m:val="p"/>
            </m:rPr>
            <m:t>+</m:t>
          </m:r>
          <m:sSub>
            <m:e>
              <m:r>
                <m:t>n</m:t>
              </m:r>
            </m:e>
            <m:sub>
              <m:sSub>
                <m:e>
                  <m:r>
                    <m:t>N</m:t>
                  </m:r>
                </m:e>
                <m:sub>
                  <m:r>
                    <m:t>2</m:t>
                  </m:r>
                </m:sub>
              </m:sSub>
              <m:r>
                <m:t>O</m:t>
              </m:r>
            </m:sub>
          </m:sSub>
          <m:r>
            <m:t>G</m:t>
          </m:r>
          <m:r>
            <m:t>W</m:t>
          </m:r>
          <m:sSub>
            <m:e>
              <m:r>
                <m:t>P</m:t>
              </m:r>
            </m:e>
            <m:sub>
              <m:sSub>
                <m:e>
                  <m:r>
                    <m:t>N</m:t>
                  </m:r>
                </m:e>
                <m:sub>
                  <m:r>
                    <m:t>2</m:t>
                  </m:r>
                </m:sub>
              </m:sSub>
              <m:r>
                <m:t>O</m:t>
              </m:r>
            </m:sub>
          </m:sSub>
          <m:r>
            <m:rPr>
              <m:sty m:val="p"/>
            </m:rPr>
            <m:t>+</m:t>
          </m:r>
          <m:sSub>
            <m:e>
              <m:r>
                <m:t>a</m:t>
              </m:r>
            </m:e>
            <m:sub>
              <m:r>
                <m:t>W</m:t>
              </m:r>
            </m:sub>
          </m:sSub>
          <m:r>
            <m:rPr>
              <m:sty m:val="p"/>
            </m:rPr>
            <m:t>−</m:t>
          </m:r>
          <m:sSub>
            <m:e>
              <m:r>
                <m:t>E</m:t>
              </m:r>
            </m:e>
            <m:sub>
              <m:r>
                <m:t>e</m:t>
              </m:r>
              <m:r>
                <m:t>l</m:t>
              </m:r>
            </m:sub>
          </m:sSub>
          <m:r>
            <m:t>E</m:t>
          </m:r>
          <m:sSub>
            <m:e>
              <m:r>
                <m:t>F</m:t>
              </m:r>
            </m:e>
            <m:sub>
              <m:r>
                <m:t>g</m:t>
              </m:r>
              <m:r>
                <m:t>r</m:t>
              </m:r>
              <m:r>
                <m:t>i</m:t>
              </m:r>
              <m:r>
                <m:t>d</m:t>
              </m:r>
            </m:sub>
          </m:sSub>
          <m:r>
            <m:rPr>
              <m:sty m:val="p"/>
            </m:rPr>
            <m:t>+</m:t>
          </m:r>
          <m:sSub>
            <m:e>
              <m:r>
                <m:t>G</m:t>
              </m:r>
            </m:e>
            <m:sub>
              <m:r>
                <m:t>L</m:t>
              </m:r>
              <m:r>
                <m:t>F</m:t>
              </m:r>
            </m:sub>
          </m:sSub>
          <m:r>
            <m:rPr>
              <m:sty m:val="p"/>
            </m:rPr>
            <m:t>(</m:t>
          </m:r>
          <m:r>
            <m:t>0</m:t>
          </m:r>
          <m:r>
            <m:rPr>
              <m:sty m:val="p"/>
            </m:rPr>
            <m:t>,</m:t>
          </m:r>
          <m:sSub>
            <m:e>
              <m:r>
                <m:t>α</m:t>
              </m:r>
            </m:e>
            <m:sub>
              <m:r>
                <m:t>a</m:t>
              </m:r>
              <m:r>
                <m:t>s</m:t>
              </m:r>
              <m:r>
                <m:t>h</m:t>
              </m:r>
            </m:sub>
          </m:sSub>
          <m:r>
            <m:rPr>
              <m:sty m:val="p"/>
            </m:rPr>
            <m:t>)</m:t>
          </m:r>
          <m:r>
            <m:rPr>
              <m:sty m:val="p"/>
            </m:rPr>
            <m:t>,</m:t>
          </m:r>
          <m:r>
            <m:t> </m:t>
          </m:r>
          <m:sSub>
            <m:e>
              <m:r>
                <m:t>E</m:t>
              </m:r>
            </m:e>
            <m:sub>
              <m:r>
                <m:t>e</m:t>
              </m:r>
              <m:r>
                <m:t>l</m:t>
              </m:r>
            </m:sub>
          </m:sSub>
          <m:r>
            <m:rPr>
              <m:sty m:val="p"/>
            </m:rPr>
            <m:t>=</m:t>
          </m:r>
          <m:f>
            <m:fPr>
              <m:type m:val="bar"/>
            </m:fPr>
            <m:num>
              <m:sSup>
                <m:e>
                  <m:r>
                    <m:t>10</m:t>
                  </m:r>
                </m:e>
                <m:sup>
                  <m:r>
                    <m:t>3</m:t>
                  </m:r>
                </m:sup>
              </m:sSup>
            </m:num>
            <m:den>
              <m:r>
                <m:t>3.6</m:t>
              </m:r>
            </m:den>
          </m:f>
          <m:r>
            <m:t>H</m:t>
          </m:r>
          <m:sSub>
            <m:e>
              <m:r>
                <m:t>η</m:t>
              </m:r>
            </m:e>
            <m:sub>
              <m:r>
                <m:t>W</m:t>
              </m:r>
            </m:sub>
          </m:sSub>
          <m:r>
            <m:t>  </m:t>
          </m:r>
          <m:r>
            <m:rPr>
              <m:sty m:val="p"/>
            </m:rPr>
            <m:t>(</m:t>
          </m:r>
          <m:r>
            <m:t>7</m:t>
          </m:r>
          <m:r>
            <m:rPr>
              <m:sty m:val="p"/>
            </m:rPr>
            <m:t>)</m:t>
          </m:r>
        </m:oMath>
      </m:oMathPara>
    </w:p>
    <w:p>
      <w:pPr>
        <w:pStyle w:val="FirstParagraph"/>
      </w:pPr>
      <m:oMathPara>
        <m:oMathParaPr>
          <m:jc m:val="center"/>
        </m:oMathParaPr>
        <m:oMath>
          <m:sSub>
            <m:e>
              <m:r>
                <m:t>G</m:t>
              </m:r>
            </m:e>
            <m:sub>
              <m:r>
                <m:t>2</m:t>
              </m:r>
            </m:sub>
          </m:sSub>
          <m:r>
            <m:rPr>
              <m:sty m:val="p"/>
            </m:rPr>
            <m:t>=</m:t>
          </m:r>
          <m:sSub>
            <m:e>
              <m:r>
                <m:t>E</m:t>
              </m:r>
            </m:e>
            <m:sub>
              <m:r>
                <m:t>f</m:t>
              </m:r>
              <m:r>
                <m:t>o</m:t>
              </m:r>
              <m:r>
                <m:t>s</m:t>
              </m:r>
            </m:sub>
          </m:sSub>
          <m:r>
            <m:rPr>
              <m:sty m:val="p"/>
            </m:rPr>
            <m:t>(</m:t>
          </m:r>
          <m:r>
            <m:t>r</m:t>
          </m:r>
          <m:r>
            <m:rPr>
              <m:sty m:val="p"/>
            </m:rPr>
            <m:t>)</m:t>
          </m:r>
          <m:r>
            <m:rPr>
              <m:sty m:val="p"/>
            </m:rPr>
            <m:t>+</m:t>
          </m:r>
          <m:sSub>
            <m:e>
              <m:r>
                <m:t>e</m:t>
              </m:r>
            </m:e>
            <m:sub>
              <m:r>
                <m:t>R</m:t>
              </m:r>
            </m:sub>
          </m:sSub>
          <m:r>
            <m:t>E</m:t>
          </m:r>
          <m:sSub>
            <m:e>
              <m:r>
                <m:t>F</m:t>
              </m:r>
            </m:e>
            <m:sub>
              <m:r>
                <m:t>g</m:t>
              </m:r>
              <m:r>
                <m:t>r</m:t>
              </m:r>
              <m:r>
                <m:t>i</m:t>
              </m:r>
              <m:r>
                <m:t>d</m:t>
              </m:r>
            </m:sub>
          </m:sSub>
          <m:r>
            <m:rPr>
              <m:sty m:val="p"/>
            </m:rPr>
            <m:t>+</m:t>
          </m:r>
          <m:sSub>
            <m:e>
              <m:r>
                <m:t>a</m:t>
              </m:r>
            </m:e>
            <m:sub>
              <m:r>
                <m:t>R</m:t>
              </m:r>
            </m:sub>
          </m:sSub>
          <m:r>
            <m:rPr>
              <m:sty m:val="p"/>
            </m:rPr>
            <m:t>+</m:t>
          </m:r>
          <m:sSub>
            <m:e>
              <m:r>
                <m:t>M</m:t>
              </m:r>
            </m:e>
            <m:sub>
              <m:r>
                <m:t>d</m:t>
              </m:r>
              <m:r>
                <m:t>e</m:t>
              </m:r>
              <m:r>
                <m:t>l</m:t>
              </m:r>
            </m:sub>
          </m:sSub>
          <m:r>
            <m:t> </m:t>
          </m:r>
          <m:r>
            <m:t>d</m:t>
          </m:r>
          <m:r>
            <m:t> </m:t>
          </m:r>
          <m:r>
            <m:t>e</m:t>
          </m:r>
          <m:sSub>
            <m:e>
              <m:r>
                <m:t>f</m:t>
              </m:r>
            </m:e>
            <m:sub>
              <m:r>
                <m:t>t</m:t>
              </m:r>
              <m:r>
                <m:t>r</m:t>
              </m:r>
              <m:r>
                <m:t>u</m:t>
              </m:r>
              <m:r>
                <m:t>c</m:t>
              </m:r>
              <m:r>
                <m:t>k</m:t>
              </m:r>
            </m:sub>
          </m:sSub>
          <m:r>
            <m:rPr>
              <m:sty m:val="p"/>
            </m:rPr>
            <m:t>−</m:t>
          </m:r>
          <m:r>
            <m:t>ψ</m:t>
          </m:r>
          <m:sSub>
            <m:e>
              <m:r>
                <m:t>E</m:t>
              </m:r>
            </m:e>
            <m:sub>
              <m:r>
                <m:t>n</m:t>
              </m:r>
              <m:r>
                <m:t>e</m:t>
              </m:r>
              <m:r>
                <m:t>t</m:t>
              </m:r>
            </m:sub>
          </m:sSub>
          <m:r>
            <m:t>E</m:t>
          </m:r>
          <m:sSub>
            <m:e>
              <m:r>
                <m:t>F</m:t>
              </m:r>
            </m:e>
            <m:sub>
              <m:r>
                <m:t>c</m:t>
              </m:r>
              <m:r>
                <m:t>o</m:t>
              </m:r>
              <m:r>
                <m:t>a</m:t>
              </m:r>
              <m:r>
                <m:t>l</m:t>
              </m:r>
            </m:sub>
          </m:sSub>
          <m:r>
            <m:rPr>
              <m:sty m:val="p"/>
            </m:rPr>
            <m:t>+</m:t>
          </m:r>
          <m:sSub>
            <m:e>
              <m:r>
                <m:t>G</m:t>
              </m:r>
            </m:e>
            <m:sub>
              <m:r>
                <m:t>L</m:t>
              </m:r>
              <m:r>
                <m:t>F</m:t>
              </m:r>
            </m:sub>
          </m:sSub>
          <m:r>
            <m:rPr>
              <m:sty m:val="p"/>
            </m:rPr>
            <m:t>(</m:t>
          </m:r>
          <m:r>
            <m:t>s</m:t>
          </m:r>
          <m:r>
            <m:rPr>
              <m:sty m:val="p"/>
            </m:rPr>
            <m:t>−</m:t>
          </m:r>
          <m:r>
            <m:t>r</m:t>
          </m:r>
          <m:r>
            <m:rPr>
              <m:sty m:val="p"/>
            </m:rPr>
            <m:t>)</m:t>
          </m:r>
          <m:r>
            <m:rPr>
              <m:sty m:val="p"/>
            </m:rPr>
            <m:t>,</m:t>
          </m:r>
          <m:r>
            <m:t> </m:t>
          </m:r>
          <m:sSub>
            <m:e>
              <m:r>
                <m:t>r</m:t>
              </m:r>
            </m:e>
            <m:sub>
              <m:r>
                <m:t>j</m:t>
              </m:r>
            </m:sub>
          </m:sSub>
          <m:r>
            <m:rPr>
              <m:sty m:val="p"/>
            </m:rPr>
            <m:t>=</m:t>
          </m:r>
          <m:sSub>
            <m:e>
              <m:r>
                <m:t>τ</m:t>
              </m:r>
            </m:e>
            <m:sub>
              <m:r>
                <m:t>j</m:t>
              </m:r>
            </m:sub>
          </m:sSub>
          <m:sSub>
            <m:e>
              <m:r>
                <m:t>k</m:t>
              </m:r>
            </m:e>
            <m:sub>
              <m:r>
                <m:t>τ</m:t>
              </m:r>
            </m:sub>
          </m:sSub>
          <m:sSub>
            <m:e>
              <m:r>
                <m:t>s</m:t>
              </m:r>
            </m:e>
            <m:sub>
              <m:r>
                <m:t>j</m:t>
              </m:r>
            </m:sub>
          </m:sSub>
          <m:r>
            <m:t>  </m:t>
          </m:r>
          <m:r>
            <m:rPr>
              <m:sty m:val="p"/>
            </m:rPr>
            <m:t>(</m:t>
          </m:r>
          <m:r>
            <m:t>8</m:t>
          </m:r>
          <m:r>
            <m:rPr>
              <m:sty m:val="p"/>
            </m:rPr>
            <m:t>)</m:t>
          </m:r>
        </m:oMath>
      </m:oMathPara>
    </w:p>
    <w:p>
      <w:pPr>
        <w:pStyle w:val="FirstParagraph"/>
        <w:jc w:val="both"/>
      </w:pPr>
      <w:r>
        <w:t xml:space="preserve">For AD the methane volume of food separated from mixed waste is V = 10</w:t>
      </w:r>
      <w:r>
        <w:rPr>
          <w:vertAlign w:val="superscript"/>
        </w:rPr>
        <w:t xml:space="preserve">3</w:t>
      </w:r>
      <w:r>
        <w:t xml:space="preserve"> </w:t>
      </w:r>
      <w:r>
        <w:t xml:space="preserve">a (1−w</w:t>
      </w:r>
      <w:r>
        <w:rPr>
          <w:vertAlign w:val="subscript"/>
        </w:rPr>
        <w:t xml:space="preserve">food</w:t>
      </w:r>
      <w:r>
        <w:t xml:space="preserve">) (VS/TS) y</w:t>
      </w:r>
      <w:r>
        <w:rPr>
          <w:vertAlign w:val="subscript"/>
        </w:rPr>
        <w:t xml:space="preserve">CH4</w:t>
      </w:r>
      <w:r>
        <w:t xml:space="preserve"> </w:t>
      </w:r>
      <w:r>
        <w:t xml:space="preserve">k</w:t>
      </w:r>
      <w:r>
        <w:rPr>
          <w:vertAlign w:val="subscript"/>
        </w:rPr>
        <w:t xml:space="preserve">mech</w:t>
      </w:r>
      <w:r>
        <w:t xml:space="preserve">, where k</w:t>
      </w:r>
      <w:r>
        <w:rPr>
          <w:vertAlign w:val="subscript"/>
        </w:rPr>
        <w:t xml:space="preserve">mech</w:t>
      </w:r>
      <w:r>
        <w:t xml:space="preserve"> </w:t>
      </w:r>
      <w:r>
        <w:t xml:space="preserve">= 0.6 (0.35–0.85) is the yield of mechanically separated food relative to source-separated food (Seruga et al. 2020, full scale, about 0.84; Basinas et al. lower), and the cost includes c</w:t>
      </w:r>
      <w:r>
        <w:rPr>
          <w:vertAlign w:val="subscript"/>
        </w:rPr>
        <w:t xml:space="preserve">pre</w:t>
      </w:r>
      <w:r>
        <w:t xml:space="preserve"> </w:t>
      </w:r>
      <w:r>
        <w:t xml:space="preserve">= 5 (0–10) USD per tonne of feed for depackaging and grit removal. Both are 1 and 0 in the scenarios</w:t>
      </w:r>
      <w:r>
        <w:t xml:space="preserve"> </w:t>
      </w:r>
      <w:r>
        <w:rPr>
          <w:i/>
          <w:iCs/>
        </w:rPr>
        <w:t xml:space="preserve">AD_feed_optimistic</w:t>
      </w:r>
      <w:r>
        <w:t xml:space="preserve"> </w:t>
      </w:r>
      <w:r>
        <w:t xml:space="preserve">and</w:t>
      </w:r>
      <w:r>
        <w:t xml:space="preserve"> </w:t>
      </w:r>
      <w:r>
        <w:rPr>
          <w:i/>
          <w:iCs/>
        </w:rPr>
        <w:t xml:space="preserve">food_separated_at_source</w:t>
      </w:r>
      <w:r>
        <w:t xml:space="preserve">.</w:t>
      </w:r>
    </w:p>
    <w:p>
      <w:pPr>
        <w:pStyle w:val="BodyText"/>
      </w:pPr>
      <m:oMathPara>
        <m:oMathParaPr>
          <m:jc m:val="center"/>
        </m:oMathParaPr>
        <m:oMath>
          <m:sSub>
            <m:e>
              <m:r>
                <m:t>G</m:t>
              </m:r>
            </m:e>
            <m:sub>
              <m:r>
                <m:t>3</m:t>
              </m:r>
            </m:sub>
          </m:sSub>
          <m:r>
            <m:rPr>
              <m:sty m:val="p"/>
            </m:rPr>
            <m:t>=</m:t>
          </m:r>
          <m:r>
            <m:t>V</m:t>
          </m:r>
          <m:sSub>
            <m:e>
              <m:r>
                <m:t>ρ</m:t>
              </m:r>
            </m:e>
            <m:sub>
              <m:r>
                <m:t>C</m:t>
              </m:r>
              <m:sSub>
                <m:e>
                  <m:r>
                    <m:t>H</m:t>
                  </m:r>
                </m:e>
                <m:sub>
                  <m:r>
                    <m:t>4</m:t>
                  </m:r>
                </m:sub>
              </m:sSub>
            </m:sub>
          </m:sSub>
          <m:sSub>
            <m:e>
              <m:r>
                <m:t>f</m:t>
              </m:r>
            </m:e>
            <m:sub>
              <m:r>
                <m:t>A</m:t>
              </m:r>
              <m:r>
                <m:t>D</m:t>
              </m:r>
            </m:sub>
          </m:sSub>
          <m:r>
            <m:t>G</m:t>
          </m:r>
          <m:r>
            <m:t>W</m:t>
          </m:r>
          <m:sSub>
            <m:e>
              <m:r>
                <m:t>P</m:t>
              </m:r>
            </m:e>
            <m:sub>
              <m:r>
                <m:t>C</m:t>
              </m:r>
              <m:sSub>
                <m:e>
                  <m:r>
                    <m:t>H</m:t>
                  </m:r>
                </m:e>
                <m:sub>
                  <m:r>
                    <m:t>4</m:t>
                  </m:r>
                </m:sub>
              </m:sSub>
            </m:sub>
          </m:sSub>
          <m:r>
            <m:rPr>
              <m:sty m:val="p"/>
            </m:rPr>
            <m:t>+</m:t>
          </m:r>
          <m:r>
            <m:t>a</m:t>
          </m:r>
          <m:r>
            <m:t> </m:t>
          </m:r>
          <m:sSub>
            <m:e>
              <m:r>
                <m:t>a</m:t>
              </m:r>
            </m:e>
            <m:sub>
              <m:r>
                <m:t>A</m:t>
              </m:r>
            </m:sub>
          </m:sSub>
          <m:r>
            <m:rPr>
              <m:sty m:val="p"/>
            </m:rPr>
            <m:t>+</m:t>
          </m:r>
          <m:r>
            <m:t>π</m:t>
          </m:r>
          <m:r>
            <m:rPr>
              <m:sty m:val="p"/>
            </m:rPr>
            <m:t>(</m:t>
          </m:r>
          <m:sSub>
            <m:e>
              <m:r>
                <m:t>e</m:t>
              </m:r>
            </m:e>
            <m:sub>
              <m:r>
                <m:t>R</m:t>
              </m:r>
            </m:sub>
          </m:sSub>
          <m:r>
            <m:t>E</m:t>
          </m:r>
          <m:sSub>
            <m:e>
              <m:r>
                <m:t>F</m:t>
              </m:r>
            </m:e>
            <m:sub>
              <m:r>
                <m:t>g</m:t>
              </m:r>
              <m:r>
                <m:t>r</m:t>
              </m:r>
              <m:r>
                <m:t>i</m:t>
              </m:r>
              <m:r>
                <m:t>d</m:t>
              </m:r>
            </m:sub>
          </m:sSub>
          <m:r>
            <m:rPr>
              <m:sty m:val="p"/>
            </m:rPr>
            <m:t>+</m:t>
          </m:r>
          <m:sSub>
            <m:e>
              <m:r>
                <m:t>a</m:t>
              </m:r>
            </m:e>
            <m:sub>
              <m:r>
                <m:t>R</m:t>
              </m:r>
            </m:sub>
          </m:sSub>
          <m:r>
            <m:rPr>
              <m:sty m:val="p"/>
            </m:rPr>
            <m:t>)</m:t>
          </m:r>
          <m:r>
            <m:rPr>
              <m:sty m:val="p"/>
            </m:rPr>
            <m:t>−</m:t>
          </m:r>
          <m:sSub>
            <m:e>
              <m:r>
                <m:t>E</m:t>
              </m:r>
            </m:e>
            <m:sub>
              <m:r>
                <m:t>A</m:t>
              </m:r>
              <m:r>
                <m:t>D</m:t>
              </m:r>
            </m:sub>
          </m:sSub>
          <m:r>
            <m:t>E</m:t>
          </m:r>
          <m:sSub>
            <m:e>
              <m:r>
                <m:t>F</m:t>
              </m:r>
            </m:e>
            <m:sub>
              <m:r>
                <m:t>g</m:t>
              </m:r>
              <m:r>
                <m:t>r</m:t>
              </m:r>
              <m:r>
                <m:t>i</m:t>
              </m:r>
              <m:r>
                <m:t>d</m:t>
              </m:r>
            </m:sub>
          </m:sSub>
          <m:r>
            <m:rPr>
              <m:sty m:val="p"/>
            </m:rPr>
            <m:t>+</m:t>
          </m:r>
          <m:sSub>
            <m:e>
              <m:r>
                <m:t>G</m:t>
              </m:r>
            </m:e>
            <m:sub>
              <m:r>
                <m:t>L</m:t>
              </m:r>
              <m:r>
                <m:t>F</m:t>
              </m:r>
            </m:sub>
          </m:sSub>
          <m:r>
            <m:rPr>
              <m:sty m:val="p"/>
            </m:rPr>
            <m:t>(</m:t>
          </m:r>
          <m:r>
            <m:t>s</m:t>
          </m:r>
          <m:r>
            <m:rPr>
              <m:sty m:val="p"/>
            </m:rPr>
            <m:t>−</m:t>
          </m:r>
          <m:r>
            <m:t>a</m:t>
          </m:r>
          <m:r>
            <m:t> </m:t>
          </m:r>
          <m:sSub>
            <m:e>
              <m:r>
                <m:t>e</m:t>
              </m:r>
            </m:e>
            <m:sub>
              <m:r>
                <m:t>f</m:t>
              </m:r>
              <m:r>
                <m:t>o</m:t>
              </m:r>
              <m:r>
                <m:t>o</m:t>
              </m:r>
              <m:r>
                <m:t>d</m:t>
              </m:r>
            </m:sub>
          </m:sSub>
          <m:r>
            <m:rPr>
              <m:sty m:val="p"/>
            </m:rPr>
            <m:t>,</m:t>
          </m:r>
          <m:r>
            <m:t>δ</m:t>
          </m:r>
          <m:r>
            <m:t>a</m:t>
          </m:r>
          <m:r>
            <m:rPr>
              <m:sty m:val="p"/>
            </m:rPr>
            <m:t>)</m:t>
          </m:r>
          <m:r>
            <m:t>  </m:t>
          </m:r>
          <m:r>
            <m:rPr>
              <m:sty m:val="p"/>
            </m:rPr>
            <m:t>(</m:t>
          </m:r>
          <m:r>
            <m:t>9</m:t>
          </m:r>
          <m:r>
            <m:rPr>
              <m:sty m:val="p"/>
            </m:rPr>
            <m:t>)</m:t>
          </m:r>
        </m:oMath>
      </m:oMathPara>
    </w:p>
    <w:p>
      <w:pPr>
        <w:pStyle w:val="FirstParagraph"/>
      </w:pPr>
      <m:oMathPara>
        <m:oMathParaPr>
          <m:jc m:val="center"/>
        </m:oMathParaPr>
        <m:oMath>
          <m:sSub>
            <m:e>
              <m:r>
                <m:t>G</m:t>
              </m:r>
            </m:e>
            <m:sub>
              <m:r>
                <m:t>4</m:t>
              </m:r>
            </m:sub>
          </m:sSub>
          <m:r>
            <m:rPr>
              <m:sty m:val="p"/>
            </m:rPr>
            <m:t>=</m:t>
          </m:r>
          <m:sSub>
            <m:e>
              <m:r>
                <m:t>G</m:t>
              </m:r>
            </m:e>
            <m:sub>
              <m:r>
                <m:t>S</m:t>
              </m:r>
              <m:r>
                <m:t>L</m:t>
              </m:r>
            </m:sub>
          </m:sSub>
          <m:r>
            <m:rPr>
              <m:sty m:val="p"/>
            </m:rPr>
            <m:t>+</m:t>
          </m:r>
          <m:r>
            <m:t>P</m:t>
          </m:r>
          <m:r>
            <m:t> </m:t>
          </m:r>
          <m:r>
            <m:rPr>
              <m:sty m:val="p"/>
            </m:rPr>
            <m:t>(</m:t>
          </m:r>
          <m:r>
            <m:t>e</m:t>
          </m:r>
          <m:sSub>
            <m:e>
              <m:r>
                <m:t>f</m:t>
              </m:r>
            </m:e>
            <m:sub>
              <m:r>
                <m:t>P</m:t>
              </m:r>
              <m:r>
                <m:t>H</m:t>
              </m:r>
              <m:r>
                <m:t>B</m:t>
              </m:r>
            </m:sub>
          </m:sSub>
          <m:r>
            <m:rPr>
              <m:sty m:val="p"/>
            </m:rPr>
            <m:t>−</m:t>
          </m:r>
          <m:r>
            <m:t>σ</m:t>
          </m:r>
          <m:r>
            <m:t> </m:t>
          </m:r>
          <m:r>
            <m:t>e</m:t>
          </m:r>
          <m:sSub>
            <m:e>
              <m:r>
                <m:t>f</m:t>
              </m:r>
            </m:e>
            <m:sub>
              <m:r>
                <m:t>P</m:t>
              </m:r>
              <m:r>
                <m:t>P</m:t>
              </m:r>
            </m:sub>
          </m:sSub>
          <m:r>
            <m:rPr>
              <m:sty m:val="p"/>
            </m:rPr>
            <m:t>)</m:t>
          </m:r>
          <m:r>
            <m:rPr>
              <m:sty m:val="p"/>
            </m:rPr>
            <m:t>,</m:t>
          </m:r>
          <m:r>
            <m:t> </m:t>
          </m:r>
          <m:r>
            <m:t>P</m:t>
          </m:r>
          <m:r>
            <m:rPr>
              <m:sty m:val="p"/>
            </m:rPr>
            <m:t>=</m:t>
          </m:r>
          <m:r>
            <m:t>η</m:t>
          </m:r>
          <m:r>
            <m:t> </m:t>
          </m:r>
          <m:r>
            <m:rPr>
              <m:sty m:val="p"/>
            </m:rPr>
            <m:t>C</m:t>
          </m:r>
          <m:sSub>
            <m:e>
              <m:r>
                <m:rPr>
                  <m:sty m:val="p"/>
                </m:rPr>
                <m:t>H</m:t>
              </m:r>
            </m:e>
            <m:sub>
              <m:r>
                <m:rPr>
                  <m:sty m:val="p"/>
                </m:rPr>
                <m:t>4</m:t>
              </m:r>
            </m:sub>
          </m:sSub>
          <m:r>
            <m:rPr>
              <m:sty m:val="p"/>
            </m:rPr>
            <m:t>(</m:t>
          </m:r>
          <m:r>
            <m:t>s</m:t>
          </m:r>
          <m:r>
            <m:rPr>
              <m:sty m:val="p"/>
            </m:rPr>
            <m:t>,</m:t>
          </m:r>
          <m:r>
            <m:t>1</m:t>
          </m:r>
          <m:r>
            <m:rPr>
              <m:sty m:val="p"/>
            </m:rPr>
            <m:t>)</m:t>
          </m:r>
          <m:r>
            <m:rPr>
              <m:sty m:val="p"/>
            </m:rPr>
            <m:t>/</m:t>
          </m:r>
          <m:r>
            <m:t>R</m:t>
          </m:r>
          <m:r>
            <m:t>  </m:t>
          </m:r>
          <m:sSub>
            <m:e>
              <m:r>
                <m:t>G</m:t>
              </m:r>
            </m:e>
            <m:sub>
              <m:r>
                <m:t>5</m:t>
              </m:r>
            </m:sub>
          </m:sSub>
          <m:r>
            <m:rPr>
              <m:sty m:val="p"/>
            </m:rPr>
            <m:t>=</m:t>
          </m:r>
          <m:sSub>
            <m:e>
              <m:r>
                <m:t>G</m:t>
              </m:r>
            </m:e>
            <m:sub>
              <m:r>
                <m:t>A</m:t>
              </m:r>
              <m:r>
                <m:t>D</m:t>
              </m:r>
            </m:sub>
          </m:sSub>
          <m:r>
            <m:rPr>
              <m:sty m:val="p"/>
            </m:rPr>
            <m:t>(</m:t>
          </m:r>
          <m:r>
            <m:t>a</m:t>
          </m:r>
          <m:r>
            <m:rPr>
              <m:sty m:val="p"/>
            </m:rPr>
            <m:t>)</m:t>
          </m:r>
          <m:r>
            <m:rPr>
              <m:sty m:val="p"/>
            </m:rPr>
            <m:t>+</m:t>
          </m:r>
          <m:sSub>
            <m:e>
              <m:r>
                <m:t>G</m:t>
              </m:r>
            </m:e>
            <m:sub>
              <m:r>
                <m:t>R</m:t>
              </m:r>
              <m:r>
                <m:t>D</m:t>
              </m:r>
              <m:r>
                <m:t>F</m:t>
              </m:r>
            </m:sub>
          </m:sSub>
          <m:r>
            <m:rPr>
              <m:sty m:val="p"/>
            </m:rPr>
            <m:t>(</m:t>
          </m:r>
          <m:r>
            <m:t>s</m:t>
          </m:r>
          <m:r>
            <m:rPr>
              <m:sty m:val="p"/>
            </m:rPr>
            <m:t>−</m:t>
          </m:r>
          <m:r>
            <m:t>a</m:t>
          </m:r>
          <m:r>
            <m:t> </m:t>
          </m:r>
          <m:sSub>
            <m:e>
              <m:r>
                <m:t>e</m:t>
              </m:r>
            </m:e>
            <m:sub>
              <m:r>
                <m:t>f</m:t>
              </m:r>
              <m:r>
                <m:t>o</m:t>
              </m:r>
              <m:r>
                <m:t>o</m:t>
              </m:r>
              <m:r>
                <m:t>d</m:t>
              </m:r>
            </m:sub>
          </m:sSub>
          <m:r>
            <m:rPr>
              <m:sty m:val="p"/>
            </m:rPr>
            <m:t>)</m:t>
          </m:r>
          <m:r>
            <m:rPr>
              <m:sty m:val="p"/>
            </m:rPr>
            <m:t>+</m:t>
          </m:r>
          <m:sSub>
            <m:e>
              <m:r>
                <m:t>G</m:t>
              </m:r>
            </m:e>
            <m:sub>
              <m:r>
                <m:t>L</m:t>
              </m:r>
              <m:r>
                <m:t>F</m:t>
              </m:r>
            </m:sub>
          </m:sSub>
          <m:r>
            <m:rPr>
              <m:sty m:val="p"/>
            </m:rPr>
            <m:t>(</m:t>
          </m:r>
          <m:r>
            <m:rPr>
              <m:sty m:val="p"/>
            </m:rPr>
            <m:t>r</m:t>
          </m:r>
          <m:r>
            <m:rPr>
              <m:sty m:val="p"/>
            </m:rPr>
            <m:t>e</m:t>
          </m:r>
          <m:r>
            <m:rPr>
              <m:sty m:val="p"/>
            </m:rPr>
            <m:t>j</m:t>
          </m:r>
          <m:r>
            <m:rPr>
              <m:sty m:val="p"/>
            </m:rPr>
            <m:t>,</m:t>
          </m:r>
          <m:r>
            <m:t>δ</m:t>
          </m:r>
          <m:r>
            <m:t>a</m:t>
          </m:r>
          <m:r>
            <m:rPr>
              <m:sty m:val="p"/>
            </m:rPr>
            <m:t>)</m:t>
          </m:r>
          <m:r>
            <m:t>  </m:t>
          </m:r>
          <m:r>
            <m:rPr>
              <m:sty m:val="p"/>
            </m:rPr>
            <m:t>(</m:t>
          </m:r>
          <m:r>
            <m:t>10</m:t>
          </m:r>
          <m:r>
            <m:rPr>
              <m:sty m:val="p"/>
            </m:rPr>
            <m:t>)</m:t>
          </m:r>
        </m:oMath>
      </m:oMathPara>
    </w:p>
    <w:p>
      <w:pPr>
        <w:pStyle w:val="FirstParagraph"/>
        <w:jc w:val="both"/>
      </w:pPr>
      <w:r>
        <w:t xml:space="preserve">Techno-economic assessment and decision:</w:t>
      </w:r>
    </w:p>
    <w:p>
      <w:pPr>
        <w:pStyle w:val="BodyText"/>
      </w:pPr>
      <m:oMathPara>
        <m:oMathParaPr>
          <m:jc m:val="center"/>
        </m:oMathParaPr>
        <m:oMath>
          <m:r>
            <m:t>C</m:t>
          </m:r>
          <m:r>
            <m:t>R</m:t>
          </m:r>
          <m:r>
            <m:t>F</m:t>
          </m:r>
          <m:r>
            <m:rPr>
              <m:sty m:val="p"/>
            </m:rPr>
            <m:t>=</m:t>
          </m:r>
          <m:f>
            <m:fPr>
              <m:type m:val="bar"/>
            </m:fPr>
            <m:num>
              <m:r>
                <m:t>r</m:t>
              </m:r>
              <m:r>
                <m:rPr>
                  <m:sty m:val="p"/>
                </m:rPr>
                <m:t>(</m:t>
              </m:r>
              <m:r>
                <m:t>1</m:t>
              </m:r>
              <m:r>
                <m:rPr>
                  <m:sty m:val="p"/>
                </m:rPr>
                <m:t>+</m:t>
              </m:r>
              <m:r>
                <m:t>r</m:t>
              </m:r>
              <m:sSup>
                <m:e>
                  <m:r>
                    <m:rPr>
                      <m:sty m:val="p"/>
                    </m:rPr>
                    <m:t>)</m:t>
                  </m:r>
                </m:e>
                <m:sup>
                  <m:r>
                    <m:t>n</m:t>
                  </m:r>
                </m:sup>
              </m:sSup>
            </m:num>
            <m:den>
              <m:r>
                <m:rPr>
                  <m:sty m:val="p"/>
                </m:rPr>
                <m:t>(</m:t>
              </m:r>
              <m:r>
                <m:t>1</m:t>
              </m:r>
              <m:r>
                <m:rPr>
                  <m:sty m:val="p"/>
                </m:rPr>
                <m:t>+</m:t>
              </m:r>
              <m:r>
                <m:t>r</m:t>
              </m:r>
              <m:sSup>
                <m:e>
                  <m:r>
                    <m:rPr>
                      <m:sty m:val="p"/>
                    </m:rPr>
                    <m:t>)</m:t>
                  </m:r>
                </m:e>
                <m:sup>
                  <m:r>
                    <m:t>n</m:t>
                  </m:r>
                </m:sup>
              </m:sSup>
              <m:r>
                <m:rPr>
                  <m:sty m:val="p"/>
                </m:rPr>
                <m:t>−</m:t>
              </m:r>
              <m:r>
                <m:t>1</m:t>
              </m:r>
            </m:den>
          </m:f>
          <m:r>
            <m:rPr>
              <m:sty m:val="p"/>
            </m:rPr>
            <m:t>,</m:t>
          </m:r>
          <m:r>
            <m:t> </m:t>
          </m:r>
          <m:sSubSup>
            <m:e>
              <m:r>
                <m:t>c</m:t>
              </m:r>
            </m:e>
            <m:sub>
              <m:r>
                <m:t>u</m:t>
              </m:r>
            </m:sub>
            <m:sup>
              <m:r>
                <m:t>c</m:t>
              </m:r>
              <m:r>
                <m:t>a</m:t>
              </m:r>
              <m:r>
                <m:t>p</m:t>
              </m:r>
            </m:sup>
          </m:sSubSup>
          <m:r>
            <m:rPr>
              <m:sty m:val="p"/>
            </m:rPr>
            <m:t>=</m:t>
          </m:r>
          <m:f>
            <m:fPr>
              <m:type m:val="bar"/>
            </m:fPr>
            <m:num>
              <m:r>
                <m:t>C</m:t>
              </m:r>
              <m:r>
                <m:t>R</m:t>
              </m:r>
              <m:r>
                <m:t>F</m:t>
              </m:r>
              <m:r>
                <m:t> </m:t>
              </m:r>
              <m:sSub>
                <m:e>
                  <m:r>
                    <m:t>K</m:t>
                  </m:r>
                </m:e>
                <m:sub>
                  <m:r>
                    <m:t>r</m:t>
                  </m:r>
                  <m:r>
                    <m:t>e</m:t>
                  </m:r>
                  <m:r>
                    <m:t>f</m:t>
                  </m:r>
                </m:sub>
              </m:sSub>
              <m:r>
                <m:t> </m:t>
              </m:r>
              <m:r>
                <m:rPr>
                  <m:sty m:val="p"/>
                </m:rPr>
                <m:t>(</m:t>
              </m:r>
              <m:r>
                <m:t>q</m:t>
              </m:r>
              <m:r>
                <m:rPr>
                  <m:sty m:val="p"/>
                </m:rPr>
                <m:t>/</m:t>
              </m:r>
              <m:r>
                <m:t>0.85</m:t>
              </m:r>
              <m:r>
                <m:rPr>
                  <m:sty m:val="p"/>
                </m:rPr>
                <m:t>/</m:t>
              </m:r>
              <m:sSub>
                <m:e>
                  <m:r>
                    <m:t>q</m:t>
                  </m:r>
                </m:e>
                <m:sub>
                  <m:r>
                    <m:t>r</m:t>
                  </m:r>
                  <m:r>
                    <m:t>e</m:t>
                  </m:r>
                  <m:r>
                    <m:t>f</m:t>
                  </m:r>
                </m:sub>
              </m:sSub>
              <m:sSup>
                <m:e>
                  <m:r>
                    <m:rPr>
                      <m:sty m:val="p"/>
                    </m:rPr>
                    <m:t>)</m:t>
                  </m:r>
                </m:e>
                <m:sup>
                  <m:r>
                    <m:t>b</m:t>
                  </m:r>
                </m:sup>
              </m:sSup>
            </m:num>
            <m:den>
              <m:r>
                <m:t>365</m:t>
              </m:r>
              <m:r>
                <m:t> </m:t>
              </m:r>
              <m:r>
                <m:t>q</m:t>
              </m:r>
            </m:den>
          </m:f>
          <m:r>
            <m:rPr>
              <m:sty m:val="p"/>
            </m:rPr>
            <m:t>,</m:t>
          </m:r>
          <m:r>
            <m:t> </m:t>
          </m:r>
          <m:r>
            <m:t>C</m:t>
          </m:r>
          <m:r>
            <m:t>I</m:t>
          </m:r>
          <m:sSub>
            <m:e>
              <m:r>
                <m:t>C</m:t>
              </m:r>
            </m:e>
            <m:sub>
              <m:r>
                <m:t>k</m:t>
              </m:r>
            </m:sub>
          </m:sSub>
          <m:r>
            <m:rPr>
              <m:sty m:val="p"/>
            </m:rPr>
            <m:t>=</m:t>
          </m:r>
          <m:sSub>
            <m:e>
              <m:r>
                <m:t>C</m:t>
              </m:r>
            </m:e>
            <m:sub>
              <m:r>
                <m:t>k</m:t>
              </m:r>
            </m:sub>
          </m:sSub>
          <m:r>
            <m:rPr>
              <m:sty m:val="p"/>
            </m:rPr>
            <m:t>+</m:t>
          </m:r>
          <m:r>
            <m:t>p</m:t>
          </m:r>
          <m:r>
            <m:t> </m:t>
          </m:r>
          <m:sSub>
            <m:e>
              <m:r>
                <m:t>G</m:t>
              </m:r>
            </m:e>
            <m:sub>
              <m:r>
                <m:t>k</m:t>
              </m:r>
            </m:sub>
          </m:sSub>
          <m:r>
            <m:rPr>
              <m:sty m:val="p"/>
            </m:rPr>
            <m:t>/</m:t>
          </m:r>
          <m:sSup>
            <m:e>
              <m:r>
                <m:t>10</m:t>
              </m:r>
            </m:e>
            <m:sup>
              <m:r>
                <m:t>3</m:t>
              </m:r>
            </m:sup>
          </m:sSup>
          <m:r>
            <m:rPr>
              <m:sty m:val="p"/>
            </m:rPr>
            <m:t>,</m:t>
          </m:r>
          <m:r>
            <m:t> </m:t>
          </m:r>
          <m:r>
            <m:t>M</m:t>
          </m:r>
          <m:r>
            <m:t>A</m:t>
          </m:r>
          <m:sSub>
            <m:e>
              <m:r>
                <m:t>C</m:t>
              </m:r>
            </m:e>
            <m:sub>
              <m:r>
                <m:t>k</m:t>
              </m:r>
            </m:sub>
          </m:sSub>
          <m:r>
            <m:rPr>
              <m:sty m:val="p"/>
            </m:rPr>
            <m:t>=</m:t>
          </m:r>
          <m:sSup>
            <m:e>
              <m:r>
                <m:t>10</m:t>
              </m:r>
            </m:e>
            <m:sup>
              <m:r>
                <m:t>3</m:t>
              </m:r>
            </m:sup>
          </m:sSup>
          <m:r>
            <m:t> </m:t>
          </m:r>
          <m:f>
            <m:fPr>
              <m:type m:val="bar"/>
            </m:fPr>
            <m:num>
              <m:sSub>
                <m:e>
                  <m:r>
                    <m:t>C</m:t>
                  </m:r>
                </m:e>
                <m:sub>
                  <m:r>
                    <m:t>k</m:t>
                  </m:r>
                </m:sub>
              </m:sSub>
              <m:r>
                <m:rPr>
                  <m:sty m:val="p"/>
                </m:rPr>
                <m:t>−</m:t>
              </m:r>
              <m:sSub>
                <m:e>
                  <m:r>
                    <m:t>C</m:t>
                  </m:r>
                </m:e>
                <m:sub>
                  <m:r>
                    <m:t>0</m:t>
                  </m:r>
                </m:sub>
              </m:sSub>
            </m:num>
            <m:den>
              <m:sSub>
                <m:e>
                  <m:r>
                    <m:t>G</m:t>
                  </m:r>
                </m:e>
                <m:sub>
                  <m:r>
                    <m:t>0</m:t>
                  </m:r>
                </m:sub>
              </m:sSub>
              <m:r>
                <m:rPr>
                  <m:sty m:val="p"/>
                </m:rPr>
                <m:t>−</m:t>
              </m:r>
              <m:sSub>
                <m:e>
                  <m:r>
                    <m:t>G</m:t>
                  </m:r>
                </m:e>
                <m:sub>
                  <m:r>
                    <m:t>k</m:t>
                  </m:r>
                </m:sub>
              </m:sSub>
            </m:den>
          </m:f>
          <m:r>
            <m:t>  </m:t>
          </m:r>
          <m:r>
            <m:rPr>
              <m:sty m:val="p"/>
            </m:rPr>
            <m:t>(</m:t>
          </m:r>
          <m:r>
            <m:t>11</m:t>
          </m:r>
          <m:r>
            <m:rPr>
              <m:sty m:val="p"/>
            </m:rPr>
            <m:t>)</m:t>
          </m:r>
        </m:oMath>
      </m:oMathPara>
    </w:p>
    <w:p>
      <w:pPr>
        <w:pStyle w:val="FirstParagraph"/>
        <w:jc w:val="both"/>
      </w:pPr>
      <w:r>
        <w:t xml:space="preserve">The gates G1 to G6 (WtE LHV ≥ 7 MJ/kg and Q ≥ 150 t/d, PSEL tariff at Q ≥ 1,000 t/d, RDF NCV ≥ 12.56 MJ/kg, kiln within 300 km road distance, PHB ≥ 500 t/yr) are read from</w:t>
      </w:r>
      <w:r>
        <w:t xml:space="preserve"> </w:t>
      </w:r>
      <w:r>
        <w:rPr>
          <w:i/>
          <w:iCs/>
        </w:rPr>
        <w:t xml:space="preserve">model_constants.csv</w:t>
      </w:r>
      <w:r>
        <w:t xml:space="preserve">. Feasible options are screened by Pareto dominance on (G, C). The best option is the feasible option with the lowest</w:t>
      </w:r>
      <w:r>
        <w:t xml:space="preserve"> </w:t>
      </w:r>
      <w:r>
        <w:rPr>
          <w:b/>
          <w:bCs/>
        </w:rPr>
        <w:t xml:space="preserve">carbon-inclusive cost</w:t>
      </w:r>
      <w:r>
        <w:t xml:space="preserve"> </w:t>
      </w:r>
      <w:r>
        <w:t xml:space="preserve">CIC</w:t>
      </w:r>
      <w:r>
        <w:rPr>
          <w:vertAlign w:val="subscript"/>
        </w:rPr>
        <w:t xml:space="preserve">k</w:t>
      </w:r>
      <w:r>
        <w:t xml:space="preserve"> </w:t>
      </w:r>
      <w:r>
        <w:t xml:space="preserve">(USD per tonne MSW). CIC is not a full social cost: it values only greenhouse gases, at a carbon value p that is a</w:t>
      </w:r>
      <w:r>
        <w:t xml:space="preserve"> </w:t>
      </w:r>
      <w:r>
        <w:rPr>
          <w:i/>
          <w:iCs/>
        </w:rPr>
        <w:t xml:space="preserve">policy choice</w:t>
      </w:r>
      <w:r>
        <w:t xml:space="preserve">. p is therefore not sampled as an uncertain parameter; results are reported at fixed values p = 0, 2 (Indonesian carbon tax, Rp 30/kg CO</w:t>
      </w:r>
      <w:r>
        <w:rPr>
          <w:vertAlign w:val="subscript"/>
        </w:rPr>
        <w:t xml:space="preserve">2</w:t>
      </w:r>
      <w:r>
        <w:t xml:space="preserve">e, UU 7/2021), 25, 50 and 100 USD/t CO</w:t>
      </w:r>
      <w:r>
        <w:rPr>
          <w:vertAlign w:val="subscript"/>
        </w:rPr>
        <w:t xml:space="preserve">2</w:t>
      </w:r>
      <w:r>
        <w:t xml:space="preserve">e. For each p the probability of being best is the share of N = 4,000 Monte Carlo draws in which an option has the lowest CIC, reported with its Monte Carlo standard error √(P(1−P)/N) ≤ 0.008. A small lead between two options is not a statistical tie: the standard error is small, and the lead measures how much the choice depends on inputs that are still uncertain (decision uncertainty), which Section 9 decomposes.</w:t>
      </w:r>
    </w:p>
    <w:bookmarkEnd w:id="32"/>
    <w:bookmarkEnd w:id="33"/>
    <w:bookmarkStart w:id="34" w:name="Xe94f862d17feebca56cd5192bbe039bd5612516"/>
    <w:p>
      <w:pPr>
        <w:pStyle w:val="Heading1"/>
      </w:pPr>
      <w:r>
        <w:t xml:space="preserve">5 Uncertainty: priors, sampling noise and scenarios kept apart</w:t>
      </w:r>
    </w:p>
    <w:p>
      <w:pPr>
        <w:pStyle w:val="FirstParagraph"/>
        <w:jc w:val="both"/>
      </w:pPr>
      <w:r>
        <w:t xml:space="preserve">Three kinds of uncertainty are distinguished. (1)</w:t>
      </w:r>
      <w:r>
        <w:t xml:space="preserve"> </w:t>
      </w:r>
      <w:r>
        <w:rPr>
          <w:b/>
          <w:bCs/>
        </w:rPr>
        <w:t xml:space="preserve">Composition</w:t>
      </w:r>
      <w:r>
        <w:t xml:space="preserve">: a Dirichlet distribution around the RIPS proxy, S ~ Dir(α</w:t>
      </w:r>
      <w:r>
        <w:rPr>
          <w:vertAlign w:val="subscript"/>
        </w:rPr>
        <w:t xml:space="preserve">0</w:t>
      </w:r>
      <w:r>
        <w:t xml:space="preserve"> </w:t>
      </w:r>
      <w:r>
        <w:t xml:space="preserve">s), with α</w:t>
      </w:r>
      <w:r>
        <w:rPr>
          <w:vertAlign w:val="subscript"/>
        </w:rPr>
        <w:t xml:space="preserve">0</w:t>
      </w:r>
      <w:r>
        <w:t xml:space="preserve"> </w:t>
      </w:r>
      <w:r>
        <w:t xml:space="preserve">= 80, or 40 where the data are flagged. These concentrations are</w:t>
      </w:r>
      <w:r>
        <w:t xml:space="preserve"> </w:t>
      </w:r>
      <w:r>
        <w:rPr>
          <w:i/>
          <w:iCs/>
        </w:rPr>
        <w:t xml:space="preserve">heuristics</w:t>
      </w:r>
      <w:r>
        <w:t xml:space="preserve">, not statistically calibrated: no replicate sorting campaigns exist for these locations to estimate them. The Dirichlet therefore represents prior uncertainty about how well an 8-day sample of a past year represents 2025, not measured sampling variability. (2)</w:t>
      </w:r>
      <w:r>
        <w:t xml:space="preserve"> </w:t>
      </w:r>
      <w:r>
        <w:rPr>
          <w:b/>
          <w:bCs/>
        </w:rPr>
        <w:t xml:space="preserve">Parameters</w:t>
      </w:r>
      <w:r>
        <w:t xml:space="preserve">: triangular distributions from the register (Section 6), a common wetness draw for moisture, the harmonisation priors γ and yard, the rubber DOCf gap (0 to 0.5) and the realism parameters of AD on mixed waste. (3)</w:t>
      </w:r>
      <w:r>
        <w:t xml:space="preserve"> </w:t>
      </w:r>
      <w:r>
        <w:rPr>
          <w:b/>
          <w:bCs/>
        </w:rPr>
        <w:t xml:space="preserve">Data scenarios and stress tests</w:t>
      </w:r>
      <w:r>
        <w:t xml:space="preserve">: discrete alternatives that are not given probabilities (Table S4). The carbon value is a policy setting and is fixed, not sampled (Section 4.1).</w:t>
      </w:r>
    </w:p>
    <w:p>
      <w:pPr>
        <w:pStyle w:val="BodyText"/>
        <w:jc w:val="both"/>
      </w:pPr>
      <w:r>
        <w:rPr>
          <w:b/>
          <w:bCs/>
        </w:rPr>
        <w:t xml:space="preserve">Missing categories.</w:t>
      </w:r>
      <w:r>
        <w:t xml:space="preserve"> </w:t>
      </w:r>
      <w:r>
        <w:t xml:space="preserve">A category that a RIPS does not report (glass in Kota Padang) has zero share in the main case. This is a modelling assumption, not a measurement of zero. The scenario</w:t>
      </w:r>
      <w:r>
        <w:t xml:space="preserve"> </w:t>
      </w:r>
      <w:r>
        <w:rPr>
          <w:i/>
          <w:iCs/>
        </w:rPr>
        <w:t xml:space="preserve">glass_imputed</w:t>
      </w:r>
      <w:r>
        <w:t xml:space="preserve"> </w:t>
      </w:r>
      <w:r>
        <w:t xml:space="preserve">gives such a location a glass share drawn from the 15 locations that report glass (median 1.2%, 10th–90th percentile 0.7–4.5%), and</w:t>
      </w:r>
      <w:r>
        <w:t xml:space="preserve"> </w:t>
      </w:r>
      <w:r>
        <w:rPr>
          <w:i/>
          <w:iCs/>
        </w:rPr>
        <w:t xml:space="preserve">dirichlet_pseudocount</w:t>
      </w:r>
      <w:r>
        <w:t xml:space="preserve"> </w:t>
      </w:r>
      <w:r>
        <w:t xml:space="preserve">adds 0.5 to every Dirichlet concentration so that no fraction can be exactly zero in a draw. Neither changes the most probable option at any carbon value (Table S6).</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76"/>
        <w:gridCol w:w="1073"/>
        <w:gridCol w:w="1073"/>
        <w:gridCol w:w="805"/>
        <w:gridCol w:w="1208"/>
        <w:gridCol w:w="1208"/>
        <w:gridCol w:w="1073"/>
      </w:tblGrid>
      <w:tr>
        <w:trPr>
          <w:tblHeader w:val="on"/>
        </w:trPr>
        <w:tc>
          <w:tcPr>
            <w:shd w:val="clear" w:color="auto" w:fill="DCE6F0"/>
          </w:tcPr>
          <w:p>
            <w:pPr>
              <w:pStyle w:val="Compact"/>
              <w:spacing w:after="0" w:before="0"/>
            </w:pPr>
            <w:r>
              <w:rPr>
                <w:b/>
                <w:sz w:val="16"/>
              </w:rPr>
              <w:t xml:space="preserve">Option</w:t>
            </w:r>
          </w:p>
        </w:tc>
        <w:tc>
          <w:tcPr>
            <w:shd w:val="clear" w:color="auto" w:fill="DCE6F0"/>
          </w:tcPr>
          <w:p>
            <w:pPr>
              <w:pStyle w:val="Compact"/>
              <w:spacing w:after="0" w:before="0"/>
            </w:pPr>
            <w:r>
              <w:rPr>
                <w:b/>
                <w:sz w:val="16"/>
              </w:rPr>
              <w:t xml:space="preserve">G: composition only</w:t>
            </w:r>
          </w:p>
        </w:tc>
        <w:tc>
          <w:tcPr>
            <w:shd w:val="clear" w:color="auto" w:fill="DCE6F0"/>
          </w:tcPr>
          <w:p>
            <w:pPr>
              <w:pStyle w:val="Compact"/>
              <w:spacing w:after="0" w:before="0"/>
            </w:pPr>
            <w:r>
              <w:rPr>
                <w:b/>
                <w:sz w:val="16"/>
              </w:rPr>
              <w:t xml:space="preserve">G: parameters only</w:t>
            </w:r>
          </w:p>
        </w:tc>
        <w:tc>
          <w:tcPr>
            <w:shd w:val="clear" w:color="auto" w:fill="DCE6F0"/>
          </w:tcPr>
          <w:p>
            <w:pPr>
              <w:pStyle w:val="Compact"/>
              <w:spacing w:after="0" w:before="0"/>
            </w:pPr>
            <w:r>
              <w:rPr>
                <w:b/>
                <w:sz w:val="16"/>
              </w:rPr>
              <w:t xml:space="preserve">G: both</w:t>
            </w:r>
          </w:p>
        </w:tc>
        <w:tc>
          <w:tcPr>
            <w:shd w:val="clear" w:color="auto" w:fill="DCE6F0"/>
          </w:tcPr>
          <w:p>
            <w:pPr>
              <w:pStyle w:val="Compact"/>
              <w:spacing w:after="0" w:before="0"/>
            </w:pPr>
            <w:r>
              <w:rPr>
                <w:b/>
                <w:sz w:val="16"/>
              </w:rPr>
              <w:t xml:space="preserve">C: composition only</w:t>
            </w:r>
          </w:p>
        </w:tc>
        <w:tc>
          <w:tcPr>
            <w:shd w:val="clear" w:color="auto" w:fill="DCE6F0"/>
          </w:tcPr>
          <w:p>
            <w:pPr>
              <w:pStyle w:val="Compact"/>
              <w:spacing w:after="0" w:before="0"/>
            </w:pPr>
            <w:r>
              <w:rPr>
                <w:b/>
                <w:sz w:val="16"/>
              </w:rPr>
              <w:t xml:space="preserve">C: parameters only</w:t>
            </w:r>
          </w:p>
        </w:tc>
        <w:tc>
          <w:tcPr>
            <w:shd w:val="clear" w:color="auto" w:fill="DCE6F0"/>
          </w:tcPr>
          <w:p>
            <w:pPr>
              <w:pStyle w:val="Compact"/>
              <w:spacing w:after="0" w:before="0"/>
            </w:pPr>
            <w:r>
              <w:rPr>
                <w:b/>
                <w:sz w:val="16"/>
              </w:rPr>
              <w:t xml:space="preserve">C: both</w:t>
            </w:r>
          </w:p>
        </w:tc>
      </w:tr>
      <w:tr>
        <w:tc>
          <w:tcPr/>
          <w:p>
            <w:pPr>
              <w:pStyle w:val="Compact"/>
              <w:spacing w:after="0" w:before="0"/>
            </w:pPr>
            <w:r>
              <w:rPr>
                <w:sz w:val="16"/>
              </w:rPr>
              <w:t xml:space="preserve">SL landfill + flare</w:t>
            </w:r>
          </w:p>
        </w:tc>
        <w:tc>
          <w:tcPr/>
          <w:p>
            <w:pPr>
              <w:pStyle w:val="Compact"/>
              <w:spacing w:after="0" w:before="0"/>
            </w:pPr>
            <w:r>
              <w:rPr>
                <w:sz w:val="16"/>
              </w:rPr>
              <w:t xml:space="preserve">203</w:t>
            </w:r>
          </w:p>
        </w:tc>
        <w:tc>
          <w:tcPr/>
          <w:p>
            <w:pPr>
              <w:pStyle w:val="Compact"/>
              <w:spacing w:after="0" w:before="0"/>
            </w:pPr>
            <w:r>
              <w:rPr>
                <w:sz w:val="16"/>
              </w:rPr>
              <w:t xml:space="preserve">573</w:t>
            </w:r>
          </w:p>
        </w:tc>
        <w:tc>
          <w:tcPr/>
          <w:p>
            <w:pPr>
              <w:pStyle w:val="Compact"/>
              <w:spacing w:after="0" w:before="0"/>
            </w:pPr>
            <w:r>
              <w:rPr>
                <w:sz w:val="16"/>
              </w:rPr>
              <w:t xml:space="preserve">622</w:t>
            </w:r>
          </w:p>
        </w:tc>
        <w:tc>
          <w:tcPr/>
          <w:p>
            <w:pPr>
              <w:pStyle w:val="Compact"/>
              <w:spacing w:after="0" w:before="0"/>
            </w:pPr>
            <w:r>
              <w:rPr>
                <w:sz w:val="16"/>
              </w:rPr>
              <w:t xml:space="preserve">0</w:t>
            </w:r>
          </w:p>
        </w:tc>
        <w:tc>
          <w:tcPr/>
          <w:p>
            <w:pPr>
              <w:pStyle w:val="Compact"/>
              <w:spacing w:after="0" w:before="0"/>
            </w:pPr>
            <w:r>
              <w:rPr>
                <w:sz w:val="16"/>
              </w:rPr>
              <w:t xml:space="preserve">13</w:t>
            </w:r>
          </w:p>
        </w:tc>
        <w:tc>
          <w:tcPr/>
          <w:p>
            <w:pPr>
              <w:pStyle w:val="Compact"/>
              <w:spacing w:after="0" w:before="0"/>
            </w:pPr>
            <w:r>
              <w:rPr>
                <w:sz w:val="16"/>
              </w:rPr>
              <w:t xml:space="preserve">13</w:t>
            </w:r>
          </w:p>
        </w:tc>
      </w:tr>
      <w:tr>
        <w:tc>
          <w:tcPr/>
          <w:p>
            <w:pPr>
              <w:pStyle w:val="Compact"/>
              <w:spacing w:after="0" w:before="0"/>
            </w:pPr>
            <w:r>
              <w:rPr>
                <w:sz w:val="16"/>
              </w:rPr>
              <w:t xml:space="preserve">S1 WtE</w:t>
            </w:r>
          </w:p>
        </w:tc>
        <w:tc>
          <w:tcPr/>
          <w:p>
            <w:pPr>
              <w:pStyle w:val="Compact"/>
              <w:spacing w:after="0" w:before="0"/>
            </w:pPr>
            <w:r>
              <w:rPr>
                <w:sz w:val="16"/>
              </w:rPr>
              <w:t xml:space="preserve">212</w:t>
            </w:r>
          </w:p>
        </w:tc>
        <w:tc>
          <w:tcPr/>
          <w:p>
            <w:pPr>
              <w:pStyle w:val="Compact"/>
              <w:spacing w:after="0" w:before="0"/>
            </w:pPr>
            <w:r>
              <w:rPr>
                <w:sz w:val="16"/>
              </w:rPr>
              <w:t xml:space="preserve">138</w:t>
            </w:r>
          </w:p>
        </w:tc>
        <w:tc>
          <w:tcPr/>
          <w:p>
            <w:pPr>
              <w:pStyle w:val="Compact"/>
              <w:spacing w:after="0" w:before="0"/>
            </w:pPr>
            <w:r>
              <w:rPr>
                <w:sz w:val="16"/>
              </w:rPr>
              <w:t xml:space="preserve">271</w:t>
            </w:r>
          </w:p>
        </w:tc>
        <w:tc>
          <w:tcPr/>
          <w:p>
            <w:pPr>
              <w:pStyle w:val="Compact"/>
              <w:spacing w:after="0" w:before="0"/>
            </w:pPr>
            <w:r>
              <w:rPr>
                <w:sz w:val="16"/>
              </w:rPr>
              <w:t xml:space="preserve">12</w:t>
            </w:r>
          </w:p>
        </w:tc>
        <w:tc>
          <w:tcPr/>
          <w:p>
            <w:pPr>
              <w:pStyle w:val="Compact"/>
              <w:spacing w:after="0" w:before="0"/>
            </w:pPr>
            <w:r>
              <w:rPr>
                <w:sz w:val="16"/>
              </w:rPr>
              <w:t xml:space="preserve">39</w:t>
            </w:r>
          </w:p>
        </w:tc>
        <w:tc>
          <w:tcPr/>
          <w:p>
            <w:pPr>
              <w:pStyle w:val="Compact"/>
              <w:spacing w:after="0" w:before="0"/>
            </w:pPr>
            <w:r>
              <w:rPr>
                <w:sz w:val="16"/>
              </w:rPr>
              <w:t xml:space="preserve">42</w:t>
            </w:r>
          </w:p>
        </w:tc>
      </w:tr>
      <w:tr>
        <w:tc>
          <w:tcPr/>
          <w:p>
            <w:pPr>
              <w:pStyle w:val="Compact"/>
              <w:spacing w:after="0" w:before="0"/>
            </w:pPr>
            <w:r>
              <w:rPr>
                <w:sz w:val="16"/>
              </w:rPr>
              <w:t xml:space="preserve">S2 RDF</w:t>
            </w:r>
          </w:p>
        </w:tc>
        <w:tc>
          <w:tcPr/>
          <w:p>
            <w:pPr>
              <w:pStyle w:val="Compact"/>
              <w:spacing w:after="0" w:before="0"/>
            </w:pPr>
            <w:r>
              <w:rPr>
                <w:sz w:val="16"/>
              </w:rPr>
              <w:t xml:space="preserve">132</w:t>
            </w:r>
          </w:p>
        </w:tc>
        <w:tc>
          <w:tcPr/>
          <w:p>
            <w:pPr>
              <w:pStyle w:val="Compact"/>
              <w:spacing w:after="0" w:before="0"/>
            </w:pPr>
            <w:r>
              <w:rPr>
                <w:sz w:val="16"/>
              </w:rPr>
              <w:t xml:space="preserve">359</w:t>
            </w:r>
          </w:p>
        </w:tc>
        <w:tc>
          <w:tcPr/>
          <w:p>
            <w:pPr>
              <w:pStyle w:val="Compact"/>
              <w:spacing w:after="0" w:before="0"/>
            </w:pPr>
            <w:r>
              <w:rPr>
                <w:sz w:val="16"/>
              </w:rPr>
              <w:t xml:space="preserve">391</w:t>
            </w:r>
          </w:p>
        </w:tc>
        <w:tc>
          <w:tcPr/>
          <w:p>
            <w:pPr>
              <w:pStyle w:val="Compact"/>
              <w:spacing w:after="0" w:before="0"/>
            </w:pPr>
            <w:r>
              <w:rPr>
                <w:sz w:val="16"/>
              </w:rPr>
              <w:t xml:space="preserve">4</w:t>
            </w:r>
          </w:p>
        </w:tc>
        <w:tc>
          <w:tcPr/>
          <w:p>
            <w:pPr>
              <w:pStyle w:val="Compact"/>
              <w:spacing w:after="0" w:before="0"/>
            </w:pPr>
            <w:r>
              <w:rPr>
                <w:sz w:val="16"/>
              </w:rPr>
              <w:t xml:space="preserve">15</w:t>
            </w:r>
          </w:p>
        </w:tc>
        <w:tc>
          <w:tcPr/>
          <w:p>
            <w:pPr>
              <w:pStyle w:val="Compact"/>
              <w:spacing w:after="0" w:before="0"/>
            </w:pPr>
            <w:r>
              <w:rPr>
                <w:sz w:val="16"/>
              </w:rPr>
              <w:t xml:space="preserve">15</w:t>
            </w:r>
          </w:p>
        </w:tc>
      </w:tr>
      <w:tr>
        <w:tc>
          <w:tcPr/>
          <w:p>
            <w:pPr>
              <w:pStyle w:val="Compact"/>
              <w:spacing w:after="0" w:before="0"/>
            </w:pPr>
            <w:r>
              <w:rPr>
                <w:sz w:val="16"/>
              </w:rPr>
              <w:t xml:space="preserve">S3 AD</w:t>
            </w:r>
          </w:p>
        </w:tc>
        <w:tc>
          <w:tcPr/>
          <w:p>
            <w:pPr>
              <w:pStyle w:val="Compact"/>
              <w:spacing w:after="0" w:before="0"/>
            </w:pPr>
            <w:r>
              <w:rPr>
                <w:sz w:val="16"/>
              </w:rPr>
              <w:t xml:space="preserve">251</w:t>
            </w:r>
          </w:p>
        </w:tc>
        <w:tc>
          <w:tcPr/>
          <w:p>
            <w:pPr>
              <w:pStyle w:val="Compact"/>
              <w:spacing w:after="0" w:before="0"/>
            </w:pPr>
            <w:r>
              <w:rPr>
                <w:sz w:val="16"/>
              </w:rPr>
              <w:t xml:space="preserve">443</w:t>
            </w:r>
          </w:p>
        </w:tc>
        <w:tc>
          <w:tcPr/>
          <w:p>
            <w:pPr>
              <w:pStyle w:val="Compact"/>
              <w:spacing w:after="0" w:before="0"/>
            </w:pPr>
            <w:r>
              <w:rPr>
                <w:sz w:val="16"/>
              </w:rPr>
              <w:t xml:space="preserve">523</w:t>
            </w:r>
          </w:p>
        </w:tc>
        <w:tc>
          <w:tcPr/>
          <w:p>
            <w:pPr>
              <w:pStyle w:val="Compact"/>
              <w:spacing w:after="0" w:before="0"/>
            </w:pPr>
            <w:r>
              <w:rPr>
                <w:sz w:val="16"/>
              </w:rPr>
              <w:t xml:space="preserve">2</w:t>
            </w:r>
          </w:p>
        </w:tc>
        <w:tc>
          <w:tcPr/>
          <w:p>
            <w:pPr>
              <w:pStyle w:val="Compact"/>
              <w:spacing w:after="0" w:before="0"/>
            </w:pPr>
            <w:r>
              <w:rPr>
                <w:sz w:val="16"/>
              </w:rPr>
              <w:t xml:space="preserve">17</w:t>
            </w:r>
          </w:p>
        </w:tc>
        <w:tc>
          <w:tcPr/>
          <w:p>
            <w:pPr>
              <w:pStyle w:val="Compact"/>
              <w:spacing w:after="0" w:before="0"/>
            </w:pPr>
            <w:r>
              <w:rPr>
                <w:sz w:val="16"/>
              </w:rPr>
              <w:t xml:space="preserve">17</w:t>
            </w:r>
          </w:p>
        </w:tc>
      </w:tr>
      <w:tr>
        <w:tc>
          <w:tcPr/>
          <w:p>
            <w:pPr>
              <w:pStyle w:val="Compact"/>
              <w:spacing w:after="0" w:before="0"/>
            </w:pPr>
            <w:r>
              <w:rPr>
                <w:sz w:val="16"/>
              </w:rPr>
              <w:t xml:space="preserve">S4 PHB</w:t>
            </w:r>
          </w:p>
        </w:tc>
        <w:tc>
          <w:tcPr/>
          <w:p>
            <w:pPr>
              <w:pStyle w:val="Compact"/>
              <w:spacing w:after="0" w:before="0"/>
            </w:pPr>
            <w:r>
              <w:rPr>
                <w:sz w:val="16"/>
              </w:rPr>
              <w:t xml:space="preserve">198</w:t>
            </w:r>
          </w:p>
        </w:tc>
        <w:tc>
          <w:tcPr/>
          <w:p>
            <w:pPr>
              <w:pStyle w:val="Compact"/>
              <w:spacing w:after="0" w:before="0"/>
            </w:pPr>
            <w:r>
              <w:rPr>
                <w:sz w:val="16"/>
              </w:rPr>
              <w:t xml:space="preserve">576</w:t>
            </w:r>
          </w:p>
        </w:tc>
        <w:tc>
          <w:tcPr/>
          <w:p>
            <w:pPr>
              <w:pStyle w:val="Compact"/>
              <w:spacing w:after="0" w:before="0"/>
            </w:pPr>
            <w:r>
              <w:rPr>
                <w:sz w:val="16"/>
              </w:rPr>
              <w:t xml:space="preserve">630</w:t>
            </w:r>
          </w:p>
        </w:tc>
        <w:tc>
          <w:tcPr/>
          <w:p>
            <w:pPr>
              <w:pStyle w:val="Compact"/>
              <w:spacing w:after="0" w:before="0"/>
            </w:pPr>
            <w:r>
              <w:rPr>
                <w:sz w:val="16"/>
              </w:rPr>
              <w:t xml:space="preserve">5</w:t>
            </w:r>
          </w:p>
        </w:tc>
        <w:tc>
          <w:tcPr/>
          <w:p>
            <w:pPr>
              <w:pStyle w:val="Compact"/>
              <w:spacing w:after="0" w:before="0"/>
            </w:pPr>
            <w:r>
              <w:rPr>
                <w:sz w:val="16"/>
              </w:rPr>
              <w:t xml:space="preserve">42</w:t>
            </w:r>
          </w:p>
        </w:tc>
        <w:tc>
          <w:tcPr/>
          <w:p>
            <w:pPr>
              <w:pStyle w:val="Compact"/>
              <w:spacing w:after="0" w:before="0"/>
            </w:pPr>
            <w:r>
              <w:rPr>
                <w:sz w:val="16"/>
              </w:rPr>
              <w:t xml:space="preserve">42</w:t>
            </w:r>
          </w:p>
        </w:tc>
      </w:tr>
      <w:tr>
        <w:tc>
          <w:tcPr/>
          <w:p>
            <w:pPr>
              <w:pStyle w:val="Compact"/>
              <w:spacing w:after="0" w:before="0"/>
            </w:pPr>
            <w:r>
              <w:rPr>
                <w:sz w:val="16"/>
              </w:rPr>
              <w:t xml:space="preserve">S5 RDF + AD</w:t>
            </w:r>
          </w:p>
        </w:tc>
        <w:tc>
          <w:tcPr/>
          <w:p>
            <w:pPr>
              <w:pStyle w:val="Compact"/>
              <w:spacing w:after="0" w:before="0"/>
            </w:pPr>
            <w:r>
              <w:rPr>
                <w:sz w:val="16"/>
              </w:rPr>
              <w:t xml:space="preserve">108</w:t>
            </w:r>
          </w:p>
        </w:tc>
        <w:tc>
          <w:tcPr/>
          <w:p>
            <w:pPr>
              <w:pStyle w:val="Compact"/>
              <w:spacing w:after="0" w:before="0"/>
            </w:pPr>
            <w:r>
              <w:rPr>
                <w:sz w:val="16"/>
              </w:rPr>
              <w:t xml:space="preserve">242</w:t>
            </w:r>
          </w:p>
        </w:tc>
        <w:tc>
          <w:tcPr/>
          <w:p>
            <w:pPr>
              <w:pStyle w:val="Compact"/>
              <w:spacing w:after="0" w:before="0"/>
            </w:pPr>
            <w:r>
              <w:rPr>
                <w:sz w:val="16"/>
              </w:rPr>
              <w:t xml:space="preserve">281</w:t>
            </w:r>
          </w:p>
        </w:tc>
        <w:tc>
          <w:tcPr/>
          <w:p>
            <w:pPr>
              <w:pStyle w:val="Compact"/>
              <w:spacing w:after="0" w:before="0"/>
            </w:pPr>
            <w:r>
              <w:rPr>
                <w:sz w:val="16"/>
              </w:rPr>
              <w:t xml:space="preserve">5</w:t>
            </w:r>
          </w:p>
        </w:tc>
        <w:tc>
          <w:tcPr/>
          <w:p>
            <w:pPr>
              <w:pStyle w:val="Compact"/>
              <w:spacing w:after="0" w:before="0"/>
            </w:pPr>
            <w:r>
              <w:rPr>
                <w:sz w:val="16"/>
              </w:rPr>
              <w:t xml:space="preserve">17</w:t>
            </w:r>
          </w:p>
        </w:tc>
        <w:tc>
          <w:tcPr/>
          <w:p>
            <w:pPr>
              <w:pStyle w:val="Compact"/>
              <w:spacing w:after="0" w:before="0"/>
            </w:pPr>
            <w:r>
              <w:rPr>
                <w:sz w:val="16"/>
              </w:rPr>
              <w:t xml:space="preserve">18</w:t>
            </w:r>
          </w:p>
        </w:tc>
      </w:tr>
    </w:tbl>
    <w:p>
      <w:pPr>
        <w:pStyle w:val="Caption"/>
      </w:pPr>
      <w:r>
        <w:t xml:space="preserve">Table S3: Median width of the 90% interval over 21 locations when only one source of uncertainty is sampled (G in kg CO</w:t>
      </w:r>
      <w:r>
        <w:rPr>
          <w:vertAlign w:val="subscript"/>
        </w:rPr>
        <w:t xml:space="preserve">2</w:t>
      </w:r>
      <w:r>
        <w:t xml:space="preserve">e/t, C in USD/t; 2,000 draws, market case).</w:t>
      </w:r>
    </w:p>
    <w:p>
      <w:pPr>
        <w:pStyle w:val="BodyText"/>
        <w:jc w:val="both"/>
      </w:pPr>
      <w:r>
        <w:t xml:space="preserve">Parameter uncertainty dominates cost; composition contributes a large share of the spread in GHG for WtE (through the plastic share) but less than the parameters for the landfill-based options, where gas collection efficiency dominates.</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879"/>
        <w:gridCol w:w="4966"/>
        <w:gridCol w:w="1073"/>
      </w:tblGrid>
      <w:tr>
        <w:trPr>
          <w:tblHeader w:val="on"/>
        </w:trPr>
        <w:tc>
          <w:tcPr>
            <w:shd w:val="clear" w:color="auto" w:fill="DCE6F0"/>
          </w:tcPr>
          <w:p>
            <w:pPr>
              <w:pStyle w:val="Compact"/>
              <w:spacing w:after="0" w:before="0"/>
            </w:pPr>
            <w:r>
              <w:rPr>
                <w:b/>
                <w:sz w:val="16"/>
              </w:rPr>
              <w:t xml:space="preserve">Scenario</w:t>
            </w:r>
          </w:p>
        </w:tc>
        <w:tc>
          <w:tcPr>
            <w:shd w:val="clear" w:color="auto" w:fill="DCE6F0"/>
          </w:tcPr>
          <w:p>
            <w:pPr>
              <w:pStyle w:val="Compact"/>
              <w:spacing w:after="0" w:before="0"/>
            </w:pPr>
            <w:r>
              <w:rPr>
                <w:b/>
                <w:sz w:val="16"/>
              </w:rPr>
              <w:t xml:space="preserve">What changes</w:t>
            </w:r>
          </w:p>
        </w:tc>
        <w:tc>
          <w:tcPr>
            <w:shd w:val="clear" w:color="auto" w:fill="DCE6F0"/>
          </w:tcPr>
          <w:p>
            <w:pPr>
              <w:pStyle w:val="Compact"/>
              <w:spacing w:after="0" w:before="0"/>
            </w:pPr>
            <w:r>
              <w:rPr>
                <w:b/>
                <w:sz w:val="16"/>
              </w:rPr>
              <w:t xml:space="preserve">Status</w:t>
            </w:r>
          </w:p>
        </w:tc>
      </w:tr>
      <w:tr>
        <w:tc>
          <w:tcPr/>
          <w:p>
            <w:pPr>
              <w:pStyle w:val="Compact"/>
              <w:spacing w:after="0" w:before="0"/>
            </w:pPr>
            <w:r>
              <w:rPr>
                <w:sz w:val="16"/>
              </w:rPr>
              <w:t xml:space="preserve">market</w:t>
            </w:r>
          </w:p>
        </w:tc>
        <w:tc>
          <w:tcPr/>
          <w:p>
            <w:pPr>
              <w:pStyle w:val="Compact"/>
              <w:spacing w:after="0" w:before="0"/>
            </w:pPr>
            <w:r>
              <w:rPr>
                <w:sz w:val="16"/>
              </w:rPr>
              <w:t xml:space="preserve">Main case: market prices, no support, residues to sanitary landfill, GWP100, as-received moisture</w:t>
            </w:r>
          </w:p>
        </w:tc>
        <w:tc>
          <w:tcPr/>
          <w:p>
            <w:pPr>
              <w:pStyle w:val="Compact"/>
              <w:spacing w:after="0" w:before="0"/>
            </w:pPr>
            <w:r>
              <w:rPr>
                <w:sz w:val="16"/>
              </w:rPr>
              <w:t xml:space="preserve">main</w:t>
            </w:r>
          </w:p>
        </w:tc>
      </w:tr>
      <w:tr>
        <w:tc>
          <w:tcPr/>
          <w:p>
            <w:pPr>
              <w:pStyle w:val="Compact"/>
              <w:spacing w:after="0" w:before="0"/>
            </w:pPr>
            <w:r>
              <w:rPr>
                <w:sz w:val="16"/>
              </w:rPr>
              <w:t xml:space="preserve">perpres109</w:t>
            </w:r>
          </w:p>
        </w:tc>
        <w:tc>
          <w:tcPr/>
          <w:p>
            <w:pPr>
              <w:pStyle w:val="Compact"/>
              <w:spacing w:after="0" w:before="0"/>
            </w:pPr>
            <w:r>
              <w:rPr>
                <w:sz w:val="16"/>
              </w:rPr>
              <w:t xml:space="preserve">WtE electricity at USD 0.20/kWh where Q ≥ 1,000 t/d</w:t>
            </w:r>
          </w:p>
        </w:tc>
        <w:tc>
          <w:tcPr/>
          <w:p>
            <w:pPr>
              <w:pStyle w:val="Compact"/>
              <w:spacing w:after="0" w:before="0"/>
            </w:pPr>
            <w:r>
              <w:rPr>
                <w:sz w:val="16"/>
              </w:rPr>
              <w:t xml:space="preserve">policy</w:t>
            </w:r>
          </w:p>
        </w:tc>
      </w:tr>
      <w:tr>
        <w:tc>
          <w:tcPr/>
          <w:p>
            <w:pPr>
              <w:pStyle w:val="Compact"/>
              <w:spacing w:after="0" w:before="0"/>
            </w:pPr>
            <w:r>
              <w:rPr>
                <w:sz w:val="16"/>
              </w:rPr>
              <w:t xml:space="preserve">food_separated_at_source</w:t>
            </w:r>
          </w:p>
        </w:tc>
        <w:tc>
          <w:tcPr/>
          <w:p>
            <w:pPr>
              <w:pStyle w:val="Compact"/>
              <w:spacing w:after="0" w:before="0"/>
            </w:pPr>
            <w:r>
              <w:rPr>
                <w:sz w:val="16"/>
              </w:rPr>
              <w:t xml:space="preserve">Food arrives separated: no front-end sorting (π = 0), k</w:t>
            </w:r>
            <w:r>
              <w:rPr>
                <w:sz w:val="16"/>
                <w:vertAlign w:val="subscript"/>
              </w:rPr>
              <w:t xml:space="preserve">mech</w:t>
            </w:r>
            <w:r>
              <w:rPr>
                <w:sz w:val="16"/>
              </w:rPr>
              <w:t xml:space="preserve"> </w:t>
            </w:r>
            <w:r>
              <w:rPr>
                <w:sz w:val="16"/>
              </w:rPr>
              <w:t xml:space="preserve">= 1, c</w:t>
            </w:r>
            <w:r>
              <w:rPr>
                <w:sz w:val="16"/>
                <w:vertAlign w:val="subscript"/>
              </w:rPr>
              <w:t xml:space="preserve">pre</w:t>
            </w:r>
            <w:r>
              <w:rPr>
                <w:sz w:val="16"/>
              </w:rPr>
              <w:t xml:space="preserve"> </w:t>
            </w:r>
            <w:r>
              <w:rPr>
                <w:sz w:val="16"/>
              </w:rPr>
              <w:t xml:space="preserve">= 0</w:t>
            </w:r>
          </w:p>
        </w:tc>
        <w:tc>
          <w:tcPr/>
          <w:p>
            <w:pPr>
              <w:pStyle w:val="Compact"/>
              <w:spacing w:after="0" w:before="0"/>
            </w:pPr>
            <w:r>
              <w:rPr>
                <w:sz w:val="16"/>
              </w:rPr>
              <w:t xml:space="preserve">what-if</w:t>
            </w:r>
          </w:p>
        </w:tc>
      </w:tr>
      <w:tr>
        <w:tc>
          <w:tcPr/>
          <w:p>
            <w:pPr>
              <w:pStyle w:val="Compact"/>
              <w:spacing w:after="0" w:before="0"/>
            </w:pPr>
            <w:r>
              <w:rPr>
                <w:sz w:val="16"/>
              </w:rPr>
              <w:t xml:space="preserve">AD_feed_optimistic</w:t>
            </w:r>
          </w:p>
        </w:tc>
        <w:tc>
          <w:tcPr/>
          <w:p>
            <w:pPr>
              <w:pStyle w:val="Compact"/>
              <w:spacing w:after="0" w:before="0"/>
            </w:pPr>
            <w:r>
              <w:rPr>
                <w:sz w:val="16"/>
              </w:rPr>
              <w:t xml:space="preserve">Mixed-waste AD as good as source-separated food (k</w:t>
            </w:r>
            <w:r>
              <w:rPr>
                <w:sz w:val="16"/>
                <w:vertAlign w:val="subscript"/>
              </w:rPr>
              <w:t xml:space="preserve">mech</w:t>
            </w:r>
            <w:r>
              <w:rPr>
                <w:sz w:val="16"/>
              </w:rPr>
              <w:t xml:space="preserve"> </w:t>
            </w:r>
            <w:r>
              <w:rPr>
                <w:sz w:val="16"/>
              </w:rPr>
              <w:t xml:space="preserve">= 1, c</w:t>
            </w:r>
            <w:r>
              <w:rPr>
                <w:sz w:val="16"/>
                <w:vertAlign w:val="subscript"/>
              </w:rPr>
              <w:t xml:space="preserve">pre</w:t>
            </w:r>
            <w:r>
              <w:rPr>
                <w:sz w:val="16"/>
              </w:rPr>
              <w:t xml:space="preserve"> </w:t>
            </w:r>
            <w:r>
              <w:rPr>
                <w:sz w:val="16"/>
              </w:rPr>
              <w:t xml:space="preserve">= 0)</w:t>
            </w:r>
          </w:p>
        </w:tc>
        <w:tc>
          <w:tcPr/>
          <w:p>
            <w:pPr>
              <w:pStyle w:val="Compact"/>
              <w:spacing w:after="0" w:before="0"/>
            </w:pPr>
            <w:r>
              <w:rPr>
                <w:sz w:val="16"/>
              </w:rPr>
              <w:t xml:space="preserve">what-if</w:t>
            </w:r>
          </w:p>
        </w:tc>
      </w:tr>
      <w:tr>
        <w:tc>
          <w:tcPr/>
          <w:p>
            <w:pPr>
              <w:pStyle w:val="Compact"/>
              <w:spacing w:after="0" w:before="0"/>
            </w:pPr>
            <w:r>
              <w:rPr>
                <w:sz w:val="16"/>
              </w:rPr>
              <w:t xml:space="preserve">residues_to_open_dump</w:t>
            </w:r>
          </w:p>
        </w:tc>
        <w:tc>
          <w:tcPr/>
          <w:p>
            <w:pPr>
              <w:pStyle w:val="Compact"/>
              <w:spacing w:after="0" w:before="0"/>
            </w:pPr>
            <w:r>
              <w:rPr>
                <w:sz w:val="16"/>
              </w:rPr>
              <w:t xml:space="preserve">Residues dumped instead of landfilled (illegal; sensitivity only)</w:t>
            </w:r>
          </w:p>
        </w:tc>
        <w:tc>
          <w:tcPr/>
          <w:p>
            <w:pPr>
              <w:pStyle w:val="Compact"/>
              <w:spacing w:after="0" w:before="0"/>
            </w:pPr>
            <w:r>
              <w:rPr>
                <w:sz w:val="16"/>
              </w:rPr>
              <w:t xml:space="preserve">what-if</w:t>
            </w:r>
          </w:p>
        </w:tc>
      </w:tr>
      <w:tr>
        <w:tc>
          <w:tcPr/>
          <w:p>
            <w:pPr>
              <w:pStyle w:val="Compact"/>
              <w:spacing w:after="0" w:before="0"/>
            </w:pPr>
            <w:r>
              <w:rPr>
                <w:sz w:val="16"/>
              </w:rPr>
              <w:t xml:space="preserve">managed_M1_status_index</w:t>
            </w:r>
          </w:p>
        </w:tc>
        <w:tc>
          <w:tcPr/>
          <w:p>
            <w:pPr>
              <w:pStyle w:val="Compact"/>
              <w:spacing w:after="0" w:before="0"/>
            </w:pPr>
            <w:r>
              <w:rPr>
                <w:sz w:val="16"/>
              </w:rPr>
              <w:t xml:space="preserve">Plant size = status-index share × Q2025 (19 locations)</w:t>
            </w:r>
          </w:p>
        </w:tc>
        <w:tc>
          <w:tcPr/>
          <w:p>
            <w:pPr>
              <w:pStyle w:val="Compact"/>
              <w:spacing w:after="0" w:before="0"/>
            </w:pPr>
            <w:r>
              <w:rPr>
                <w:sz w:val="16"/>
              </w:rPr>
              <w:t xml:space="preserve">data scenario</w:t>
            </w:r>
          </w:p>
        </w:tc>
      </w:tr>
      <w:tr>
        <w:tc>
          <w:tcPr/>
          <w:p>
            <w:pPr>
              <w:pStyle w:val="Compact"/>
              <w:spacing w:after="0" w:before="0"/>
            </w:pPr>
            <w:r>
              <w:rPr>
                <w:sz w:val="16"/>
              </w:rPr>
              <w:t xml:space="preserve">managed_M2_local_first</w:t>
            </w:r>
          </w:p>
        </w:tc>
        <w:tc>
          <w:tcPr/>
          <w:p>
            <w:pPr>
              <w:pStyle w:val="Compact"/>
              <w:spacing w:after="0" w:before="0"/>
            </w:pPr>
            <w:r>
              <w:rPr>
                <w:sz w:val="16"/>
              </w:rPr>
              <w:t xml:space="preserve">Plant size = local indicator where held, else status index (21; mixed definitions)</w:t>
            </w:r>
          </w:p>
        </w:tc>
        <w:tc>
          <w:tcPr/>
          <w:p>
            <w:pPr>
              <w:pStyle w:val="Compact"/>
              <w:spacing w:after="0" w:before="0"/>
            </w:pPr>
            <w:r>
              <w:rPr>
                <w:sz w:val="16"/>
              </w:rPr>
              <w:t xml:space="preserve">data scenario</w:t>
            </w:r>
          </w:p>
        </w:tc>
      </w:tr>
      <w:tr>
        <w:tc>
          <w:tcPr/>
          <w:p>
            <w:pPr>
              <w:pStyle w:val="Compact"/>
              <w:spacing w:after="0" w:before="0"/>
            </w:pPr>
            <w:r>
              <w:rPr>
                <w:sz w:val="16"/>
              </w:rPr>
              <w:t xml:space="preserve">GWP20</w:t>
            </w:r>
          </w:p>
        </w:tc>
        <w:tc>
          <w:tcPr/>
          <w:p>
            <w:pPr>
              <w:pStyle w:val="Compact"/>
              <w:spacing w:after="0" w:before="0"/>
            </w:pPr>
            <w:r>
              <w:rPr>
                <w:sz w:val="16"/>
              </w:rPr>
              <w:t xml:space="preserve">20-year horizon for methane</w:t>
            </w:r>
          </w:p>
        </w:tc>
        <w:tc>
          <w:tcPr/>
          <w:p>
            <w:pPr>
              <w:pStyle w:val="Compact"/>
              <w:spacing w:after="0" w:before="0"/>
            </w:pPr>
            <w:r>
              <w:rPr>
                <w:sz w:val="16"/>
              </w:rPr>
              <w:t xml:space="preserve">method</w:t>
            </w:r>
          </w:p>
        </w:tc>
      </w:tr>
      <w:tr>
        <w:tc>
          <w:tcPr/>
          <w:p>
            <w:pPr>
              <w:pStyle w:val="Compact"/>
              <w:spacing w:after="0" w:before="0"/>
            </w:pPr>
            <w:r>
              <w:rPr>
                <w:sz w:val="16"/>
              </w:rPr>
              <w:t xml:space="preserve">moisture_IPCC_default</w:t>
            </w:r>
          </w:p>
        </w:tc>
        <w:tc>
          <w:tcPr/>
          <w:p>
            <w:pPr>
              <w:pStyle w:val="Compact"/>
              <w:spacing w:after="0" w:before="0"/>
            </w:pPr>
            <w:r>
              <w:rPr>
                <w:sz w:val="16"/>
              </w:rPr>
              <w:t xml:space="preserve">IPCC moisture (as generated) instead of as-received values</w:t>
            </w:r>
          </w:p>
        </w:tc>
        <w:tc>
          <w:tcPr/>
          <w:p>
            <w:pPr>
              <w:pStyle w:val="Compact"/>
              <w:spacing w:after="0" w:before="0"/>
            </w:pPr>
            <w:r>
              <w:rPr>
                <w:sz w:val="16"/>
              </w:rPr>
              <w:t xml:space="preserve">data scenario</w:t>
            </w:r>
          </w:p>
        </w:tc>
      </w:tr>
      <w:tr>
        <w:tc>
          <w:tcPr/>
          <w:p>
            <w:pPr>
              <w:pStyle w:val="Compact"/>
              <w:spacing w:after="0" w:before="0"/>
            </w:pPr>
            <w:r>
              <w:rPr>
                <w:sz w:val="16"/>
              </w:rPr>
              <w:t xml:space="preserve">tonnage_overview_projected</w:t>
            </w:r>
          </w:p>
        </w:tc>
        <w:tc>
          <w:tcPr/>
          <w:p>
            <w:pPr>
              <w:pStyle w:val="Compact"/>
              <w:spacing w:after="0" w:before="0"/>
            </w:pPr>
            <w:r>
              <w:rPr>
                <w:sz w:val="16"/>
              </w:rPr>
              <w:t xml:space="preserve">Overview totals projected from the composition year</w:t>
            </w:r>
          </w:p>
        </w:tc>
        <w:tc>
          <w:tcPr/>
          <w:p>
            <w:pPr>
              <w:pStyle w:val="Compact"/>
              <w:spacing w:after="0" w:before="0"/>
            </w:pPr>
            <w:r>
              <w:rPr>
                <w:sz w:val="16"/>
              </w:rPr>
              <w:t xml:space="preserve">data scenario</w:t>
            </w:r>
          </w:p>
        </w:tc>
      </w:tr>
      <w:tr>
        <w:tc>
          <w:tcPr/>
          <w:p>
            <w:pPr>
              <w:pStyle w:val="Compact"/>
              <w:spacing w:after="0" w:before="0"/>
            </w:pPr>
            <w:r>
              <w:rPr>
                <w:sz w:val="16"/>
              </w:rPr>
              <w:t xml:space="preserve">docf_rubber_0.5</w:t>
            </w:r>
          </w:p>
        </w:tc>
        <w:tc>
          <w:tcPr/>
          <w:p>
            <w:pPr>
              <w:pStyle w:val="Compact"/>
              <w:spacing w:after="0" w:before="0"/>
            </w:pPr>
            <w:r>
              <w:rPr>
                <w:sz w:val="16"/>
              </w:rPr>
              <w:t xml:space="preserve">Rubber/leather DOCf at the IPCC 2006 generic default 0.5</w:t>
            </w:r>
          </w:p>
        </w:tc>
        <w:tc>
          <w:tcPr/>
          <w:p>
            <w:pPr>
              <w:pStyle w:val="Compact"/>
              <w:spacing w:after="0" w:before="0"/>
            </w:pPr>
            <w:r>
              <w:rPr>
                <w:sz w:val="16"/>
              </w:rPr>
              <w:t xml:space="preserve">data gap</w:t>
            </w:r>
          </w:p>
        </w:tc>
      </w:tr>
      <w:tr>
        <w:tc>
          <w:tcPr/>
          <w:p>
            <w:pPr>
              <w:pStyle w:val="Compact"/>
              <w:spacing w:after="0" w:before="0"/>
            </w:pPr>
            <w:r>
              <w:rPr>
                <w:sz w:val="16"/>
              </w:rPr>
              <w:t xml:space="preserve">glass_imputed</w:t>
            </w:r>
          </w:p>
        </w:tc>
        <w:tc>
          <w:tcPr/>
          <w:p>
            <w:pPr>
              <w:pStyle w:val="Compact"/>
              <w:spacing w:after="0" w:before="0"/>
            </w:pPr>
            <w:r>
              <w:rPr>
                <w:sz w:val="16"/>
              </w:rPr>
              <w:t xml:space="preserve">Glass share imputed where glass is not reported</w:t>
            </w:r>
          </w:p>
        </w:tc>
        <w:tc>
          <w:tcPr/>
          <w:p>
            <w:pPr>
              <w:pStyle w:val="Compact"/>
              <w:spacing w:after="0" w:before="0"/>
            </w:pPr>
            <w:r>
              <w:rPr>
                <w:sz w:val="16"/>
              </w:rPr>
              <w:t xml:space="preserve">data gap</w:t>
            </w:r>
          </w:p>
        </w:tc>
      </w:tr>
      <w:tr>
        <w:tc>
          <w:tcPr/>
          <w:p>
            <w:pPr>
              <w:pStyle w:val="Compact"/>
              <w:spacing w:after="0" w:before="0"/>
            </w:pPr>
            <w:r>
              <w:rPr>
                <w:sz w:val="16"/>
              </w:rPr>
              <w:t xml:space="preserve">dirichlet_pseudocount</w:t>
            </w:r>
          </w:p>
        </w:tc>
        <w:tc>
          <w:tcPr/>
          <w:p>
            <w:pPr>
              <w:pStyle w:val="Compact"/>
              <w:spacing w:after="0" w:before="0"/>
            </w:pPr>
            <w:r>
              <w:rPr>
                <w:sz w:val="16"/>
              </w:rPr>
              <w:t xml:space="preserve">Pseudocount 0.5 added to every Dirichlet concentration</w:t>
            </w:r>
          </w:p>
        </w:tc>
        <w:tc>
          <w:tcPr/>
          <w:p>
            <w:pPr>
              <w:pStyle w:val="Compact"/>
              <w:spacing w:after="0" w:before="0"/>
            </w:pPr>
            <w:r>
              <w:rPr>
                <w:sz w:val="16"/>
              </w:rPr>
              <w:t xml:space="preserve">method</w:t>
            </w:r>
          </w:p>
        </w:tc>
      </w:tr>
      <w:tr>
        <w:tc>
          <w:tcPr/>
          <w:p>
            <w:pPr>
              <w:pStyle w:val="Compact"/>
              <w:spacing w:after="0" w:before="0"/>
            </w:pPr>
            <w:r>
              <w:rPr>
                <w:sz w:val="16"/>
              </w:rPr>
              <w:t xml:space="preserve">moisture_high_bound</w:t>
            </w:r>
          </w:p>
        </w:tc>
        <w:tc>
          <w:tcPr/>
          <w:p>
            <w:pPr>
              <w:pStyle w:val="Compact"/>
              <w:spacing w:after="0" w:before="0"/>
            </w:pPr>
            <w:r>
              <w:rPr>
                <w:sz w:val="16"/>
              </w:rPr>
              <w:t xml:space="preserve">Moisture as received at the upper end of every fraction range</w:t>
            </w:r>
          </w:p>
        </w:tc>
        <w:tc>
          <w:tcPr/>
          <w:p>
            <w:pPr>
              <w:pStyle w:val="Compact"/>
              <w:spacing w:after="0" w:before="0"/>
            </w:pPr>
            <w:r>
              <w:rPr>
                <w:sz w:val="16"/>
              </w:rPr>
              <w:t xml:space="preserve">stress test</w:t>
            </w:r>
          </w:p>
        </w:tc>
      </w:tr>
      <w:tr>
        <w:tc>
          <w:tcPr/>
          <w:p>
            <w:pPr>
              <w:pStyle w:val="Compact"/>
              <w:spacing w:after="0" w:before="0"/>
            </w:pPr>
            <w:r>
              <w:rPr>
                <w:sz w:val="16"/>
              </w:rPr>
              <w:t xml:space="preserve">rdf_ncv_stress</w:t>
            </w:r>
          </w:p>
        </w:tc>
        <w:tc>
          <w:tcPr/>
          <w:p>
            <w:pPr>
              <w:pStyle w:val="Compact"/>
              <w:spacing w:after="0" w:before="0"/>
            </w:pPr>
            <w:r>
              <w:rPr>
                <w:sz w:val="16"/>
              </w:rPr>
              <w:t xml:space="preserve">RDF energy × 0.78 (NCV about 13–14 MJ/kg, below the 15–16.7 reported at Cilacap)</w:t>
            </w:r>
          </w:p>
        </w:tc>
        <w:tc>
          <w:tcPr/>
          <w:p>
            <w:pPr>
              <w:pStyle w:val="Compact"/>
              <w:spacing w:after="0" w:before="0"/>
            </w:pPr>
            <w:r>
              <w:rPr>
                <w:sz w:val="16"/>
              </w:rPr>
              <w:t xml:space="preserve">stress test</w:t>
            </w:r>
          </w:p>
        </w:tc>
      </w:tr>
      <w:tr>
        <w:tc>
          <w:tcPr/>
          <w:p>
            <w:pPr>
              <w:pStyle w:val="Compact"/>
              <w:spacing w:after="0" w:before="0"/>
            </w:pPr>
            <w:r>
              <w:rPr>
                <w:sz w:val="16"/>
              </w:rPr>
              <w:t xml:space="preserve">phb_large_scale_cost</w:t>
            </w:r>
          </w:p>
        </w:tc>
        <w:tc>
          <w:tcPr/>
          <w:p>
            <w:pPr>
              <w:pStyle w:val="Compact"/>
              <w:spacing w:after="0" w:before="0"/>
            </w:pPr>
            <w:r>
              <w:rPr>
                <w:sz w:val="16"/>
              </w:rPr>
              <w:t xml:space="preserve">PHB at an aspirational large-scale cost (1.3 USD/kg, no scale penalty)</w:t>
            </w:r>
          </w:p>
        </w:tc>
        <w:tc>
          <w:tcPr/>
          <w:p>
            <w:pPr>
              <w:pStyle w:val="Compact"/>
              <w:spacing w:after="0" w:before="0"/>
            </w:pPr>
            <w:r>
              <w:rPr>
                <w:sz w:val="16"/>
              </w:rPr>
              <w:t xml:space="preserve">what-if</w:t>
            </w:r>
          </w:p>
        </w:tc>
      </w:tr>
    </w:tbl>
    <w:p>
      <w:pPr>
        <w:pStyle w:val="Caption"/>
      </w:pPr>
      <w:r>
        <w:t xml:space="preserve">Table S4: Scenarios. Each uses the same random numbers per location, so differences come only from what the scenario changes. With 4,000 draws the Monte Carlo standard error of a probability is at most 0.008.</w:t>
      </w:r>
    </w:p>
    <w:bookmarkEnd w:id="34"/>
    <w:bookmarkStart w:id="36" w:name="assumption-register"/>
    <w:p>
      <w:pPr>
        <w:pStyle w:val="Heading1"/>
      </w:pPr>
      <w:r>
        <w:t xml:space="preserve">6 Assumption register</w:t>
      </w:r>
    </w:p>
    <w:p>
      <w:pPr>
        <w:pStyle w:val="FirstParagraph"/>
        <w:jc w:val="both"/>
      </w:pPr>
      <w:r>
        <w:t xml:space="preserve">Status: V = confirmed against the source text in the October 2026 verification (Section 6.1); L = literature value with a cited source that was not, or only partly, confirmed; A = analyst assumption. Evidence type follows Table 1. The register is</w:t>
      </w:r>
      <w:r>
        <w:t xml:space="preserve"> </w:t>
      </w:r>
      <w:r>
        <w:rPr>
          <w:i/>
          <w:iCs/>
        </w:rPr>
        <w:t xml:space="preserve">data/assumption_register.csv</w:t>
      </w:r>
      <w:r>
        <w:t xml:space="preserve">; the table below is generated from it.</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389"/>
        <w:gridCol w:w="779"/>
        <w:gridCol w:w="2726"/>
        <w:gridCol w:w="1038"/>
        <w:gridCol w:w="779"/>
        <w:gridCol w:w="1817"/>
        <w:gridCol w:w="389"/>
      </w:tblGrid>
      <w:tr>
        <w:trPr>
          <w:tblHeader w:val="on"/>
        </w:trPr>
        <w:tc>
          <w:tcPr>
            <w:shd w:val="clear" w:color="auto" w:fill="DCE6F0"/>
          </w:tcPr>
          <w:p>
            <w:pPr>
              <w:pStyle w:val="Compact"/>
              <w:spacing w:after="0" w:before="0"/>
            </w:pPr>
            <w:r>
              <w:rPr>
                <w:b/>
                <w:sz w:val="16"/>
              </w:rPr>
              <w:t xml:space="preserve">ID</w:t>
            </w:r>
          </w:p>
        </w:tc>
        <w:tc>
          <w:tcPr>
            <w:shd w:val="clear" w:color="auto" w:fill="DCE6F0"/>
          </w:tcPr>
          <w:p>
            <w:pPr>
              <w:pStyle w:val="Compact"/>
              <w:spacing w:after="0" w:before="0"/>
            </w:pPr>
            <w:r>
              <w:rPr>
                <w:b/>
                <w:sz w:val="16"/>
              </w:rPr>
              <w:t xml:space="preserve">Key</w:t>
            </w:r>
          </w:p>
        </w:tc>
        <w:tc>
          <w:tcPr>
            <w:shd w:val="clear" w:color="auto" w:fill="DCE6F0"/>
          </w:tcPr>
          <w:p>
            <w:pPr>
              <w:pStyle w:val="Compact"/>
              <w:spacing w:after="0" w:before="0"/>
            </w:pPr>
            <w:r>
              <w:rPr>
                <w:b/>
                <w:sz w:val="16"/>
              </w:rPr>
              <w:t xml:space="preserve">Meaning</w:t>
            </w:r>
          </w:p>
        </w:tc>
        <w:tc>
          <w:tcPr>
            <w:shd w:val="clear" w:color="auto" w:fill="DCE6F0"/>
          </w:tcPr>
          <w:p>
            <w:pPr>
              <w:pStyle w:val="Compact"/>
              <w:spacing w:after="0" w:before="0"/>
            </w:pPr>
            <w:r>
              <w:rPr>
                <w:b/>
                <w:sz w:val="16"/>
              </w:rPr>
              <w:t xml:space="preserve">Central (range)</w:t>
            </w:r>
          </w:p>
        </w:tc>
        <w:tc>
          <w:tcPr>
            <w:shd w:val="clear" w:color="auto" w:fill="DCE6F0"/>
          </w:tcPr>
          <w:p>
            <w:pPr>
              <w:pStyle w:val="Compact"/>
              <w:spacing w:after="0" w:before="0"/>
            </w:pPr>
            <w:r>
              <w:rPr>
                <w:b/>
                <w:sz w:val="16"/>
              </w:rPr>
              <w:t xml:space="preserve">Unit</w:t>
            </w:r>
          </w:p>
        </w:tc>
        <w:tc>
          <w:tcPr>
            <w:shd w:val="clear" w:color="auto" w:fill="DCE6F0"/>
          </w:tcPr>
          <w:p>
            <w:pPr>
              <w:pStyle w:val="Compact"/>
              <w:spacing w:after="0" w:before="0"/>
            </w:pPr>
            <w:r>
              <w:rPr>
                <w:b/>
                <w:sz w:val="16"/>
              </w:rPr>
              <w:t xml:space="preserve">Source</w:t>
            </w:r>
          </w:p>
        </w:tc>
        <w:tc>
          <w:tcPr>
            <w:shd w:val="clear" w:color="auto" w:fill="DCE6F0"/>
          </w:tcPr>
          <w:p>
            <w:pPr>
              <w:pStyle w:val="Compact"/>
              <w:spacing w:after="0" w:before="0"/>
            </w:pPr>
            <w:r>
              <w:rPr>
                <w:b/>
                <w:sz w:val="16"/>
              </w:rPr>
              <w:t xml:space="preserve">St.</w:t>
            </w:r>
          </w:p>
        </w:tc>
      </w:tr>
      <w:tr>
        <w:tc>
          <w:tcPr/>
          <w:p>
            <w:pPr>
              <w:pStyle w:val="Compact"/>
              <w:spacing w:after="0" w:before="0"/>
            </w:pPr>
            <w:r>
              <w:rPr>
                <w:sz w:val="16"/>
              </w:rPr>
              <w:t xml:space="preserve">H11</w:t>
            </w:r>
          </w:p>
        </w:tc>
        <w:tc>
          <w:tcPr/>
          <w:p>
            <w:pPr>
              <w:pStyle w:val="Compact"/>
              <w:spacing w:after="0" w:before="0"/>
            </w:pPr>
            <w:r>
              <w:rPr>
                <w:sz w:val="16"/>
              </w:rPr>
              <w:t xml:space="preserve">g_default</w:t>
            </w:r>
          </w:p>
        </w:tc>
        <w:tc>
          <w:tcPr/>
          <w:p>
            <w:pPr>
              <w:pStyle w:val="Compact"/>
              <w:spacing w:after="0" w:before="0"/>
            </w:pPr>
            <w:r>
              <w:rPr>
                <w:sz w:val="16"/>
              </w:rPr>
              <w:t xml:space="preserve">Tonnage growth rate where the RIPS gives none (median of six RIPS rates)</w:t>
            </w:r>
          </w:p>
        </w:tc>
        <w:tc>
          <w:tcPr/>
          <w:p>
            <w:pPr>
              <w:pStyle w:val="Compact"/>
              <w:spacing w:after="0" w:before="0"/>
            </w:pPr>
            <w:r>
              <w:rPr>
                <w:sz w:val="16"/>
              </w:rPr>
              <w:t xml:space="preserve">0.0173 (0.0065 to 0.0254)</w:t>
            </w:r>
          </w:p>
        </w:tc>
        <w:tc>
          <w:tcPr/>
          <w:p>
            <w:pPr>
              <w:pStyle w:val="Compact"/>
              <w:spacing w:after="0" w:before="0"/>
            </w:pPr>
            <w:r>
              <w:rPr>
                <w:sz w:val="16"/>
              </w:rPr>
              <w:t xml:space="preserve">1/yr</w:t>
            </w:r>
          </w:p>
        </w:tc>
        <w:tc>
          <w:tcPr/>
          <w:p>
            <w:pPr>
              <w:pStyle w:val="Compact"/>
              <w:spacing w:after="0" w:before="0"/>
            </w:pPr>
            <w:r>
              <w:rPr>
                <w:sz w:val="16"/>
              </w:rPr>
              <w:t xml:space="preserve">RIPS of six locations</w:t>
            </w:r>
          </w:p>
        </w:tc>
        <w:tc>
          <w:tcPr/>
          <w:p>
            <w:pPr>
              <w:pStyle w:val="Compact"/>
              <w:spacing w:after="0" w:before="0"/>
            </w:pPr>
            <w:r>
              <w:rPr>
                <w:sz w:val="16"/>
              </w:rPr>
              <w:t xml:space="preserve">A</w:t>
            </w:r>
          </w:p>
        </w:tc>
      </w:tr>
      <w:tr>
        <w:tc>
          <w:tcPr/>
          <w:p>
            <w:pPr>
              <w:pStyle w:val="Compact"/>
              <w:spacing w:after="0" w:before="0"/>
            </w:pPr>
            <w:r>
              <w:rPr>
                <w:sz w:val="16"/>
              </w:rPr>
              <w:t xml:space="preserve">H12</w:t>
            </w:r>
          </w:p>
        </w:tc>
        <w:tc>
          <w:tcPr/>
          <w:p>
            <w:pPr>
              <w:pStyle w:val="Compact"/>
              <w:spacing w:after="0" w:before="0"/>
            </w:pPr>
            <w:r>
              <w:rPr>
                <w:sz w:val="16"/>
              </w:rPr>
              <w:t xml:space="preserve">gamma</w:t>
            </w:r>
          </w:p>
        </w:tc>
        <w:tc>
          <w:tcPr/>
          <w:p>
            <w:pPr>
              <w:pStyle w:val="Compact"/>
              <w:spacing w:after="0" w:before="0"/>
            </w:pPr>
            <w:r>
              <w:rPr>
                <w:sz w:val="16"/>
              </w:rPr>
              <w:t xml:space="preserve">Garden share of lumped</w:t>
            </w:r>
            <w:r>
              <w:rPr>
                <w:sz w:val="16"/>
              </w:rPr>
              <w:t xml:space="preserve"> </w:t>
            </w:r>
            <w:r>
              <w:rPr>
                <w:sz w:val="16"/>
              </w:rPr>
              <w:t xml:space="preserve">‘organik’</w:t>
            </w:r>
            <w:r>
              <w:rPr>
                <w:sz w:val="16"/>
              </w:rPr>
              <w:t xml:space="preserve"> </w:t>
            </w:r>
            <w:r>
              <w:rPr>
                <w:sz w:val="16"/>
              </w:rPr>
              <w:t xml:space="preserve">(median and range of 8 locations reporting both)</w:t>
            </w:r>
          </w:p>
        </w:tc>
        <w:tc>
          <w:tcPr/>
          <w:p>
            <w:pPr>
              <w:pStyle w:val="Compact"/>
              <w:spacing w:after="0" w:before="0"/>
            </w:pPr>
            <w:r>
              <w:rPr>
                <w:sz w:val="16"/>
              </w:rPr>
              <w:t xml:space="preserve">0.27 (0.04 to 0.62)</w:t>
            </w:r>
          </w:p>
        </w:tc>
        <w:tc>
          <w:tcPr/>
          <w:p>
            <w:pPr>
              <w:pStyle w:val="Compact"/>
              <w:spacing w:after="0" w:before="0"/>
            </w:pPr>
            <w:r>
              <w:rPr>
                <w:sz w:val="16"/>
              </w:rPr>
              <w:t xml:space="preserve">-</w:t>
            </w:r>
          </w:p>
        </w:tc>
        <w:tc>
          <w:tcPr/>
          <w:p>
            <w:pPr>
              <w:pStyle w:val="Compact"/>
              <w:spacing w:after="0" w:before="0"/>
            </w:pPr>
            <w:r>
              <w:rPr>
                <w:sz w:val="16"/>
              </w:rPr>
              <w:t xml:space="preserve">input_kota; Edjabou et al. 2017</w:t>
            </w:r>
          </w:p>
        </w:tc>
        <w:tc>
          <w:tcPr/>
          <w:p>
            <w:pPr>
              <w:pStyle w:val="Compact"/>
              <w:spacing w:after="0" w:before="0"/>
            </w:pPr>
            <w:r>
              <w:rPr>
                <w:sz w:val="16"/>
              </w:rPr>
              <w:t xml:space="preserve">A</w:t>
            </w:r>
          </w:p>
        </w:tc>
      </w:tr>
      <w:tr>
        <w:tc>
          <w:tcPr/>
          <w:p>
            <w:pPr>
              <w:pStyle w:val="Compact"/>
              <w:spacing w:after="0" w:before="0"/>
            </w:pPr>
            <w:r>
              <w:rPr>
                <w:sz w:val="16"/>
              </w:rPr>
              <w:t xml:space="preserve">H13</w:t>
            </w:r>
          </w:p>
        </w:tc>
        <w:tc>
          <w:tcPr/>
          <w:p>
            <w:pPr>
              <w:pStyle w:val="Compact"/>
              <w:spacing w:after="0" w:before="0"/>
            </w:pPr>
            <w:r>
              <w:rPr>
                <w:sz w:val="16"/>
              </w:rPr>
              <w:t xml:space="preserve">yard</w:t>
            </w:r>
          </w:p>
        </w:tc>
        <w:tc>
          <w:tcPr/>
          <w:p>
            <w:pPr>
              <w:pStyle w:val="Compact"/>
              <w:spacing w:after="0" w:before="0"/>
            </w:pPr>
            <w:r>
              <w:rPr>
                <w:sz w:val="16"/>
              </w:rPr>
              <w:t xml:space="preserve">Share of</w:t>
            </w:r>
            <w:r>
              <w:rPr>
                <w:sz w:val="16"/>
              </w:rPr>
              <w:t xml:space="preserve"> </w:t>
            </w:r>
            <w:r>
              <w:rPr>
                <w:sz w:val="16"/>
              </w:rPr>
              <w:t xml:space="preserve">‘kayu’</w:t>
            </w:r>
            <w:r>
              <w:rPr>
                <w:sz w:val="16"/>
              </w:rPr>
              <w:t xml:space="preserve"> </w:t>
            </w:r>
            <w:r>
              <w:rPr>
                <w:sz w:val="16"/>
              </w:rPr>
              <w:t xml:space="preserve">treated as garden where kayu &gt;= 10% and no leaf category exists</w:t>
            </w:r>
          </w:p>
        </w:tc>
        <w:tc>
          <w:tcPr/>
          <w:p>
            <w:pPr>
              <w:pStyle w:val="Compact"/>
              <w:spacing w:after="0" w:before="0"/>
            </w:pPr>
            <w:r>
              <w:rPr>
                <w:sz w:val="16"/>
              </w:rPr>
              <w:t xml:space="preserve">1 (0.5 to 1)</w:t>
            </w:r>
          </w:p>
        </w:tc>
        <w:tc>
          <w:tcPr/>
          <w:p>
            <w:pPr>
              <w:pStyle w:val="Compact"/>
              <w:spacing w:after="0" w:before="0"/>
            </w:pPr>
            <w:r>
              <w:rPr>
                <w:sz w:val="16"/>
              </w:rPr>
              <w:t xml:space="preserve">-</w:t>
            </w:r>
          </w:p>
        </w:tc>
        <w:tc>
          <w:tcPr/>
          <w:p>
            <w:pPr>
              <w:pStyle w:val="Compact"/>
              <w:spacing w:after="0" w:before="0"/>
            </w:pPr>
            <w:r>
              <w:rPr>
                <w:sz w:val="16"/>
              </w:rPr>
              <w:t xml:space="preserve">RIPS notes</w:t>
            </w:r>
          </w:p>
        </w:tc>
        <w:tc>
          <w:tcPr/>
          <w:p>
            <w:pPr>
              <w:pStyle w:val="Compact"/>
              <w:spacing w:after="0" w:before="0"/>
            </w:pPr>
            <w:r>
              <w:rPr>
                <w:sz w:val="16"/>
              </w:rPr>
              <w:t xml:space="preserve">A</w:t>
            </w:r>
          </w:p>
        </w:tc>
      </w:tr>
      <w:tr>
        <w:tc>
          <w:tcPr/>
          <w:p>
            <w:pPr>
              <w:pStyle w:val="Compact"/>
              <w:spacing w:after="0" w:before="0"/>
            </w:pPr>
            <w:r>
              <w:rPr>
                <w:sz w:val="16"/>
              </w:rPr>
              <w:t xml:space="preserve">H14</w:t>
            </w:r>
          </w:p>
        </w:tc>
        <w:tc>
          <w:tcPr/>
          <w:p>
            <w:pPr>
              <w:pStyle w:val="Compact"/>
              <w:spacing w:after="0" w:before="0"/>
            </w:pPr>
            <w:r>
              <w:rPr>
                <w:sz w:val="16"/>
              </w:rPr>
              <w:t xml:space="preserve">alpha_hi</w:t>
            </w:r>
          </w:p>
        </w:tc>
        <w:tc>
          <w:tcPr/>
          <w:p>
            <w:pPr>
              <w:pStyle w:val="Compact"/>
              <w:spacing w:after="0" w:before="0"/>
            </w:pPr>
            <w:r>
              <w:rPr>
                <w:sz w:val="16"/>
              </w:rPr>
              <w:t xml:space="preserve">Dirichlet concentration, unflagged composition (heuristic, not statistically calibrated)</w:t>
            </w:r>
          </w:p>
        </w:tc>
        <w:tc>
          <w:tcPr/>
          <w:p>
            <w:pPr>
              <w:pStyle w:val="Compact"/>
              <w:spacing w:after="0" w:before="0"/>
            </w:pPr>
            <w:r>
              <w:rPr>
                <w:sz w:val="16"/>
              </w:rPr>
              <w:t xml:space="preserve">80</w:t>
            </w:r>
          </w:p>
        </w:tc>
        <w:tc>
          <w:tcPr/>
          <w:p>
            <w:pPr>
              <w:pStyle w:val="Compact"/>
              <w:spacing w:after="0" w:before="0"/>
            </w:pPr>
            <w:r>
              <w:rPr>
                <w:sz w:val="16"/>
              </w:rPr>
              <w:t xml:space="preserve">-</w:t>
            </w:r>
          </w:p>
        </w:tc>
        <w:tc>
          <w:tcPr/>
          <w:p>
            <w:pPr>
              <w:pStyle w:val="Compact"/>
              <w:spacing w:after="0" w:before="0"/>
            </w:pPr>
            <w:r>
              <w:rPr>
                <w:sz w:val="16"/>
              </w:rPr>
              <w:t xml:space="preserve">Analyst heuristic</w:t>
            </w:r>
          </w:p>
        </w:tc>
        <w:tc>
          <w:tcPr/>
          <w:p>
            <w:pPr>
              <w:pStyle w:val="Compact"/>
              <w:spacing w:after="0" w:before="0"/>
            </w:pPr>
            <w:r>
              <w:rPr>
                <w:sz w:val="16"/>
              </w:rPr>
              <w:t xml:space="preserve">A</w:t>
            </w:r>
          </w:p>
        </w:tc>
      </w:tr>
      <w:tr>
        <w:tc>
          <w:tcPr/>
          <w:p>
            <w:pPr>
              <w:pStyle w:val="Compact"/>
              <w:spacing w:after="0" w:before="0"/>
            </w:pPr>
            <w:r>
              <w:rPr>
                <w:sz w:val="16"/>
              </w:rPr>
              <w:t xml:space="preserve">H15</w:t>
            </w:r>
          </w:p>
        </w:tc>
        <w:tc>
          <w:tcPr/>
          <w:p>
            <w:pPr>
              <w:pStyle w:val="Compact"/>
              <w:spacing w:after="0" w:before="0"/>
            </w:pPr>
            <w:r>
              <w:rPr>
                <w:sz w:val="16"/>
              </w:rPr>
              <w:t xml:space="preserve">alpha_lo</w:t>
            </w:r>
          </w:p>
        </w:tc>
        <w:tc>
          <w:tcPr/>
          <w:p>
            <w:pPr>
              <w:pStyle w:val="Compact"/>
              <w:spacing w:after="0" w:before="0"/>
            </w:pPr>
            <w:r>
              <w:rPr>
                <w:sz w:val="16"/>
              </w:rPr>
              <w:t xml:space="preserve">Dirichlet concentration, flagged composition (heuristic, not statistically calibrated)</w:t>
            </w:r>
          </w:p>
        </w:tc>
        <w:tc>
          <w:tcPr/>
          <w:p>
            <w:pPr>
              <w:pStyle w:val="Compact"/>
              <w:spacing w:after="0" w:before="0"/>
            </w:pPr>
            <w:r>
              <w:rPr>
                <w:sz w:val="16"/>
              </w:rPr>
              <w:t xml:space="preserve">40</w:t>
            </w:r>
          </w:p>
        </w:tc>
        <w:tc>
          <w:tcPr/>
          <w:p>
            <w:pPr>
              <w:pStyle w:val="Compact"/>
              <w:spacing w:after="0" w:before="0"/>
            </w:pPr>
            <w:r>
              <w:rPr>
                <w:sz w:val="16"/>
              </w:rPr>
              <w:t xml:space="preserve">-</w:t>
            </w:r>
          </w:p>
        </w:tc>
        <w:tc>
          <w:tcPr/>
          <w:p>
            <w:pPr>
              <w:pStyle w:val="Compact"/>
              <w:spacing w:after="0" w:before="0"/>
            </w:pPr>
            <w:r>
              <w:rPr>
                <w:sz w:val="16"/>
              </w:rPr>
              <w:t xml:space="preserve">Analyst heuristic</w:t>
            </w:r>
          </w:p>
        </w:tc>
        <w:tc>
          <w:tcPr/>
          <w:p>
            <w:pPr>
              <w:pStyle w:val="Compact"/>
              <w:spacing w:after="0" w:before="0"/>
            </w:pPr>
            <w:r>
              <w:rPr>
                <w:sz w:val="16"/>
              </w:rPr>
              <w:t xml:space="preserve">A</w:t>
            </w:r>
          </w:p>
        </w:tc>
      </w:tr>
      <w:tr>
        <w:tc>
          <w:tcPr/>
          <w:p>
            <w:pPr>
              <w:pStyle w:val="Compact"/>
              <w:spacing w:after="0" w:before="0"/>
            </w:pPr>
            <w:r>
              <w:rPr>
                <w:sz w:val="16"/>
              </w:rPr>
              <w:t xml:space="preserve">C8</w:t>
            </w:r>
          </w:p>
        </w:tc>
        <w:tc>
          <w:tcPr/>
          <w:p>
            <w:pPr>
              <w:pStyle w:val="Compact"/>
              <w:spacing w:after="0" w:before="0"/>
            </w:pPr>
            <w:r>
              <w:rPr>
                <w:sz w:val="16"/>
              </w:rPr>
              <w:t xml:space="preserve">F</w:t>
            </w:r>
          </w:p>
        </w:tc>
        <w:tc>
          <w:tcPr/>
          <w:p>
            <w:pPr>
              <w:pStyle w:val="Compact"/>
              <w:spacing w:after="0" w:before="0"/>
            </w:pPr>
            <w:r>
              <w:rPr>
                <w:sz w:val="16"/>
              </w:rPr>
              <w:t xml:space="preserve">Methane fraction of landfill gas</w:t>
            </w:r>
          </w:p>
        </w:tc>
        <w:tc>
          <w:tcPr/>
          <w:p>
            <w:pPr>
              <w:pStyle w:val="Compact"/>
              <w:spacing w:after="0" w:before="0"/>
            </w:pPr>
            <w:r>
              <w:rPr>
                <w:sz w:val="16"/>
              </w:rPr>
              <w:t xml:space="preserve">0.5 (0.475 to 0.525)</w:t>
            </w:r>
          </w:p>
        </w:tc>
        <w:tc>
          <w:tcPr/>
          <w:p>
            <w:pPr>
              <w:pStyle w:val="Compact"/>
              <w:spacing w:after="0" w:before="0"/>
            </w:pPr>
            <w:r>
              <w:rPr>
                <w:sz w:val="16"/>
              </w:rPr>
              <w:t xml:space="preserve">-</w:t>
            </w:r>
          </w:p>
        </w:tc>
        <w:tc>
          <w:tcPr/>
          <w:p>
            <w:pPr>
              <w:pStyle w:val="Compact"/>
              <w:spacing w:after="0" w:before="0"/>
            </w:pPr>
            <w:r>
              <w:rPr>
                <w:sz w:val="16"/>
              </w:rPr>
              <w:t xml:space="preserve">IPCC 2006 V5 Ch3</w:t>
            </w:r>
          </w:p>
        </w:tc>
        <w:tc>
          <w:tcPr/>
          <w:p>
            <w:pPr>
              <w:pStyle w:val="Compact"/>
              <w:spacing w:after="0" w:before="0"/>
            </w:pPr>
            <w:r>
              <w:rPr>
                <w:sz w:val="16"/>
              </w:rPr>
              <w:t xml:space="preserve">L</w:t>
            </w:r>
          </w:p>
        </w:tc>
      </w:tr>
      <w:tr>
        <w:tc>
          <w:tcPr/>
          <w:p>
            <w:pPr>
              <w:pStyle w:val="Compact"/>
              <w:spacing w:after="0" w:before="0"/>
            </w:pPr>
            <w:r>
              <w:rPr>
                <w:sz w:val="16"/>
              </w:rPr>
              <w:t xml:space="preserve">C9</w:t>
            </w:r>
          </w:p>
        </w:tc>
        <w:tc>
          <w:tcPr/>
          <w:p>
            <w:pPr>
              <w:pStyle w:val="Compact"/>
              <w:spacing w:after="0" w:before="0"/>
            </w:pPr>
            <w:r>
              <w:rPr>
                <w:sz w:val="16"/>
              </w:rPr>
              <w:t xml:space="preserve">doc_k</w:t>
            </w:r>
          </w:p>
        </w:tc>
        <w:tc>
          <w:tcPr/>
          <w:p>
            <w:pPr>
              <w:pStyle w:val="Compact"/>
              <w:spacing w:after="0" w:before="0"/>
            </w:pPr>
            <w:r>
              <w:rPr>
                <w:sz w:val="16"/>
              </w:rPr>
              <w:t xml:space="preserve">Multiplier on DOC x DOCf (default uncertainty +-20%)</w:t>
            </w:r>
          </w:p>
        </w:tc>
        <w:tc>
          <w:tcPr/>
          <w:p>
            <w:pPr>
              <w:pStyle w:val="Compact"/>
              <w:spacing w:after="0" w:before="0"/>
            </w:pPr>
            <w:r>
              <w:rPr>
                <w:sz w:val="16"/>
              </w:rPr>
              <w:t xml:space="preserve">1 (0.8 to 1.2)</w:t>
            </w:r>
          </w:p>
        </w:tc>
        <w:tc>
          <w:tcPr/>
          <w:p>
            <w:pPr>
              <w:pStyle w:val="Compact"/>
              <w:spacing w:after="0" w:before="0"/>
            </w:pPr>
            <w:r>
              <w:rPr>
                <w:sz w:val="16"/>
              </w:rPr>
              <w:t xml:space="preserve">x</w:t>
            </w:r>
          </w:p>
        </w:tc>
        <w:tc>
          <w:tcPr/>
          <w:p>
            <w:pPr>
              <w:pStyle w:val="Compact"/>
              <w:spacing w:after="0" w:before="0"/>
            </w:pPr>
            <w:r>
              <w:rPr>
                <w:sz w:val="16"/>
              </w:rPr>
              <w:t xml:space="preserve">IPCC 2006 V5 Ch3 Table 3.5</w:t>
            </w:r>
          </w:p>
        </w:tc>
        <w:tc>
          <w:tcPr/>
          <w:p>
            <w:pPr>
              <w:pStyle w:val="Compact"/>
              <w:spacing w:after="0" w:before="0"/>
            </w:pPr>
            <w:r>
              <w:rPr>
                <w:sz w:val="16"/>
              </w:rPr>
              <w:t xml:space="preserve">L</w:t>
            </w:r>
          </w:p>
        </w:tc>
      </w:tr>
      <w:tr>
        <w:tc>
          <w:tcPr/>
          <w:p>
            <w:pPr>
              <w:pStyle w:val="Compact"/>
              <w:spacing w:after="0" w:before="0"/>
            </w:pPr>
            <w:r>
              <w:rPr>
                <w:sz w:val="16"/>
              </w:rPr>
              <w:t xml:space="preserve">C10</w:t>
            </w:r>
          </w:p>
        </w:tc>
        <w:tc>
          <w:tcPr/>
          <w:p>
            <w:pPr>
              <w:pStyle w:val="Compact"/>
              <w:spacing w:after="0" w:before="0"/>
            </w:pPr>
            <w:r>
              <w:rPr>
                <w:sz w:val="16"/>
              </w:rPr>
              <w:t xml:space="preserve">h_k</w:t>
            </w:r>
          </w:p>
        </w:tc>
        <w:tc>
          <w:tcPr/>
          <w:p>
            <w:pPr>
              <w:pStyle w:val="Compact"/>
              <w:spacing w:after="0" w:before="0"/>
            </w:pPr>
            <w:r>
              <w:rPr>
                <w:sz w:val="16"/>
              </w:rPr>
              <w:t xml:space="preserve">Calibration factor on legacy dry-matter LHV (not applied to the Gotze plastic value)</w:t>
            </w:r>
          </w:p>
        </w:tc>
        <w:tc>
          <w:tcPr/>
          <w:p>
            <w:pPr>
              <w:pStyle w:val="Compact"/>
              <w:spacing w:after="0" w:before="0"/>
            </w:pPr>
            <w:r>
              <w:rPr>
                <w:sz w:val="16"/>
              </w:rPr>
              <w:t xml:space="preserve">0.9 (0.78 to 1.02)</w:t>
            </w:r>
          </w:p>
        </w:tc>
        <w:tc>
          <w:tcPr/>
          <w:p>
            <w:pPr>
              <w:pStyle w:val="Compact"/>
              <w:spacing w:after="0" w:before="0"/>
            </w:pPr>
            <w:r>
              <w:rPr>
                <w:sz w:val="16"/>
              </w:rPr>
              <w:t xml:space="preserve">x</w:t>
            </w:r>
          </w:p>
        </w:tc>
        <w:tc>
          <w:tcPr/>
          <w:p>
            <w:pPr>
              <w:pStyle w:val="Compact"/>
              <w:spacing w:after="0" w:before="0"/>
            </w:pPr>
            <w:r>
              <w:rPr>
                <w:sz w:val="16"/>
              </w:rPr>
              <w:t xml:space="preserve">Prabowo et al. 2019 (bulk HHV)</w:t>
            </w:r>
          </w:p>
        </w:tc>
        <w:tc>
          <w:tcPr/>
          <w:p>
            <w:pPr>
              <w:pStyle w:val="Compact"/>
              <w:spacing w:after="0" w:before="0"/>
            </w:pPr>
            <w:r>
              <w:rPr>
                <w:sz w:val="16"/>
              </w:rPr>
              <w:t xml:space="preserve">L</w:t>
            </w:r>
          </w:p>
        </w:tc>
      </w:tr>
      <w:tr>
        <w:tc>
          <w:tcPr/>
          <w:p>
            <w:pPr>
              <w:pStyle w:val="Compact"/>
              <w:spacing w:after="0" w:before="0"/>
            </w:pPr>
            <w:r>
              <w:rPr>
                <w:sz w:val="16"/>
              </w:rPr>
              <w:t xml:space="preserve">C10b</w:t>
            </w:r>
          </w:p>
        </w:tc>
        <w:tc>
          <w:tcPr/>
          <w:p>
            <w:pPr>
              <w:pStyle w:val="Compact"/>
              <w:spacing w:after="0" w:before="0"/>
            </w:pPr>
            <w:r>
              <w:rPr>
                <w:sz w:val="16"/>
              </w:rPr>
              <w:t xml:space="preserve">h_plastic_k</w:t>
            </w:r>
          </w:p>
        </w:tc>
        <w:tc>
          <w:tcPr/>
          <w:p>
            <w:pPr>
              <w:pStyle w:val="Compact"/>
              <w:spacing w:after="0" w:before="0"/>
            </w:pPr>
            <w:r>
              <w:rPr>
                <w:sz w:val="16"/>
              </w:rPr>
              <w:t xml:space="preserve">Uncertainty multiplier on plastic dry LHV (aggregate median, resin mix unknown)</w:t>
            </w:r>
          </w:p>
        </w:tc>
        <w:tc>
          <w:tcPr/>
          <w:p>
            <w:pPr>
              <w:pStyle w:val="Compact"/>
              <w:spacing w:after="0" w:before="0"/>
            </w:pPr>
            <w:r>
              <w:rPr>
                <w:sz w:val="16"/>
              </w:rPr>
              <w:t xml:space="preserve">1 (0.9 to 1.1)</w:t>
            </w:r>
          </w:p>
        </w:tc>
        <w:tc>
          <w:tcPr/>
          <w:p>
            <w:pPr>
              <w:pStyle w:val="Compact"/>
              <w:spacing w:after="0" w:before="0"/>
            </w:pPr>
            <w:r>
              <w:rPr>
                <w:sz w:val="16"/>
              </w:rPr>
              <w:t xml:space="preserve">x</w:t>
            </w:r>
          </w:p>
        </w:tc>
        <w:tc>
          <w:tcPr/>
          <w:p>
            <w:pPr>
              <w:pStyle w:val="Compact"/>
              <w:spacing w:after="0" w:before="0"/>
            </w:pPr>
            <w:r>
              <w:rPr>
                <w:sz w:val="16"/>
              </w:rPr>
              <w:t xml:space="preserve">Analyst range around Gotze et al. 2016 median</w:t>
            </w:r>
          </w:p>
        </w:tc>
        <w:tc>
          <w:tcPr/>
          <w:p>
            <w:pPr>
              <w:pStyle w:val="Compact"/>
              <w:spacing w:after="0" w:before="0"/>
            </w:pPr>
            <w:r>
              <w:rPr>
                <w:sz w:val="16"/>
              </w:rPr>
              <w:t xml:space="preserve">A</w:t>
            </w:r>
          </w:p>
        </w:tc>
      </w:tr>
      <w:tr>
        <w:tc>
          <w:tcPr/>
          <w:p>
            <w:pPr>
              <w:pStyle w:val="Compact"/>
              <w:spacing w:after="0" w:before="0"/>
            </w:pPr>
            <w:r>
              <w:rPr>
                <w:sz w:val="16"/>
              </w:rPr>
              <w:t xml:space="preserve">C11</w:t>
            </w:r>
          </w:p>
        </w:tc>
        <w:tc>
          <w:tcPr/>
          <w:p>
            <w:pPr>
              <w:pStyle w:val="Compact"/>
              <w:spacing w:after="0" w:before="0"/>
            </w:pPr>
            <w:r>
              <w:rPr>
                <w:sz w:val="16"/>
              </w:rPr>
              <w:t xml:space="preserve">efg_k</w:t>
            </w:r>
          </w:p>
        </w:tc>
        <w:tc>
          <w:tcPr/>
          <w:p>
            <w:pPr>
              <w:pStyle w:val="Compact"/>
              <w:spacing w:after="0" w:before="0"/>
            </w:pPr>
            <w:r>
              <w:rPr>
                <w:sz w:val="16"/>
              </w:rPr>
              <w:t xml:space="preserve">Multiplier on grid emission factor (lower bound = decarbonising grid)</w:t>
            </w:r>
          </w:p>
        </w:tc>
        <w:tc>
          <w:tcPr/>
          <w:p>
            <w:pPr>
              <w:pStyle w:val="Compact"/>
              <w:spacing w:after="0" w:before="0"/>
            </w:pPr>
            <w:r>
              <w:rPr>
                <w:sz w:val="16"/>
              </w:rPr>
              <w:t xml:space="preserve">1 (0.7 to 1.1)</w:t>
            </w:r>
          </w:p>
        </w:tc>
        <w:tc>
          <w:tcPr/>
          <w:p>
            <w:pPr>
              <w:pStyle w:val="Compact"/>
              <w:spacing w:after="0" w:before="0"/>
            </w:pPr>
            <w:r>
              <w:rPr>
                <w:sz w:val="16"/>
              </w:rPr>
              <w:t xml:space="preserve">x</w:t>
            </w:r>
          </w:p>
        </w:tc>
        <w:tc>
          <w:tcPr/>
          <w:p>
            <w:pPr>
              <w:pStyle w:val="Compact"/>
              <w:spacing w:after="0" w:before="0"/>
            </w:pPr>
            <w:r>
              <w:rPr>
                <w:sz w:val="16"/>
              </w:rPr>
              <w:t xml:space="preserve">ESDM factors via JCM 2022</w:t>
            </w:r>
          </w:p>
        </w:tc>
        <w:tc>
          <w:tcPr/>
          <w:p>
            <w:pPr>
              <w:pStyle w:val="Compact"/>
              <w:spacing w:after="0" w:before="0"/>
            </w:pPr>
            <w:r>
              <w:rPr>
                <w:sz w:val="16"/>
              </w:rPr>
              <w:t xml:space="preserve">A</w:t>
            </w:r>
          </w:p>
        </w:tc>
      </w:tr>
      <w:tr>
        <w:tc>
          <w:tcPr/>
          <w:p>
            <w:pPr>
              <w:pStyle w:val="Compact"/>
              <w:spacing w:after="0" w:before="0"/>
            </w:pPr>
            <w:r>
              <w:rPr>
                <w:sz w:val="16"/>
              </w:rPr>
              <w:t xml:space="preserve">C12</w:t>
            </w:r>
          </w:p>
        </w:tc>
        <w:tc>
          <w:tcPr/>
          <w:p>
            <w:pPr>
              <w:pStyle w:val="Compact"/>
              <w:spacing w:after="0" w:before="0"/>
            </w:pPr>
            <w:r>
              <w:rPr>
                <w:sz w:val="16"/>
              </w:rPr>
              <w:t xml:space="preserve">docf_rubber</w:t>
            </w:r>
          </w:p>
        </w:tc>
        <w:tc>
          <w:tcPr/>
          <w:p>
            <w:pPr>
              <w:pStyle w:val="Compact"/>
              <w:spacing w:after="0" w:before="0"/>
            </w:pPr>
            <w:r>
              <w:rPr>
                <w:sz w:val="16"/>
              </w:rPr>
              <w:t xml:space="preserve">DOCf of rubber/leather: gap scenario (0 = not degradable; 0.5 = IPCC 2006 generic default)</w:t>
            </w:r>
          </w:p>
        </w:tc>
        <w:tc>
          <w:tcPr/>
          <w:p>
            <w:pPr>
              <w:pStyle w:val="Compact"/>
              <w:spacing w:after="0" w:before="0"/>
            </w:pPr>
            <w:r>
              <w:rPr>
                <w:sz w:val="16"/>
              </w:rPr>
              <w:t xml:space="preserve">0 (0 to 0.5)</w:t>
            </w:r>
          </w:p>
        </w:tc>
        <w:tc>
          <w:tcPr/>
          <w:p>
            <w:pPr>
              <w:pStyle w:val="Compact"/>
              <w:spacing w:after="0" w:before="0"/>
            </w:pPr>
            <w:r>
              <w:rPr>
                <w:sz w:val="16"/>
              </w:rPr>
              <w:t xml:space="preserve">-</w:t>
            </w:r>
          </w:p>
        </w:tc>
        <w:tc>
          <w:tcPr/>
          <w:p>
            <w:pPr>
              <w:pStyle w:val="Compact"/>
              <w:spacing w:after="0" w:before="0"/>
            </w:pPr>
            <w:r>
              <w:rPr>
                <w:sz w:val="16"/>
              </w:rPr>
              <w:t xml:space="preserve">IPCC 2006 V5 Ch3 (generic DOCf 0.5); no fraction-specific value</w:t>
            </w:r>
          </w:p>
        </w:tc>
        <w:tc>
          <w:tcPr/>
          <w:p>
            <w:pPr>
              <w:pStyle w:val="Compact"/>
              <w:spacing w:after="0" w:before="0"/>
            </w:pPr>
            <w:r>
              <w:rPr>
                <w:sz w:val="16"/>
              </w:rPr>
              <w:t xml:space="preserve">A</w:t>
            </w:r>
          </w:p>
        </w:tc>
      </w:tr>
      <w:tr>
        <w:tc>
          <w:tcPr/>
          <w:p>
            <w:pPr>
              <w:pStyle w:val="Compact"/>
              <w:spacing w:after="0" w:before="0"/>
            </w:pPr>
            <w:r>
              <w:rPr>
                <w:sz w:val="16"/>
              </w:rPr>
              <w:t xml:space="preserve">B5</w:t>
            </w:r>
          </w:p>
        </w:tc>
        <w:tc>
          <w:tcPr/>
          <w:p>
            <w:pPr>
              <w:pStyle w:val="Compact"/>
              <w:spacing w:after="0" w:before="0"/>
            </w:pPr>
            <w:r>
              <w:rPr>
                <w:sz w:val="16"/>
              </w:rPr>
              <w:t xml:space="preserve">mcf_od</w:t>
            </w:r>
          </w:p>
        </w:tc>
        <w:tc>
          <w:tcPr/>
          <w:p>
            <w:pPr>
              <w:pStyle w:val="Compact"/>
              <w:spacing w:after="0" w:before="0"/>
            </w:pPr>
            <w:r>
              <w:rPr>
                <w:sz w:val="16"/>
              </w:rPr>
              <w:t xml:space="preserve">Methane correction factor, open dump</w:t>
            </w:r>
          </w:p>
        </w:tc>
        <w:tc>
          <w:tcPr/>
          <w:p>
            <w:pPr>
              <w:pStyle w:val="Compact"/>
              <w:spacing w:after="0" w:before="0"/>
            </w:pPr>
            <w:r>
              <w:rPr>
                <w:sz w:val="16"/>
              </w:rPr>
              <w:t xml:space="preserve">0.8 (0.4 to 0.8)</w:t>
            </w:r>
          </w:p>
        </w:tc>
        <w:tc>
          <w:tcPr/>
          <w:p>
            <w:pPr>
              <w:pStyle w:val="Compact"/>
              <w:spacing w:after="0" w:before="0"/>
            </w:pPr>
            <w:r>
              <w:rPr>
                <w:sz w:val="16"/>
              </w:rPr>
              <w:t xml:space="preserve">-</w:t>
            </w:r>
          </w:p>
        </w:tc>
        <w:tc>
          <w:tcPr/>
          <w:p>
            <w:pPr>
              <w:pStyle w:val="Compact"/>
              <w:spacing w:after="0" w:before="0"/>
            </w:pPr>
            <w:r>
              <w:rPr>
                <w:sz w:val="16"/>
              </w:rPr>
              <w:t xml:space="preserve">IPCC 2006 V5 Ch3 Table 3.1</w:t>
            </w:r>
          </w:p>
        </w:tc>
        <w:tc>
          <w:tcPr/>
          <w:p>
            <w:pPr>
              <w:pStyle w:val="Compact"/>
              <w:spacing w:after="0" w:before="0"/>
            </w:pPr>
            <w:r>
              <w:rPr>
                <w:sz w:val="16"/>
              </w:rPr>
              <w:t xml:space="preserve">L</w:t>
            </w:r>
          </w:p>
        </w:tc>
      </w:tr>
      <w:tr>
        <w:tc>
          <w:tcPr/>
          <w:p>
            <w:pPr>
              <w:pStyle w:val="Compact"/>
              <w:spacing w:after="0" w:before="0"/>
            </w:pPr>
            <w:r>
              <w:rPr>
                <w:sz w:val="16"/>
              </w:rPr>
              <w:t xml:space="preserve">B6</w:t>
            </w:r>
          </w:p>
        </w:tc>
        <w:tc>
          <w:tcPr/>
          <w:p>
            <w:pPr>
              <w:pStyle w:val="Compact"/>
              <w:spacing w:after="0" w:before="0"/>
            </w:pPr>
            <w:r>
              <w:rPr>
                <w:sz w:val="16"/>
              </w:rPr>
              <w:t xml:space="preserve">mcf_sl</w:t>
            </w:r>
          </w:p>
        </w:tc>
        <w:tc>
          <w:tcPr/>
          <w:p>
            <w:pPr>
              <w:pStyle w:val="Compact"/>
              <w:spacing w:after="0" w:before="0"/>
            </w:pPr>
            <w:r>
              <w:rPr>
                <w:sz w:val="16"/>
              </w:rPr>
              <w:t xml:space="preserve">Methane correction factor, managed anaerobic landfill</w:t>
            </w:r>
          </w:p>
        </w:tc>
        <w:tc>
          <w:tcPr/>
          <w:p>
            <w:pPr>
              <w:pStyle w:val="Compact"/>
              <w:spacing w:after="0" w:before="0"/>
            </w:pPr>
            <w:r>
              <w:rPr>
                <w:sz w:val="16"/>
              </w:rPr>
              <w:t xml:space="preserve">1</w:t>
            </w:r>
          </w:p>
        </w:tc>
        <w:tc>
          <w:tcPr/>
          <w:p>
            <w:pPr>
              <w:pStyle w:val="Compact"/>
              <w:spacing w:after="0" w:before="0"/>
            </w:pPr>
            <w:r>
              <w:rPr>
                <w:sz w:val="16"/>
              </w:rPr>
              <w:t xml:space="preserve">-</w:t>
            </w:r>
          </w:p>
        </w:tc>
        <w:tc>
          <w:tcPr/>
          <w:p>
            <w:pPr>
              <w:pStyle w:val="Compact"/>
              <w:spacing w:after="0" w:before="0"/>
            </w:pPr>
            <w:r>
              <w:rPr>
                <w:sz w:val="16"/>
              </w:rPr>
              <w:t xml:space="preserve">IPCC 2006 V5 Ch3 Table 3.1</w:t>
            </w:r>
          </w:p>
        </w:tc>
        <w:tc>
          <w:tcPr/>
          <w:p>
            <w:pPr>
              <w:pStyle w:val="Compact"/>
              <w:spacing w:after="0" w:before="0"/>
            </w:pPr>
            <w:r>
              <w:rPr>
                <w:sz w:val="16"/>
              </w:rPr>
              <w:t xml:space="preserve">L</w:t>
            </w:r>
          </w:p>
        </w:tc>
      </w:tr>
      <w:tr>
        <w:tc>
          <w:tcPr/>
          <w:p>
            <w:pPr>
              <w:pStyle w:val="Compact"/>
              <w:spacing w:after="0" w:before="0"/>
            </w:pPr>
            <w:r>
              <w:rPr>
                <w:sz w:val="16"/>
              </w:rPr>
              <w:t xml:space="preserve">B7</w:t>
            </w:r>
          </w:p>
        </w:tc>
        <w:tc>
          <w:tcPr/>
          <w:p>
            <w:pPr>
              <w:pStyle w:val="Compact"/>
              <w:spacing w:after="0" w:before="0"/>
            </w:pPr>
            <w:r>
              <w:rPr>
                <w:sz w:val="16"/>
              </w:rPr>
              <w:t xml:space="preserve">ox</w:t>
            </w:r>
          </w:p>
        </w:tc>
        <w:tc>
          <w:tcPr/>
          <w:p>
            <w:pPr>
              <w:pStyle w:val="Compact"/>
              <w:spacing w:after="0" w:before="0"/>
            </w:pPr>
            <w:r>
              <w:rPr>
                <w:sz w:val="16"/>
              </w:rPr>
              <w:t xml:space="preserve">Oxidation in cover soil, sanitary landfill</w:t>
            </w:r>
          </w:p>
        </w:tc>
        <w:tc>
          <w:tcPr/>
          <w:p>
            <w:pPr>
              <w:pStyle w:val="Compact"/>
              <w:spacing w:after="0" w:before="0"/>
            </w:pPr>
            <w:r>
              <w:rPr>
                <w:sz w:val="16"/>
              </w:rPr>
              <w:t xml:space="preserve">0.1 (0 to 0.1)</w:t>
            </w:r>
          </w:p>
        </w:tc>
        <w:tc>
          <w:tcPr/>
          <w:p>
            <w:pPr>
              <w:pStyle w:val="Compact"/>
              <w:spacing w:after="0" w:before="0"/>
            </w:pPr>
            <w:r>
              <w:rPr>
                <w:sz w:val="16"/>
              </w:rPr>
              <w:t xml:space="preserve">-</w:t>
            </w:r>
          </w:p>
        </w:tc>
        <w:tc>
          <w:tcPr/>
          <w:p>
            <w:pPr>
              <w:pStyle w:val="Compact"/>
              <w:spacing w:after="0" w:before="0"/>
            </w:pPr>
            <w:r>
              <w:rPr>
                <w:sz w:val="16"/>
              </w:rPr>
              <w:t xml:space="preserve">IPCC 2006 V5 Ch3 Table 3.2</w:t>
            </w:r>
          </w:p>
        </w:tc>
        <w:tc>
          <w:tcPr/>
          <w:p>
            <w:pPr>
              <w:pStyle w:val="Compact"/>
              <w:spacing w:after="0" w:before="0"/>
            </w:pPr>
            <w:r>
              <w:rPr>
                <w:sz w:val="16"/>
              </w:rPr>
              <w:t xml:space="preserve">L</w:t>
            </w:r>
          </w:p>
        </w:tc>
      </w:tr>
      <w:tr>
        <w:tc>
          <w:tcPr/>
          <w:p>
            <w:pPr>
              <w:pStyle w:val="Compact"/>
              <w:spacing w:after="0" w:before="0"/>
            </w:pPr>
            <w:r>
              <w:rPr>
                <w:sz w:val="16"/>
              </w:rPr>
              <w:t xml:space="preserve">B8</w:t>
            </w:r>
          </w:p>
        </w:tc>
        <w:tc>
          <w:tcPr/>
          <w:p>
            <w:pPr>
              <w:pStyle w:val="Compact"/>
              <w:spacing w:after="0" w:before="0"/>
            </w:pPr>
            <w:r>
              <w:rPr>
                <w:sz w:val="16"/>
              </w:rPr>
              <w:t xml:space="preserve">cap</w:t>
            </w:r>
          </w:p>
        </w:tc>
        <w:tc>
          <w:tcPr/>
          <w:p>
            <w:pPr>
              <w:pStyle w:val="Compact"/>
              <w:spacing w:after="0" w:before="0"/>
            </w:pPr>
            <w:r>
              <w:rPr>
                <w:sz w:val="16"/>
              </w:rPr>
              <w:t xml:space="preserve">Lifetime landfill-gas collection efficiency, sanitary landfill</w:t>
            </w:r>
          </w:p>
        </w:tc>
        <w:tc>
          <w:tcPr/>
          <w:p>
            <w:pPr>
              <w:pStyle w:val="Compact"/>
              <w:spacing w:after="0" w:before="0"/>
            </w:pPr>
            <w:r>
              <w:rPr>
                <w:sz w:val="16"/>
              </w:rPr>
              <w:t xml:space="preserve">0.5 (0.2 to 0.8)</w:t>
            </w:r>
          </w:p>
        </w:tc>
        <w:tc>
          <w:tcPr/>
          <w:p>
            <w:pPr>
              <w:pStyle w:val="Compact"/>
              <w:spacing w:after="0" w:before="0"/>
            </w:pPr>
            <w:r>
              <w:rPr>
                <w:sz w:val="16"/>
              </w:rPr>
              <w:t xml:space="preserve">-</w:t>
            </w:r>
          </w:p>
        </w:tc>
        <w:tc>
          <w:tcPr/>
          <w:p>
            <w:pPr>
              <w:pStyle w:val="Compact"/>
              <w:spacing w:after="0" w:before="0"/>
            </w:pPr>
            <w:r>
              <w:rPr>
                <w:sz w:val="16"/>
              </w:rPr>
              <w:t xml:space="preserve">Range bounded by literature: 50-95% in US landfills with effective covers (Barlaz et al. 2009, as cited by US EPA); often below 20-30% in high-food-waste landfills (China, search snippets). Central value is an assumption for a new Indonesian sanitary landfill</w:t>
            </w:r>
          </w:p>
        </w:tc>
        <w:tc>
          <w:tcPr/>
          <w:p>
            <w:pPr>
              <w:pStyle w:val="Compact"/>
              <w:spacing w:after="0" w:before="0"/>
            </w:pPr>
            <w:r>
              <w:rPr>
                <w:sz w:val="16"/>
              </w:rPr>
              <w:t xml:space="preserve">A</w:t>
            </w:r>
          </w:p>
        </w:tc>
      </w:tr>
      <w:tr>
        <w:tc>
          <w:tcPr/>
          <w:p>
            <w:pPr>
              <w:pStyle w:val="Compact"/>
              <w:spacing w:after="0" w:before="0"/>
            </w:pPr>
            <w:r>
              <w:rPr>
                <w:sz w:val="16"/>
              </w:rPr>
              <w:t xml:space="preserve">B9</w:t>
            </w:r>
          </w:p>
        </w:tc>
        <w:tc>
          <w:tcPr/>
          <w:p>
            <w:pPr>
              <w:pStyle w:val="Compact"/>
              <w:spacing w:after="0" w:before="0"/>
            </w:pPr>
            <w:r>
              <w:rPr>
                <w:sz w:val="16"/>
              </w:rPr>
              <w:t xml:space="preserve">anc_od</w:t>
            </w:r>
          </w:p>
        </w:tc>
        <w:tc>
          <w:tcPr/>
          <w:p>
            <w:pPr>
              <w:pStyle w:val="Compact"/>
              <w:spacing w:after="0" w:before="0"/>
            </w:pPr>
            <w:r>
              <w:rPr>
                <w:sz w:val="16"/>
              </w:rPr>
              <w:t xml:space="preserve">Diesel for dump operation</w:t>
            </w:r>
          </w:p>
        </w:tc>
        <w:tc>
          <w:tcPr/>
          <w:p>
            <w:pPr>
              <w:pStyle w:val="Compact"/>
              <w:spacing w:after="0" w:before="0"/>
            </w:pPr>
            <w:r>
              <w:rPr>
                <w:sz w:val="16"/>
              </w:rPr>
              <w:t xml:space="preserve">1 (0 to 3)</w:t>
            </w:r>
          </w:p>
        </w:tc>
        <w:tc>
          <w:tcPr/>
          <w:p>
            <w:pPr>
              <w:pStyle w:val="Compact"/>
              <w:spacing w:after="0" w:before="0"/>
            </w:pPr>
            <w:r>
              <w:rPr>
                <w:sz w:val="16"/>
              </w:rPr>
              <w:t xml:space="preserve">kg CO2e/t</w:t>
            </w:r>
          </w:p>
        </w:tc>
        <w:tc>
          <w:tcPr/>
          <w:p>
            <w:pPr>
              <w:pStyle w:val="Compact"/>
              <w:spacing w:after="0" w:before="0"/>
            </w:pPr>
            <w:r>
              <w:rPr>
                <w:sz w:val="16"/>
              </w:rPr>
              <w:t xml:space="preserve">Manfredi et al. 2009</w:t>
            </w:r>
          </w:p>
        </w:tc>
        <w:tc>
          <w:tcPr/>
          <w:p>
            <w:pPr>
              <w:pStyle w:val="Compact"/>
              <w:spacing w:after="0" w:before="0"/>
            </w:pPr>
            <w:r>
              <w:rPr>
                <w:sz w:val="16"/>
              </w:rPr>
              <w:t xml:space="preserve">L</w:t>
            </w:r>
          </w:p>
        </w:tc>
      </w:tr>
      <w:tr>
        <w:tc>
          <w:tcPr/>
          <w:p>
            <w:pPr>
              <w:pStyle w:val="Compact"/>
              <w:spacing w:after="0" w:before="0"/>
            </w:pPr>
            <w:r>
              <w:rPr>
                <w:sz w:val="16"/>
              </w:rPr>
              <w:t xml:space="preserve">B10</w:t>
            </w:r>
          </w:p>
        </w:tc>
        <w:tc>
          <w:tcPr/>
          <w:p>
            <w:pPr>
              <w:pStyle w:val="Compact"/>
              <w:spacing w:after="0" w:before="0"/>
            </w:pPr>
            <w:r>
              <w:rPr>
                <w:sz w:val="16"/>
              </w:rPr>
              <w:t xml:space="preserve">anc_sl</w:t>
            </w:r>
          </w:p>
        </w:tc>
        <w:tc>
          <w:tcPr/>
          <w:p>
            <w:pPr>
              <w:pStyle w:val="Compact"/>
              <w:spacing w:after="0" w:before="0"/>
            </w:pPr>
            <w:r>
              <w:rPr>
                <w:sz w:val="16"/>
              </w:rPr>
              <w:t xml:space="preserve">Diesel and materials for sanitary landfill operation</w:t>
            </w:r>
          </w:p>
        </w:tc>
        <w:tc>
          <w:tcPr/>
          <w:p>
            <w:pPr>
              <w:pStyle w:val="Compact"/>
              <w:spacing w:after="0" w:before="0"/>
            </w:pPr>
            <w:r>
              <w:rPr>
                <w:sz w:val="16"/>
              </w:rPr>
              <w:t xml:space="preserve">5 (2 to 10)</w:t>
            </w:r>
          </w:p>
        </w:tc>
        <w:tc>
          <w:tcPr/>
          <w:p>
            <w:pPr>
              <w:pStyle w:val="Compact"/>
              <w:spacing w:after="0" w:before="0"/>
            </w:pPr>
            <w:r>
              <w:rPr>
                <w:sz w:val="16"/>
              </w:rPr>
              <w:t xml:space="preserve">kg CO2e/t</w:t>
            </w:r>
          </w:p>
        </w:tc>
        <w:tc>
          <w:tcPr/>
          <w:p>
            <w:pPr>
              <w:pStyle w:val="Compact"/>
              <w:spacing w:after="0" w:before="0"/>
            </w:pPr>
            <w:r>
              <w:rPr>
                <w:sz w:val="16"/>
              </w:rPr>
              <w:t xml:space="preserve">Manfredi et al. 2009</w:t>
            </w:r>
          </w:p>
        </w:tc>
        <w:tc>
          <w:tcPr/>
          <w:p>
            <w:pPr>
              <w:pStyle w:val="Compact"/>
              <w:spacing w:after="0" w:before="0"/>
            </w:pPr>
            <w:r>
              <w:rPr>
                <w:sz w:val="16"/>
              </w:rPr>
              <w:t xml:space="preserve">L</w:t>
            </w:r>
          </w:p>
        </w:tc>
      </w:tr>
      <w:tr>
        <w:tc>
          <w:tcPr/>
          <w:p>
            <w:pPr>
              <w:pStyle w:val="Compact"/>
              <w:spacing w:after="0" w:before="0"/>
            </w:pPr>
            <w:r>
              <w:rPr>
                <w:sz w:val="16"/>
              </w:rPr>
              <w:t xml:space="preserve">W4</w:t>
            </w:r>
          </w:p>
        </w:tc>
        <w:tc>
          <w:tcPr/>
          <w:p>
            <w:pPr>
              <w:pStyle w:val="Compact"/>
              <w:spacing w:after="0" w:before="0"/>
            </w:pPr>
            <w:r>
              <w:rPr>
                <w:sz w:val="16"/>
              </w:rPr>
              <w:t xml:space="preserve">eta_wte</w:t>
            </w:r>
          </w:p>
        </w:tc>
        <w:tc>
          <w:tcPr/>
          <w:p>
            <w:pPr>
              <w:pStyle w:val="Compact"/>
              <w:spacing w:after="0" w:before="0"/>
            </w:pPr>
            <w:r>
              <w:rPr>
                <w:sz w:val="16"/>
              </w:rPr>
              <w:t xml:space="preserve">Net electrical efficiency of grate incinerator on low-LHV waste</w:t>
            </w:r>
          </w:p>
        </w:tc>
        <w:tc>
          <w:tcPr/>
          <w:p>
            <w:pPr>
              <w:pStyle w:val="Compact"/>
              <w:spacing w:after="0" w:before="0"/>
            </w:pPr>
            <w:r>
              <w:rPr>
                <w:sz w:val="16"/>
              </w:rPr>
              <w:t xml:space="preserve">0.18 (0.14 to 0.22)</w:t>
            </w:r>
          </w:p>
        </w:tc>
        <w:tc>
          <w:tcPr/>
          <w:p>
            <w:pPr>
              <w:pStyle w:val="Compact"/>
              <w:spacing w:after="0" w:before="0"/>
            </w:pPr>
            <w:r>
              <w:rPr>
                <w:sz w:val="16"/>
              </w:rPr>
              <w:t xml:space="preserve">-</w:t>
            </w:r>
          </w:p>
        </w:tc>
        <w:tc>
          <w:tcPr/>
          <w:p>
            <w:pPr>
              <w:pStyle w:val="Compact"/>
              <w:spacing w:after="0" w:before="0"/>
            </w:pPr>
            <w:r>
              <w:rPr>
                <w:sz w:val="16"/>
              </w:rPr>
              <w:t xml:space="preserve">Astrup et al. 2015; Rand et al. 2000; Indonesian design study: 26% efficiency and 15% own use, i.e. about 22% net (Yuliani et al. 2022, abstract)</w:t>
            </w:r>
          </w:p>
        </w:tc>
        <w:tc>
          <w:tcPr/>
          <w:p>
            <w:pPr>
              <w:pStyle w:val="Compact"/>
              <w:spacing w:after="0" w:before="0"/>
            </w:pPr>
            <w:r>
              <w:rPr>
                <w:sz w:val="16"/>
              </w:rPr>
              <w:t xml:space="preserve">L</w:t>
            </w:r>
          </w:p>
        </w:tc>
      </w:tr>
      <w:tr>
        <w:tc>
          <w:tcPr/>
          <w:p>
            <w:pPr>
              <w:pStyle w:val="Compact"/>
              <w:spacing w:after="0" w:before="0"/>
            </w:pPr>
            <w:r>
              <w:rPr>
                <w:sz w:val="16"/>
              </w:rPr>
              <w:t xml:space="preserve">W5</w:t>
            </w:r>
          </w:p>
        </w:tc>
        <w:tc>
          <w:tcPr/>
          <w:p>
            <w:pPr>
              <w:pStyle w:val="Compact"/>
              <w:spacing w:after="0" w:before="0"/>
            </w:pPr>
            <w:r>
              <w:rPr>
                <w:sz w:val="16"/>
              </w:rPr>
              <w:t xml:space="preserve">n2o_wte</w:t>
            </w:r>
          </w:p>
        </w:tc>
        <w:tc>
          <w:tcPr/>
          <w:p>
            <w:pPr>
              <w:pStyle w:val="Compact"/>
              <w:spacing w:after="0" w:before="0"/>
            </w:pPr>
            <w:r>
              <w:rPr>
                <w:sz w:val="16"/>
              </w:rPr>
              <w:t xml:space="preserve">N2O from continuous stoker incineration</w:t>
            </w:r>
          </w:p>
        </w:tc>
        <w:tc>
          <w:tcPr/>
          <w:p>
            <w:pPr>
              <w:pStyle w:val="Compact"/>
              <w:spacing w:after="0" w:before="0"/>
            </w:pPr>
            <w:r>
              <w:rPr>
                <w:sz w:val="16"/>
              </w:rPr>
              <w:t xml:space="preserve">0.05 (0.02 to 0.08)</w:t>
            </w:r>
          </w:p>
        </w:tc>
        <w:tc>
          <w:tcPr/>
          <w:p>
            <w:pPr>
              <w:pStyle w:val="Compact"/>
              <w:spacing w:after="0" w:before="0"/>
            </w:pPr>
            <w:r>
              <w:rPr>
                <w:sz w:val="16"/>
              </w:rPr>
              <w:t xml:space="preserve">kg N2O/t</w:t>
            </w:r>
          </w:p>
        </w:tc>
        <w:tc>
          <w:tcPr/>
          <w:p>
            <w:pPr>
              <w:pStyle w:val="Compact"/>
              <w:spacing w:after="0" w:before="0"/>
            </w:pPr>
            <w:r>
              <w:rPr>
                <w:sz w:val="16"/>
              </w:rPr>
              <w:t xml:space="preserve">IPCC 2006 V5 Ch5 Table 5.6</w:t>
            </w:r>
          </w:p>
        </w:tc>
        <w:tc>
          <w:tcPr/>
          <w:p>
            <w:pPr>
              <w:pStyle w:val="Compact"/>
              <w:spacing w:after="0" w:before="0"/>
            </w:pPr>
            <w:r>
              <w:rPr>
                <w:sz w:val="16"/>
              </w:rPr>
              <w:t xml:space="preserve">L</w:t>
            </w:r>
          </w:p>
        </w:tc>
      </w:tr>
      <w:tr>
        <w:tc>
          <w:tcPr/>
          <w:p>
            <w:pPr>
              <w:pStyle w:val="Compact"/>
              <w:spacing w:after="0" w:before="0"/>
            </w:pPr>
            <w:r>
              <w:rPr>
                <w:sz w:val="16"/>
              </w:rPr>
              <w:t xml:space="preserve">W6</w:t>
            </w:r>
          </w:p>
        </w:tc>
        <w:tc>
          <w:tcPr/>
          <w:p>
            <w:pPr>
              <w:pStyle w:val="Compact"/>
              <w:spacing w:after="0" w:before="0"/>
            </w:pPr>
            <w:r>
              <w:rPr>
                <w:sz w:val="16"/>
              </w:rPr>
              <w:t xml:space="preserve">anc_wte</w:t>
            </w:r>
          </w:p>
        </w:tc>
        <w:tc>
          <w:tcPr/>
          <w:p>
            <w:pPr>
              <w:pStyle w:val="Compact"/>
              <w:spacing w:after="0" w:before="0"/>
            </w:pPr>
            <w:r>
              <w:rPr>
                <w:sz w:val="16"/>
              </w:rPr>
              <w:t xml:space="preserve">Auxiliary fuel and flue-gas reagents</w:t>
            </w:r>
          </w:p>
        </w:tc>
        <w:tc>
          <w:tcPr/>
          <w:p>
            <w:pPr>
              <w:pStyle w:val="Compact"/>
              <w:spacing w:after="0" w:before="0"/>
            </w:pPr>
            <w:r>
              <w:rPr>
                <w:sz w:val="16"/>
              </w:rPr>
              <w:t xml:space="preserve">10 (5 to 30)</w:t>
            </w:r>
          </w:p>
        </w:tc>
        <w:tc>
          <w:tcPr/>
          <w:p>
            <w:pPr>
              <w:pStyle w:val="Compact"/>
              <w:spacing w:after="0" w:before="0"/>
            </w:pPr>
            <w:r>
              <w:rPr>
                <w:sz w:val="16"/>
              </w:rPr>
              <w:t xml:space="preserve">kg CO2e/t</w:t>
            </w:r>
          </w:p>
        </w:tc>
        <w:tc>
          <w:tcPr/>
          <w:p>
            <w:pPr>
              <w:pStyle w:val="Compact"/>
              <w:spacing w:after="0" w:before="0"/>
            </w:pPr>
            <w:r>
              <w:rPr>
                <w:sz w:val="16"/>
              </w:rPr>
              <w:t xml:space="preserve">Astrup et al. 2009</w:t>
            </w:r>
          </w:p>
        </w:tc>
        <w:tc>
          <w:tcPr/>
          <w:p>
            <w:pPr>
              <w:pStyle w:val="Compact"/>
              <w:spacing w:after="0" w:before="0"/>
            </w:pPr>
            <w:r>
              <w:rPr>
                <w:sz w:val="16"/>
              </w:rPr>
              <w:t xml:space="preserve">L</w:t>
            </w:r>
          </w:p>
        </w:tc>
      </w:tr>
      <w:tr>
        <w:tc>
          <w:tcPr/>
          <w:p>
            <w:pPr>
              <w:pStyle w:val="Compact"/>
              <w:spacing w:after="0" w:before="0"/>
            </w:pPr>
            <w:r>
              <w:rPr>
                <w:sz w:val="16"/>
              </w:rPr>
              <w:t xml:space="preserve">W7</w:t>
            </w:r>
          </w:p>
        </w:tc>
        <w:tc>
          <w:tcPr/>
          <w:p>
            <w:pPr>
              <w:pStyle w:val="Compact"/>
              <w:spacing w:after="0" w:before="0"/>
            </w:pPr>
            <w:r>
              <w:rPr>
                <w:sz w:val="16"/>
              </w:rPr>
              <w:t xml:space="preserve">ash</w:t>
            </w:r>
          </w:p>
        </w:tc>
        <w:tc>
          <w:tcPr/>
          <w:p>
            <w:pPr>
              <w:pStyle w:val="Compact"/>
              <w:spacing w:after="0" w:before="0"/>
            </w:pPr>
            <w:r>
              <w:rPr>
                <w:sz w:val="16"/>
              </w:rPr>
              <w:t xml:space="preserve">Bottom ash and APC residue sent to landfill</w:t>
            </w:r>
          </w:p>
        </w:tc>
        <w:tc>
          <w:tcPr/>
          <w:p>
            <w:pPr>
              <w:pStyle w:val="Compact"/>
              <w:spacing w:after="0" w:before="0"/>
            </w:pPr>
            <w:r>
              <w:rPr>
                <w:sz w:val="16"/>
              </w:rPr>
              <w:t xml:space="preserve">0.25 (0.15 to 0.3)</w:t>
            </w:r>
          </w:p>
        </w:tc>
        <w:tc>
          <w:tcPr/>
          <w:p>
            <w:pPr>
              <w:pStyle w:val="Compact"/>
              <w:spacing w:after="0" w:before="0"/>
            </w:pPr>
            <w:r>
              <w:rPr>
                <w:sz w:val="16"/>
              </w:rPr>
              <w:t xml:space="preserve">t/t</w:t>
            </w:r>
          </w:p>
        </w:tc>
        <w:tc>
          <w:tcPr/>
          <w:p>
            <w:pPr>
              <w:pStyle w:val="Compact"/>
              <w:spacing w:after="0" w:before="0"/>
            </w:pPr>
            <w:r>
              <w:rPr>
                <w:sz w:val="16"/>
              </w:rPr>
              <w:t xml:space="preserve">Rand et al. 2000</w:t>
            </w:r>
          </w:p>
        </w:tc>
        <w:tc>
          <w:tcPr/>
          <w:p>
            <w:pPr>
              <w:pStyle w:val="Compact"/>
              <w:spacing w:after="0" w:before="0"/>
            </w:pPr>
            <w:r>
              <w:rPr>
                <w:sz w:val="16"/>
              </w:rPr>
              <w:t xml:space="preserve">L</w:t>
            </w:r>
          </w:p>
        </w:tc>
      </w:tr>
      <w:tr>
        <w:tc>
          <w:tcPr/>
          <w:p>
            <w:pPr>
              <w:pStyle w:val="Compact"/>
              <w:spacing w:after="0" w:before="0"/>
            </w:pPr>
            <w:r>
              <w:rPr>
                <w:sz w:val="16"/>
              </w:rPr>
              <w:t xml:space="preserve">R6</w:t>
            </w:r>
          </w:p>
        </w:tc>
        <w:tc>
          <w:tcPr/>
          <w:p>
            <w:pPr>
              <w:pStyle w:val="Compact"/>
              <w:spacing w:after="0" w:before="0"/>
            </w:pPr>
            <w:r>
              <w:rPr>
                <w:sz w:val="16"/>
              </w:rPr>
              <w:t xml:space="preserve">tau_k</w:t>
            </w:r>
          </w:p>
        </w:tc>
        <w:tc>
          <w:tcPr/>
          <w:p>
            <w:pPr>
              <w:pStyle w:val="Compact"/>
              <w:spacing w:after="0" w:before="0"/>
            </w:pPr>
            <w:r>
              <w:rPr>
                <w:sz w:val="16"/>
              </w:rPr>
              <w:t xml:space="preserve">Multiplier on RDF transfer coefficients</w:t>
            </w:r>
          </w:p>
        </w:tc>
        <w:tc>
          <w:tcPr/>
          <w:p>
            <w:pPr>
              <w:pStyle w:val="Compact"/>
              <w:spacing w:after="0" w:before="0"/>
            </w:pPr>
            <w:r>
              <w:rPr>
                <w:sz w:val="16"/>
              </w:rPr>
              <w:t xml:space="preserve">1 (0.85 to 1.1)</w:t>
            </w:r>
          </w:p>
        </w:tc>
        <w:tc>
          <w:tcPr/>
          <w:p>
            <w:pPr>
              <w:pStyle w:val="Compact"/>
              <w:spacing w:after="0" w:before="0"/>
            </w:pPr>
            <w:r>
              <w:rPr>
                <w:sz w:val="16"/>
              </w:rPr>
              <w:t xml:space="preserve">x</w:t>
            </w:r>
          </w:p>
        </w:tc>
        <w:tc>
          <w:tcPr/>
          <w:p>
            <w:pPr>
              <w:pStyle w:val="Compact"/>
              <w:spacing w:after="0" w:before="0"/>
            </w:pPr>
            <w:r>
              <w:rPr>
                <w:sz w:val="16"/>
              </w:rPr>
              <w:t xml:space="preserve">Nasrullah et al. 2014</w:t>
            </w:r>
          </w:p>
        </w:tc>
        <w:tc>
          <w:tcPr/>
          <w:p>
            <w:pPr>
              <w:pStyle w:val="Compact"/>
              <w:spacing w:after="0" w:before="0"/>
            </w:pPr>
            <w:r>
              <w:rPr>
                <w:sz w:val="16"/>
              </w:rPr>
              <w:t xml:space="preserve">L</w:t>
            </w:r>
          </w:p>
        </w:tc>
      </w:tr>
      <w:tr>
        <w:tc>
          <w:tcPr/>
          <w:p>
            <w:pPr>
              <w:pStyle w:val="Compact"/>
              <w:spacing w:after="0" w:before="0"/>
            </w:pPr>
            <w:r>
              <w:rPr>
                <w:sz w:val="16"/>
              </w:rPr>
              <w:t xml:space="preserve">R7</w:t>
            </w:r>
          </w:p>
        </w:tc>
        <w:tc>
          <w:tcPr/>
          <w:p>
            <w:pPr>
              <w:pStyle w:val="Compact"/>
              <w:spacing w:after="0" w:before="0"/>
            </w:pPr>
            <w:r>
              <w:rPr>
                <w:sz w:val="16"/>
              </w:rPr>
              <w:t xml:space="preserve">omega</w:t>
            </w:r>
          </w:p>
        </w:tc>
        <w:tc>
          <w:tcPr/>
          <w:p>
            <w:pPr>
              <w:pStyle w:val="Compact"/>
              <w:spacing w:after="0" w:before="0"/>
            </w:pPr>
            <w:r>
              <w:rPr>
                <w:sz w:val="16"/>
              </w:rPr>
              <w:t xml:space="preserve">Target moisture of RDF (off-taker limit 20-25%)</w:t>
            </w:r>
          </w:p>
        </w:tc>
        <w:tc>
          <w:tcPr/>
          <w:p>
            <w:pPr>
              <w:pStyle w:val="Compact"/>
              <w:spacing w:after="0" w:before="0"/>
            </w:pPr>
            <w:r>
              <w:rPr>
                <w:sz w:val="16"/>
              </w:rPr>
              <w:t xml:space="preserve">0.2 (0.15 to 0.25)</w:t>
            </w:r>
          </w:p>
        </w:tc>
        <w:tc>
          <w:tcPr/>
          <w:p>
            <w:pPr>
              <w:pStyle w:val="Compact"/>
              <w:spacing w:after="0" w:before="0"/>
            </w:pPr>
            <w:r>
              <w:rPr>
                <w:sz w:val="16"/>
              </w:rPr>
              <w:t xml:space="preserve">-</w:t>
            </w:r>
          </w:p>
        </w:tc>
        <w:tc>
          <w:tcPr/>
          <w:p>
            <w:pPr>
              <w:pStyle w:val="Compact"/>
              <w:spacing w:after="0" w:before="0"/>
            </w:pPr>
            <w:r>
              <w:rPr>
                <w:sz w:val="16"/>
              </w:rPr>
              <w:t xml:space="preserve">GIZ ERiC-DKTI 2023</w:t>
            </w:r>
          </w:p>
        </w:tc>
        <w:tc>
          <w:tcPr/>
          <w:p>
            <w:pPr>
              <w:pStyle w:val="Compact"/>
              <w:spacing w:after="0" w:before="0"/>
            </w:pPr>
            <w:r>
              <w:rPr>
                <w:sz w:val="16"/>
              </w:rPr>
              <w:t xml:space="preserve">L</w:t>
            </w:r>
          </w:p>
        </w:tc>
      </w:tr>
      <w:tr>
        <w:tc>
          <w:tcPr/>
          <w:p>
            <w:pPr>
              <w:pStyle w:val="Compact"/>
              <w:spacing w:after="0" w:before="0"/>
            </w:pPr>
            <w:r>
              <w:rPr>
                <w:sz w:val="16"/>
              </w:rPr>
              <w:t xml:space="preserve">R8</w:t>
            </w:r>
          </w:p>
        </w:tc>
        <w:tc>
          <w:tcPr/>
          <w:p>
            <w:pPr>
              <w:pStyle w:val="Compact"/>
              <w:spacing w:after="0" w:before="0"/>
            </w:pPr>
            <w:r>
              <w:rPr>
                <w:sz w:val="16"/>
              </w:rPr>
              <w:t xml:space="preserve">q_dry</w:t>
            </w:r>
          </w:p>
        </w:tc>
        <w:tc>
          <w:tcPr/>
          <w:p>
            <w:pPr>
              <w:pStyle w:val="Compact"/>
              <w:spacing w:after="0" w:before="0"/>
            </w:pPr>
            <w:r>
              <w:rPr>
                <w:sz w:val="16"/>
              </w:rPr>
              <w:t xml:space="preserve">Heat to evaporate water in the dryer (self-supplied by burning RDF)</w:t>
            </w:r>
          </w:p>
        </w:tc>
        <w:tc>
          <w:tcPr/>
          <w:p>
            <w:pPr>
              <w:pStyle w:val="Compact"/>
              <w:spacing w:after="0" w:before="0"/>
            </w:pPr>
            <w:r>
              <w:rPr>
                <w:sz w:val="16"/>
              </w:rPr>
              <w:t xml:space="preserve">3.2 (2.6 to 4)</w:t>
            </w:r>
          </w:p>
        </w:tc>
        <w:tc>
          <w:tcPr/>
          <w:p>
            <w:pPr>
              <w:pStyle w:val="Compact"/>
              <w:spacing w:after="0" w:before="0"/>
            </w:pPr>
            <w:r>
              <w:rPr>
                <w:sz w:val="16"/>
              </w:rPr>
              <w:t xml:space="preserve">GJ/t water</w:t>
            </w:r>
          </w:p>
        </w:tc>
        <w:tc>
          <w:tcPr/>
          <w:p>
            <w:pPr>
              <w:pStyle w:val="Compact"/>
              <w:spacing w:after="0" w:before="0"/>
            </w:pPr>
            <w:r>
              <w:rPr>
                <w:sz w:val="16"/>
              </w:rPr>
              <w:t xml:space="preserve">Engineering range for rotary dryers</w:t>
            </w:r>
          </w:p>
        </w:tc>
        <w:tc>
          <w:tcPr/>
          <w:p>
            <w:pPr>
              <w:pStyle w:val="Compact"/>
              <w:spacing w:after="0" w:before="0"/>
            </w:pPr>
            <w:r>
              <w:rPr>
                <w:sz w:val="16"/>
              </w:rPr>
              <w:t xml:space="preserve">L</w:t>
            </w:r>
          </w:p>
        </w:tc>
      </w:tr>
      <w:tr>
        <w:tc>
          <w:tcPr/>
          <w:p>
            <w:pPr>
              <w:pStyle w:val="Compact"/>
              <w:spacing w:after="0" w:before="0"/>
            </w:pPr>
            <w:r>
              <w:rPr>
                <w:sz w:val="16"/>
              </w:rPr>
              <w:t xml:space="preserve">R9</w:t>
            </w:r>
          </w:p>
        </w:tc>
        <w:tc>
          <w:tcPr/>
          <w:p>
            <w:pPr>
              <w:pStyle w:val="Compact"/>
              <w:spacing w:after="0" w:before="0"/>
            </w:pPr>
            <w:r>
              <w:rPr>
                <w:sz w:val="16"/>
              </w:rPr>
              <w:t xml:space="preserve">e_rdf</w:t>
            </w:r>
          </w:p>
        </w:tc>
        <w:tc>
          <w:tcPr/>
          <w:p>
            <w:pPr>
              <w:pStyle w:val="Compact"/>
              <w:spacing w:after="0" w:before="0"/>
            </w:pPr>
            <w:r>
              <w:rPr>
                <w:sz w:val="16"/>
              </w:rPr>
              <w:t xml:space="preserve">Electricity for shredding, screening, baling</w:t>
            </w:r>
          </w:p>
        </w:tc>
        <w:tc>
          <w:tcPr/>
          <w:p>
            <w:pPr>
              <w:pStyle w:val="Compact"/>
              <w:spacing w:after="0" w:before="0"/>
            </w:pPr>
            <w:r>
              <w:rPr>
                <w:sz w:val="16"/>
              </w:rPr>
              <w:t xml:space="preserve">40 (20 to 70)</w:t>
            </w:r>
          </w:p>
        </w:tc>
        <w:tc>
          <w:tcPr/>
          <w:p>
            <w:pPr>
              <w:pStyle w:val="Compact"/>
              <w:spacing w:after="0" w:before="0"/>
            </w:pPr>
            <w:r>
              <w:rPr>
                <w:sz w:val="16"/>
              </w:rPr>
              <w:t xml:space="preserve">kWh/t</w:t>
            </w:r>
          </w:p>
        </w:tc>
        <w:tc>
          <w:tcPr/>
          <w:p>
            <w:pPr>
              <w:pStyle w:val="Compact"/>
              <w:spacing w:after="0" w:before="0"/>
            </w:pPr>
            <w:r>
              <w:rPr>
                <w:sz w:val="16"/>
              </w:rPr>
              <w:t xml:space="preserve">Engineering range for MT plants</w:t>
            </w:r>
          </w:p>
        </w:tc>
        <w:tc>
          <w:tcPr/>
          <w:p>
            <w:pPr>
              <w:pStyle w:val="Compact"/>
              <w:spacing w:after="0" w:before="0"/>
            </w:pPr>
            <w:r>
              <w:rPr>
                <w:sz w:val="16"/>
              </w:rPr>
              <w:t xml:space="preserve">A</w:t>
            </w:r>
          </w:p>
        </w:tc>
      </w:tr>
      <w:tr>
        <w:tc>
          <w:tcPr/>
          <w:p>
            <w:pPr>
              <w:pStyle w:val="Compact"/>
              <w:spacing w:after="0" w:before="0"/>
            </w:pPr>
            <w:r>
              <w:rPr>
                <w:sz w:val="16"/>
              </w:rPr>
              <w:t xml:space="preserve">R10</w:t>
            </w:r>
          </w:p>
        </w:tc>
        <w:tc>
          <w:tcPr/>
          <w:p>
            <w:pPr>
              <w:pStyle w:val="Compact"/>
              <w:spacing w:after="0" w:before="0"/>
            </w:pPr>
            <w:r>
              <w:rPr>
                <w:sz w:val="16"/>
              </w:rPr>
              <w:t xml:space="preserve">psi</w:t>
            </w:r>
          </w:p>
        </w:tc>
        <w:tc>
          <w:tcPr/>
          <w:p>
            <w:pPr>
              <w:pStyle w:val="Compact"/>
              <w:spacing w:after="0" w:before="0"/>
            </w:pPr>
            <w:r>
              <w:rPr>
                <w:sz w:val="16"/>
              </w:rPr>
              <w:t xml:space="preserve">GJ coal displaced per GJ RDF in the kiln</w:t>
            </w:r>
          </w:p>
        </w:tc>
        <w:tc>
          <w:tcPr/>
          <w:p>
            <w:pPr>
              <w:pStyle w:val="Compact"/>
              <w:spacing w:after="0" w:before="0"/>
            </w:pPr>
            <w:r>
              <w:rPr>
                <w:sz w:val="16"/>
              </w:rPr>
              <w:t xml:space="preserve">0.9 (0.8 to 1)</w:t>
            </w:r>
          </w:p>
        </w:tc>
        <w:tc>
          <w:tcPr/>
          <w:p>
            <w:pPr>
              <w:pStyle w:val="Compact"/>
              <w:spacing w:after="0" w:before="0"/>
            </w:pPr>
            <w:r>
              <w:rPr>
                <w:sz w:val="16"/>
              </w:rPr>
              <w:t xml:space="preserve">-</w:t>
            </w:r>
          </w:p>
        </w:tc>
        <w:tc>
          <w:tcPr/>
          <w:p>
            <w:pPr>
              <w:pStyle w:val="Compact"/>
              <w:spacing w:after="0" w:before="0"/>
            </w:pPr>
            <w:r>
              <w:rPr>
                <w:sz w:val="16"/>
              </w:rPr>
              <w:t xml:space="preserve">Silva et al. 2021; Khandelwal et al. 2019</w:t>
            </w:r>
          </w:p>
        </w:tc>
        <w:tc>
          <w:tcPr/>
          <w:p>
            <w:pPr>
              <w:pStyle w:val="Compact"/>
              <w:spacing w:after="0" w:before="0"/>
            </w:pPr>
            <w:r>
              <w:rPr>
                <w:sz w:val="16"/>
              </w:rPr>
              <w:t xml:space="preserve">L</w:t>
            </w:r>
          </w:p>
        </w:tc>
      </w:tr>
      <w:tr>
        <w:tc>
          <w:tcPr/>
          <w:p>
            <w:pPr>
              <w:pStyle w:val="Compact"/>
              <w:spacing w:after="0" w:before="0"/>
            </w:pPr>
            <w:r>
              <w:rPr>
                <w:sz w:val="16"/>
              </w:rPr>
              <w:t xml:space="preserve">R11</w:t>
            </w:r>
          </w:p>
        </w:tc>
        <w:tc>
          <w:tcPr/>
          <w:p>
            <w:pPr>
              <w:pStyle w:val="Compact"/>
              <w:spacing w:after="0" w:before="0"/>
            </w:pPr>
            <w:r>
              <w:rPr>
                <w:sz w:val="16"/>
              </w:rPr>
              <w:t xml:space="preserve">ef_coal</w:t>
            </w:r>
          </w:p>
        </w:tc>
        <w:tc>
          <w:tcPr/>
          <w:p>
            <w:pPr>
              <w:pStyle w:val="Compact"/>
              <w:spacing w:after="0" w:before="0"/>
            </w:pPr>
            <w:r>
              <w:rPr>
                <w:sz w:val="16"/>
              </w:rPr>
              <w:t xml:space="preserve">Combustion emission factor of displaced coal (sub-bituminous)</w:t>
            </w:r>
          </w:p>
        </w:tc>
        <w:tc>
          <w:tcPr/>
          <w:p>
            <w:pPr>
              <w:pStyle w:val="Compact"/>
              <w:spacing w:after="0" w:before="0"/>
            </w:pPr>
            <w:r>
              <w:rPr>
                <w:sz w:val="16"/>
              </w:rPr>
              <w:t xml:space="preserve">96.1 (94.6 to 101)</w:t>
            </w:r>
          </w:p>
        </w:tc>
        <w:tc>
          <w:tcPr/>
          <w:p>
            <w:pPr>
              <w:pStyle w:val="Compact"/>
              <w:spacing w:after="0" w:before="0"/>
            </w:pPr>
            <w:r>
              <w:rPr>
                <w:sz w:val="16"/>
              </w:rPr>
              <w:t xml:space="preserve">kg CO2/GJ</w:t>
            </w:r>
          </w:p>
        </w:tc>
        <w:tc>
          <w:tcPr/>
          <w:p>
            <w:pPr>
              <w:pStyle w:val="Compact"/>
              <w:spacing w:after="0" w:before="0"/>
            </w:pPr>
            <w:r>
              <w:rPr>
                <w:sz w:val="16"/>
              </w:rPr>
              <w:t xml:space="preserve">IPCC 2006 V2 Ch2 Table 2.3</w:t>
            </w:r>
          </w:p>
        </w:tc>
        <w:tc>
          <w:tcPr/>
          <w:p>
            <w:pPr>
              <w:pStyle w:val="Compact"/>
              <w:spacing w:after="0" w:before="0"/>
            </w:pPr>
            <w:r>
              <w:rPr>
                <w:sz w:val="16"/>
              </w:rPr>
              <w:t xml:space="preserve">L</w:t>
            </w:r>
          </w:p>
        </w:tc>
      </w:tr>
      <w:tr>
        <w:tc>
          <w:tcPr/>
          <w:p>
            <w:pPr>
              <w:pStyle w:val="Compact"/>
              <w:spacing w:after="0" w:before="0"/>
            </w:pPr>
            <w:r>
              <w:rPr>
                <w:sz w:val="16"/>
              </w:rPr>
              <w:t xml:space="preserve">R12</w:t>
            </w:r>
          </w:p>
        </w:tc>
        <w:tc>
          <w:tcPr/>
          <w:p>
            <w:pPr>
              <w:pStyle w:val="Compact"/>
              <w:spacing w:after="0" w:before="0"/>
            </w:pPr>
            <w:r>
              <w:rPr>
                <w:sz w:val="16"/>
              </w:rPr>
              <w:t xml:space="preserve">ef_truck</w:t>
            </w:r>
          </w:p>
        </w:tc>
        <w:tc>
          <w:tcPr/>
          <w:p>
            <w:pPr>
              <w:pStyle w:val="Compact"/>
              <w:spacing w:after="0" w:before="0"/>
            </w:pPr>
            <w:r>
              <w:rPr>
                <w:sz w:val="16"/>
              </w:rPr>
              <w:t xml:space="preserve">Truck transport of RDF incl. empty return</w:t>
            </w:r>
          </w:p>
        </w:tc>
        <w:tc>
          <w:tcPr/>
          <w:p>
            <w:pPr>
              <w:pStyle w:val="Compact"/>
              <w:spacing w:after="0" w:before="0"/>
            </w:pPr>
            <w:r>
              <w:rPr>
                <w:sz w:val="16"/>
              </w:rPr>
              <w:t xml:space="preserve">0.1 (0.06 to 0.15)</w:t>
            </w:r>
          </w:p>
        </w:tc>
        <w:tc>
          <w:tcPr/>
          <w:p>
            <w:pPr>
              <w:pStyle w:val="Compact"/>
              <w:spacing w:after="0" w:before="0"/>
            </w:pPr>
            <w:r>
              <w:rPr>
                <w:sz w:val="16"/>
              </w:rPr>
              <w:t xml:space="preserve">kg CO2e/t-km</w:t>
            </w:r>
          </w:p>
        </w:tc>
        <w:tc>
          <w:tcPr/>
          <w:p>
            <w:pPr>
              <w:pStyle w:val="Compact"/>
              <w:spacing w:after="0" w:before="0"/>
            </w:pPr>
            <w:r>
              <w:rPr>
                <w:sz w:val="16"/>
              </w:rPr>
              <w:t xml:space="preserve">GLEC Framework</w:t>
            </w:r>
          </w:p>
        </w:tc>
        <w:tc>
          <w:tcPr/>
          <w:p>
            <w:pPr>
              <w:pStyle w:val="Compact"/>
              <w:spacing w:after="0" w:before="0"/>
            </w:pPr>
            <w:r>
              <w:rPr>
                <w:sz w:val="16"/>
              </w:rPr>
              <w:t xml:space="preserve">L</w:t>
            </w:r>
          </w:p>
        </w:tc>
      </w:tr>
      <w:tr>
        <w:tc>
          <w:tcPr/>
          <w:p>
            <w:pPr>
              <w:pStyle w:val="Compact"/>
              <w:spacing w:after="0" w:before="0"/>
            </w:pPr>
            <w:r>
              <w:rPr>
                <w:sz w:val="16"/>
              </w:rPr>
              <w:t xml:space="preserve">R13</w:t>
            </w:r>
          </w:p>
        </w:tc>
        <w:tc>
          <w:tcPr/>
          <w:p>
            <w:pPr>
              <w:pStyle w:val="Compact"/>
              <w:spacing w:after="0" w:before="0"/>
            </w:pPr>
            <w:r>
              <w:rPr>
                <w:sz w:val="16"/>
              </w:rPr>
              <w:t xml:space="preserve">tort</w:t>
            </w:r>
          </w:p>
        </w:tc>
        <w:tc>
          <w:tcPr/>
          <w:p>
            <w:pPr>
              <w:pStyle w:val="Compact"/>
              <w:spacing w:after="0" w:before="0"/>
            </w:pPr>
            <w:r>
              <w:rPr>
                <w:sz w:val="16"/>
              </w:rPr>
              <w:t xml:space="preserve">Road distance / straight-line distance to nearest kiln</w:t>
            </w:r>
          </w:p>
        </w:tc>
        <w:tc>
          <w:tcPr/>
          <w:p>
            <w:pPr>
              <w:pStyle w:val="Compact"/>
              <w:spacing w:after="0" w:before="0"/>
            </w:pPr>
            <w:r>
              <w:rPr>
                <w:sz w:val="16"/>
              </w:rPr>
              <w:t xml:space="preserve">1.3 (1.2 to 1.5)</w:t>
            </w:r>
          </w:p>
        </w:tc>
        <w:tc>
          <w:tcPr/>
          <w:p>
            <w:pPr>
              <w:pStyle w:val="Compact"/>
              <w:spacing w:after="0" w:before="0"/>
            </w:pPr>
            <w:r>
              <w:rPr>
                <w:sz w:val="16"/>
              </w:rPr>
              <w:t xml:space="preserve">x</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R14</w:t>
            </w:r>
          </w:p>
        </w:tc>
        <w:tc>
          <w:tcPr/>
          <w:p>
            <w:pPr>
              <w:pStyle w:val="Compact"/>
              <w:spacing w:after="0" w:before="0"/>
            </w:pPr>
            <w:r>
              <w:rPr>
                <w:sz w:val="16"/>
              </w:rPr>
              <w:t xml:space="preserve">anc_rdf</w:t>
            </w:r>
          </w:p>
        </w:tc>
        <w:tc>
          <w:tcPr/>
          <w:p>
            <w:pPr>
              <w:pStyle w:val="Compact"/>
              <w:spacing w:after="0" w:before="0"/>
            </w:pPr>
            <w:r>
              <w:rPr>
                <w:sz w:val="16"/>
              </w:rPr>
              <w:t xml:space="preserve">Diesel for loaders at the RDF plant</w:t>
            </w:r>
          </w:p>
        </w:tc>
        <w:tc>
          <w:tcPr/>
          <w:p>
            <w:pPr>
              <w:pStyle w:val="Compact"/>
              <w:spacing w:after="0" w:before="0"/>
            </w:pPr>
            <w:r>
              <w:rPr>
                <w:sz w:val="16"/>
              </w:rPr>
              <w:t xml:space="preserve">3 (1 to 6)</w:t>
            </w:r>
          </w:p>
        </w:tc>
        <w:tc>
          <w:tcPr/>
          <w:p>
            <w:pPr>
              <w:pStyle w:val="Compact"/>
              <w:spacing w:after="0" w:before="0"/>
            </w:pPr>
            <w:r>
              <w:rPr>
                <w:sz w:val="16"/>
              </w:rPr>
              <w:t xml:space="preserve">kg CO2e/t</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A6</w:t>
            </w:r>
          </w:p>
        </w:tc>
        <w:tc>
          <w:tcPr/>
          <w:p>
            <w:pPr>
              <w:pStyle w:val="Compact"/>
              <w:spacing w:after="0" w:before="0"/>
            </w:pPr>
            <w:r>
              <w:rPr>
                <w:sz w:val="16"/>
              </w:rPr>
              <w:t xml:space="preserve">kappa</w:t>
            </w:r>
          </w:p>
        </w:tc>
        <w:tc>
          <w:tcPr/>
          <w:p>
            <w:pPr>
              <w:pStyle w:val="Compact"/>
              <w:spacing w:after="0" w:before="0"/>
            </w:pPr>
            <w:r>
              <w:rPr>
                <w:sz w:val="16"/>
              </w:rPr>
              <w:t xml:space="preserve">Share of food waste captured into the digester</w:t>
            </w:r>
          </w:p>
        </w:tc>
        <w:tc>
          <w:tcPr/>
          <w:p>
            <w:pPr>
              <w:pStyle w:val="Compact"/>
              <w:spacing w:after="0" w:before="0"/>
            </w:pPr>
            <w:r>
              <w:rPr>
                <w:sz w:val="16"/>
              </w:rPr>
              <w:t xml:space="preserve">0.7 (0.5 to 0.9)</w:t>
            </w:r>
          </w:p>
        </w:tc>
        <w:tc>
          <w:tcPr/>
          <w:p>
            <w:pPr>
              <w:pStyle w:val="Compact"/>
              <w:spacing w:after="0" w:before="0"/>
            </w:pPr>
            <w:r>
              <w:rPr>
                <w:sz w:val="16"/>
              </w:rPr>
              <w:t xml:space="preserve">-</w:t>
            </w:r>
          </w:p>
        </w:tc>
        <w:tc>
          <w:tcPr/>
          <w:p>
            <w:pPr>
              <w:pStyle w:val="Compact"/>
              <w:spacing w:after="0" w:before="0"/>
            </w:pPr>
            <w:r>
              <w:rPr>
                <w:sz w:val="16"/>
              </w:rPr>
              <w:t xml:space="preserve">Mayer et al. 2019</w:t>
            </w:r>
          </w:p>
        </w:tc>
        <w:tc>
          <w:tcPr/>
          <w:p>
            <w:pPr>
              <w:pStyle w:val="Compact"/>
              <w:spacing w:after="0" w:before="0"/>
            </w:pPr>
            <w:r>
              <w:rPr>
                <w:sz w:val="16"/>
              </w:rPr>
              <w:t xml:space="preserve">L</w:t>
            </w:r>
          </w:p>
        </w:tc>
      </w:tr>
      <w:tr>
        <w:tc>
          <w:tcPr/>
          <w:p>
            <w:pPr>
              <w:pStyle w:val="Compact"/>
              <w:spacing w:after="0" w:before="0"/>
            </w:pPr>
            <w:r>
              <w:rPr>
                <w:sz w:val="16"/>
              </w:rPr>
              <w:t xml:space="preserve">A7</w:t>
            </w:r>
          </w:p>
        </w:tc>
        <w:tc>
          <w:tcPr/>
          <w:p>
            <w:pPr>
              <w:pStyle w:val="Compact"/>
              <w:spacing w:after="0" w:before="0"/>
            </w:pPr>
            <w:r>
              <w:rPr>
                <w:sz w:val="16"/>
              </w:rPr>
              <w:t xml:space="preserve">vs_ts</w:t>
            </w:r>
          </w:p>
        </w:tc>
        <w:tc>
          <w:tcPr/>
          <w:p>
            <w:pPr>
              <w:pStyle w:val="Compact"/>
              <w:spacing w:after="0" w:before="0"/>
            </w:pPr>
            <w:r>
              <w:rPr>
                <w:sz w:val="16"/>
              </w:rPr>
              <w:t xml:space="preserve">Volatile solids / total solids of food waste</w:t>
            </w:r>
          </w:p>
        </w:tc>
        <w:tc>
          <w:tcPr/>
          <w:p>
            <w:pPr>
              <w:pStyle w:val="Compact"/>
              <w:spacing w:after="0" w:before="0"/>
            </w:pPr>
            <w:r>
              <w:rPr>
                <w:sz w:val="16"/>
              </w:rPr>
              <w:t xml:space="preserve">0.87 (0.8 to 0.92)</w:t>
            </w:r>
          </w:p>
        </w:tc>
        <w:tc>
          <w:tcPr/>
          <w:p>
            <w:pPr>
              <w:pStyle w:val="Compact"/>
              <w:spacing w:after="0" w:before="0"/>
            </w:pPr>
            <w:r>
              <w:rPr>
                <w:sz w:val="16"/>
              </w:rPr>
              <w:t xml:space="preserve">-</w:t>
            </w:r>
          </w:p>
        </w:tc>
        <w:tc>
          <w:tcPr/>
          <w:p>
            <w:pPr>
              <w:pStyle w:val="Compact"/>
              <w:spacing w:after="0" w:before="0"/>
            </w:pPr>
            <w:r>
              <w:rPr>
                <w:sz w:val="16"/>
              </w:rPr>
              <w:t xml:space="preserve">Zhang et al. 2007</w:t>
            </w:r>
          </w:p>
        </w:tc>
        <w:tc>
          <w:tcPr/>
          <w:p>
            <w:pPr>
              <w:pStyle w:val="Compact"/>
              <w:spacing w:after="0" w:before="0"/>
            </w:pPr>
            <w:r>
              <w:rPr>
                <w:sz w:val="16"/>
              </w:rPr>
              <w:t xml:space="preserve">L</w:t>
            </w:r>
          </w:p>
        </w:tc>
      </w:tr>
      <w:tr>
        <w:tc>
          <w:tcPr/>
          <w:p>
            <w:pPr>
              <w:pStyle w:val="Compact"/>
              <w:spacing w:after="0" w:before="0"/>
            </w:pPr>
            <w:r>
              <w:rPr>
                <w:sz w:val="16"/>
              </w:rPr>
              <w:t xml:space="preserve">A8</w:t>
            </w:r>
          </w:p>
        </w:tc>
        <w:tc>
          <w:tcPr/>
          <w:p>
            <w:pPr>
              <w:pStyle w:val="Compact"/>
              <w:spacing w:after="0" w:before="0"/>
            </w:pPr>
            <w:r>
              <w:rPr>
                <w:sz w:val="16"/>
              </w:rPr>
              <w:t xml:space="preserve">y_ch4</w:t>
            </w:r>
          </w:p>
        </w:tc>
        <w:tc>
          <w:tcPr/>
          <w:p>
            <w:pPr>
              <w:pStyle w:val="Compact"/>
              <w:spacing w:after="0" w:before="0"/>
            </w:pPr>
            <w:r>
              <w:rPr>
                <w:sz w:val="16"/>
              </w:rPr>
              <w:t xml:space="preserve">Methane yield of source-separated food waste realised in a digester (BMP-type parameter, not landfill DOCf)</w:t>
            </w:r>
          </w:p>
        </w:tc>
        <w:tc>
          <w:tcPr/>
          <w:p>
            <w:pPr>
              <w:pStyle w:val="Compact"/>
              <w:spacing w:after="0" w:before="0"/>
            </w:pPr>
            <w:r>
              <w:rPr>
                <w:sz w:val="16"/>
              </w:rPr>
              <w:t xml:space="preserve">0.36 (0.28 to 0.44)</w:t>
            </w:r>
          </w:p>
        </w:tc>
        <w:tc>
          <w:tcPr/>
          <w:p>
            <w:pPr>
              <w:pStyle w:val="Compact"/>
              <w:spacing w:after="0" w:before="0"/>
            </w:pPr>
            <w:r>
              <w:rPr>
                <w:sz w:val="16"/>
              </w:rPr>
              <w:t xml:space="preserve">Nm3 CH4/kg VS</w:t>
            </w:r>
          </w:p>
        </w:tc>
        <w:tc>
          <w:tcPr/>
          <w:p>
            <w:pPr>
              <w:pStyle w:val="Compact"/>
              <w:spacing w:after="0" w:before="0"/>
            </w:pPr>
            <w:r>
              <w:rPr>
                <w:sz w:val="16"/>
              </w:rPr>
              <w:t xml:space="preserve">Zhang et al. 2007: 348 mL/g VS after 10 d and 435 mL/g VS after 28 d in batch tests (abstract confirmed)</w:t>
            </w:r>
          </w:p>
        </w:tc>
        <w:tc>
          <w:tcPr/>
          <w:p>
            <w:pPr>
              <w:pStyle w:val="Compact"/>
              <w:spacing w:after="0" w:before="0"/>
            </w:pPr>
            <w:r>
              <w:rPr>
                <w:sz w:val="16"/>
              </w:rPr>
              <w:t xml:space="preserve">V</w:t>
            </w:r>
          </w:p>
        </w:tc>
      </w:tr>
      <w:tr>
        <w:tc>
          <w:tcPr/>
          <w:p>
            <w:pPr>
              <w:pStyle w:val="Compact"/>
              <w:spacing w:after="0" w:before="0"/>
            </w:pPr>
            <w:r>
              <w:rPr>
                <w:sz w:val="16"/>
              </w:rPr>
              <w:t xml:space="preserve">A9</w:t>
            </w:r>
          </w:p>
        </w:tc>
        <w:tc>
          <w:tcPr/>
          <w:p>
            <w:pPr>
              <w:pStyle w:val="Compact"/>
              <w:spacing w:after="0" w:before="0"/>
            </w:pPr>
            <w:r>
              <w:rPr>
                <w:sz w:val="16"/>
              </w:rPr>
              <w:t xml:space="preserve">eta_chp</w:t>
            </w:r>
          </w:p>
        </w:tc>
        <w:tc>
          <w:tcPr/>
          <w:p>
            <w:pPr>
              <w:pStyle w:val="Compact"/>
              <w:spacing w:after="0" w:before="0"/>
            </w:pPr>
            <w:r>
              <w:rPr>
                <w:sz w:val="16"/>
              </w:rPr>
              <w:t xml:space="preserve">Electrical efficiency of biogas engine</w:t>
            </w:r>
          </w:p>
        </w:tc>
        <w:tc>
          <w:tcPr/>
          <w:p>
            <w:pPr>
              <w:pStyle w:val="Compact"/>
              <w:spacing w:after="0" w:before="0"/>
            </w:pPr>
            <w:r>
              <w:rPr>
                <w:sz w:val="16"/>
              </w:rPr>
              <w:t xml:space="preserve">0.36 (0.32 to 0.4)</w:t>
            </w:r>
          </w:p>
        </w:tc>
        <w:tc>
          <w:tcPr/>
          <w:p>
            <w:pPr>
              <w:pStyle w:val="Compact"/>
              <w:spacing w:after="0" w:before="0"/>
            </w:pPr>
            <w:r>
              <w:rPr>
                <w:sz w:val="16"/>
              </w:rPr>
              <w:t xml:space="preserve">-</w:t>
            </w:r>
          </w:p>
        </w:tc>
        <w:tc>
          <w:tcPr/>
          <w:p>
            <w:pPr>
              <w:pStyle w:val="Compact"/>
              <w:spacing w:after="0" w:before="0"/>
            </w:pPr>
            <w:r>
              <w:rPr>
                <w:sz w:val="16"/>
              </w:rPr>
              <w:t xml:space="preserve">Mayer et al. 2019</w:t>
            </w:r>
          </w:p>
        </w:tc>
        <w:tc>
          <w:tcPr/>
          <w:p>
            <w:pPr>
              <w:pStyle w:val="Compact"/>
              <w:spacing w:after="0" w:before="0"/>
            </w:pPr>
            <w:r>
              <w:rPr>
                <w:sz w:val="16"/>
              </w:rPr>
              <w:t xml:space="preserve">L</w:t>
            </w:r>
          </w:p>
        </w:tc>
      </w:tr>
      <w:tr>
        <w:tc>
          <w:tcPr/>
          <w:p>
            <w:pPr>
              <w:pStyle w:val="Compact"/>
              <w:spacing w:after="0" w:before="0"/>
            </w:pPr>
            <w:r>
              <w:rPr>
                <w:sz w:val="16"/>
              </w:rPr>
              <w:t xml:space="preserve">A10</w:t>
            </w:r>
          </w:p>
        </w:tc>
        <w:tc>
          <w:tcPr/>
          <w:p>
            <w:pPr>
              <w:pStyle w:val="Compact"/>
              <w:spacing w:after="0" w:before="0"/>
            </w:pPr>
            <w:r>
              <w:rPr>
                <w:sz w:val="16"/>
              </w:rPr>
              <w:t xml:space="preserve">par_ad</w:t>
            </w:r>
          </w:p>
        </w:tc>
        <w:tc>
          <w:tcPr/>
          <w:p>
            <w:pPr>
              <w:pStyle w:val="Compact"/>
              <w:spacing w:after="0" w:before="0"/>
            </w:pPr>
            <w:r>
              <w:rPr>
                <w:sz w:val="16"/>
              </w:rPr>
              <w:t xml:space="preserve">Own electricity use (pulping, mixing, dewatering)</w:t>
            </w:r>
          </w:p>
        </w:tc>
        <w:tc>
          <w:tcPr/>
          <w:p>
            <w:pPr>
              <w:pStyle w:val="Compact"/>
              <w:spacing w:after="0" w:before="0"/>
            </w:pPr>
            <w:r>
              <w:rPr>
                <w:sz w:val="16"/>
              </w:rPr>
              <w:t xml:space="preserve">0.2 (0.1 to 0.3)</w:t>
            </w:r>
          </w:p>
        </w:tc>
        <w:tc>
          <w:tcPr/>
          <w:p>
            <w:pPr>
              <w:pStyle w:val="Compact"/>
              <w:spacing w:after="0" w:before="0"/>
            </w:pPr>
            <w:r>
              <w:rPr>
                <w:sz w:val="16"/>
              </w:rPr>
              <w:t xml:space="preserve">-</w:t>
            </w:r>
          </w:p>
        </w:tc>
        <w:tc>
          <w:tcPr/>
          <w:p>
            <w:pPr>
              <w:pStyle w:val="Compact"/>
              <w:spacing w:after="0" w:before="0"/>
            </w:pPr>
            <w:r>
              <w:rPr>
                <w:sz w:val="16"/>
              </w:rPr>
              <w:t xml:space="preserve">Mayer et al. 2019</w:t>
            </w:r>
          </w:p>
        </w:tc>
        <w:tc>
          <w:tcPr/>
          <w:p>
            <w:pPr>
              <w:pStyle w:val="Compact"/>
              <w:spacing w:after="0" w:before="0"/>
            </w:pPr>
            <w:r>
              <w:rPr>
                <w:sz w:val="16"/>
              </w:rPr>
              <w:t xml:space="preserve">L</w:t>
            </w:r>
          </w:p>
        </w:tc>
      </w:tr>
      <w:tr>
        <w:tc>
          <w:tcPr/>
          <w:p>
            <w:pPr>
              <w:pStyle w:val="Compact"/>
              <w:spacing w:after="0" w:before="0"/>
            </w:pPr>
            <w:r>
              <w:rPr>
                <w:sz w:val="16"/>
              </w:rPr>
              <w:t xml:space="preserve">A11</w:t>
            </w:r>
          </w:p>
        </w:tc>
        <w:tc>
          <w:tcPr/>
          <w:p>
            <w:pPr>
              <w:pStyle w:val="Compact"/>
              <w:spacing w:after="0" w:before="0"/>
            </w:pPr>
            <w:r>
              <w:rPr>
                <w:sz w:val="16"/>
              </w:rPr>
              <w:t xml:space="preserve">fug_ad</w:t>
            </w:r>
          </w:p>
        </w:tc>
        <w:tc>
          <w:tcPr/>
          <w:p>
            <w:pPr>
              <w:pStyle w:val="Compact"/>
              <w:spacing w:after="0" w:before="0"/>
            </w:pPr>
            <w:r>
              <w:rPr>
                <w:sz w:val="16"/>
              </w:rPr>
              <w:t xml:space="preserve">Fugitive methane from the biogas plant (share of methane produced)</w:t>
            </w:r>
          </w:p>
        </w:tc>
        <w:tc>
          <w:tcPr/>
          <w:p>
            <w:pPr>
              <w:pStyle w:val="Compact"/>
              <w:spacing w:after="0" w:before="0"/>
            </w:pPr>
            <w:r>
              <w:rPr>
                <w:sz w:val="16"/>
              </w:rPr>
              <w:t xml:space="preserve">0.05 (0.01 to 0.1)</w:t>
            </w:r>
          </w:p>
        </w:tc>
        <w:tc>
          <w:tcPr/>
          <w:p>
            <w:pPr>
              <w:pStyle w:val="Compact"/>
              <w:spacing w:after="0" w:before="0"/>
            </w:pPr>
            <w:r>
              <w:rPr>
                <w:sz w:val="16"/>
              </w:rPr>
              <w:t xml:space="preserve">-</w:t>
            </w:r>
          </w:p>
        </w:tc>
        <w:tc>
          <w:tcPr/>
          <w:p>
            <w:pPr>
              <w:pStyle w:val="Compact"/>
              <w:spacing w:after="0" w:before="0"/>
            </w:pPr>
            <w:r>
              <w:rPr>
                <w:sz w:val="16"/>
              </w:rPr>
              <w:t xml:space="preserve">IPCC 2006 V5 Ch4 (unintentional leakage); Table 4.1 default 0.8 g CH4/kg wet waste (range 0-8) seen in search snippet: the 5% used here (about 2.8 kg/t feed) is conservative for AD</w:t>
            </w:r>
          </w:p>
        </w:tc>
        <w:tc>
          <w:tcPr/>
          <w:p>
            <w:pPr>
              <w:pStyle w:val="Compact"/>
              <w:spacing w:after="0" w:before="0"/>
            </w:pPr>
            <w:r>
              <w:rPr>
                <w:sz w:val="16"/>
              </w:rPr>
              <w:t xml:space="preserve">L</w:t>
            </w:r>
          </w:p>
        </w:tc>
      </w:tr>
      <w:tr>
        <w:tc>
          <w:tcPr/>
          <w:p>
            <w:pPr>
              <w:pStyle w:val="Compact"/>
              <w:spacing w:after="0" w:before="0"/>
            </w:pPr>
            <w:r>
              <w:rPr>
                <w:sz w:val="16"/>
              </w:rPr>
              <w:t xml:space="preserve">A12</w:t>
            </w:r>
          </w:p>
        </w:tc>
        <w:tc>
          <w:tcPr/>
          <w:p>
            <w:pPr>
              <w:pStyle w:val="Compact"/>
              <w:spacing w:after="0" w:before="0"/>
            </w:pPr>
            <w:r>
              <w:rPr>
                <w:sz w:val="16"/>
              </w:rPr>
              <w:t xml:space="preserve">anc_ad</w:t>
            </w:r>
          </w:p>
        </w:tc>
        <w:tc>
          <w:tcPr/>
          <w:p>
            <w:pPr>
              <w:pStyle w:val="Compact"/>
              <w:spacing w:after="0" w:before="0"/>
            </w:pPr>
            <w:r>
              <w:rPr>
                <w:sz w:val="16"/>
              </w:rPr>
              <w:t xml:space="preserve">Diesel for loaders at the AD plant (per t feed)</w:t>
            </w:r>
          </w:p>
        </w:tc>
        <w:tc>
          <w:tcPr/>
          <w:p>
            <w:pPr>
              <w:pStyle w:val="Compact"/>
              <w:spacing w:after="0" w:before="0"/>
            </w:pPr>
            <w:r>
              <w:rPr>
                <w:sz w:val="16"/>
              </w:rPr>
              <w:t xml:space="preserve">3 (1 to 6)</w:t>
            </w:r>
          </w:p>
        </w:tc>
        <w:tc>
          <w:tcPr/>
          <w:p>
            <w:pPr>
              <w:pStyle w:val="Compact"/>
              <w:spacing w:after="0" w:before="0"/>
            </w:pPr>
            <w:r>
              <w:rPr>
                <w:sz w:val="16"/>
              </w:rPr>
              <w:t xml:space="preserve">kg CO2e/t</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A13</w:t>
            </w:r>
          </w:p>
        </w:tc>
        <w:tc>
          <w:tcPr/>
          <w:p>
            <w:pPr>
              <w:pStyle w:val="Compact"/>
              <w:spacing w:after="0" w:before="0"/>
            </w:pPr>
            <w:r>
              <w:rPr>
                <w:sz w:val="16"/>
              </w:rPr>
              <w:t xml:space="preserve">pre</w:t>
            </w:r>
          </w:p>
        </w:tc>
        <w:tc>
          <w:tcPr/>
          <w:p>
            <w:pPr>
              <w:pStyle w:val="Compact"/>
              <w:spacing w:after="0" w:before="0"/>
            </w:pPr>
            <w:r>
              <w:rPr>
                <w:sz w:val="16"/>
              </w:rPr>
              <w:t xml:space="preserve">Front-end separation of food from mixed waste: share of RDF-line cost and electricity</w:t>
            </w:r>
          </w:p>
        </w:tc>
        <w:tc>
          <w:tcPr/>
          <w:p>
            <w:pPr>
              <w:pStyle w:val="Compact"/>
              <w:spacing w:after="0" w:before="0"/>
            </w:pPr>
            <w:r>
              <w:rPr>
                <w:sz w:val="16"/>
              </w:rPr>
              <w:t xml:space="preserve">0.4 (0.25 to 0.6)</w:t>
            </w:r>
          </w:p>
        </w:tc>
        <w:tc>
          <w:tcPr/>
          <w:p>
            <w:pPr>
              <w:pStyle w:val="Compact"/>
              <w:spacing w:after="0" w:before="0"/>
            </w:pPr>
            <w:r>
              <w:rPr>
                <w:sz w:val="16"/>
              </w:rPr>
              <w:t xml:space="preserve">-</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A14</w:t>
            </w:r>
          </w:p>
        </w:tc>
        <w:tc>
          <w:tcPr/>
          <w:p>
            <w:pPr>
              <w:pStyle w:val="Compact"/>
              <w:spacing w:after="0" w:before="0"/>
            </w:pPr>
            <w:r>
              <w:rPr>
                <w:sz w:val="16"/>
              </w:rPr>
              <w:t xml:space="preserve">dig</w:t>
            </w:r>
          </w:p>
        </w:tc>
        <w:tc>
          <w:tcPr/>
          <w:p>
            <w:pPr>
              <w:pStyle w:val="Compact"/>
              <w:spacing w:after="0" w:before="0"/>
            </w:pPr>
            <w:r>
              <w:rPr>
                <w:sz w:val="16"/>
              </w:rPr>
              <w:t xml:space="preserve">Dewatered digestate sent to the residue landfill</w:t>
            </w:r>
          </w:p>
        </w:tc>
        <w:tc>
          <w:tcPr/>
          <w:p>
            <w:pPr>
              <w:pStyle w:val="Compact"/>
              <w:spacing w:after="0" w:before="0"/>
            </w:pPr>
            <w:r>
              <w:rPr>
                <w:sz w:val="16"/>
              </w:rPr>
              <w:t xml:space="preserve">0.2 (0.1 to 0.35)</w:t>
            </w:r>
          </w:p>
        </w:tc>
        <w:tc>
          <w:tcPr/>
          <w:p>
            <w:pPr>
              <w:pStyle w:val="Compact"/>
              <w:spacing w:after="0" w:before="0"/>
            </w:pPr>
            <w:r>
              <w:rPr>
                <w:sz w:val="16"/>
              </w:rPr>
              <w:t xml:space="preserve">t/t feed</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P6</w:t>
            </w:r>
          </w:p>
        </w:tc>
        <w:tc>
          <w:tcPr/>
          <w:p>
            <w:pPr>
              <w:pStyle w:val="Compact"/>
              <w:spacing w:after="0" w:before="0"/>
            </w:pPr>
            <w:r>
              <w:rPr>
                <w:sz w:val="16"/>
              </w:rPr>
              <w:t xml:space="preserve">r_phb</w:t>
            </w:r>
          </w:p>
        </w:tc>
        <w:tc>
          <w:tcPr/>
          <w:p>
            <w:pPr>
              <w:pStyle w:val="Compact"/>
              <w:spacing w:after="0" w:before="0"/>
            </w:pPr>
            <w:r>
              <w:rPr>
                <w:sz w:val="16"/>
              </w:rPr>
              <w:t xml:space="preserve">Methane per tonne PHB (1.79 as carbon + 0.52 for process energy)</w:t>
            </w:r>
          </w:p>
        </w:tc>
        <w:tc>
          <w:tcPr/>
          <w:p>
            <w:pPr>
              <w:pStyle w:val="Compact"/>
              <w:spacing w:after="0" w:before="0"/>
            </w:pPr>
            <w:r>
              <w:rPr>
                <w:sz w:val="16"/>
              </w:rPr>
              <w:t xml:space="preserve">2.3 (2 to 2.8)</w:t>
            </w:r>
          </w:p>
        </w:tc>
        <w:tc>
          <w:tcPr/>
          <w:p>
            <w:pPr>
              <w:pStyle w:val="Compact"/>
              <w:spacing w:after="0" w:before="0"/>
            </w:pPr>
            <w:r>
              <w:rPr>
                <w:sz w:val="16"/>
              </w:rPr>
              <w:t xml:space="preserve">t CH4/t PHB</w:t>
            </w:r>
          </w:p>
        </w:tc>
        <w:tc>
          <w:tcPr/>
          <w:p>
            <w:pPr>
              <w:pStyle w:val="Compact"/>
              <w:spacing w:after="0" w:before="0"/>
            </w:pPr>
            <w:r>
              <w:rPr>
                <w:sz w:val="16"/>
              </w:rPr>
              <w:t xml:space="preserve">Chidambarampadmavathy et al. 2017</w:t>
            </w:r>
          </w:p>
        </w:tc>
        <w:tc>
          <w:tcPr/>
          <w:p>
            <w:pPr>
              <w:pStyle w:val="Compact"/>
              <w:spacing w:after="0" w:before="0"/>
            </w:pPr>
            <w:r>
              <w:rPr>
                <w:sz w:val="16"/>
              </w:rPr>
              <w:t xml:space="preserve">L</w:t>
            </w:r>
          </w:p>
        </w:tc>
      </w:tr>
      <w:tr>
        <w:tc>
          <w:tcPr/>
          <w:p>
            <w:pPr>
              <w:pStyle w:val="Compact"/>
              <w:spacing w:after="0" w:before="0"/>
            </w:pPr>
            <w:r>
              <w:rPr>
                <w:sz w:val="16"/>
              </w:rPr>
              <w:t xml:space="preserve">P7</w:t>
            </w:r>
          </w:p>
        </w:tc>
        <w:tc>
          <w:tcPr/>
          <w:p>
            <w:pPr>
              <w:pStyle w:val="Compact"/>
              <w:spacing w:after="0" w:before="0"/>
            </w:pPr>
            <w:r>
              <w:rPr>
                <w:sz w:val="16"/>
              </w:rPr>
              <w:t xml:space="preserve">ef_phb</w:t>
            </w:r>
          </w:p>
        </w:tc>
        <w:tc>
          <w:tcPr/>
          <w:p>
            <w:pPr>
              <w:pStyle w:val="Compact"/>
              <w:spacing w:after="0" w:before="0"/>
            </w:pPr>
            <w:r>
              <w:rPr>
                <w:sz w:val="16"/>
              </w:rPr>
              <w:t xml:space="preserve">Nutrients and extraction chemicals</w:t>
            </w:r>
          </w:p>
        </w:tc>
        <w:tc>
          <w:tcPr/>
          <w:p>
            <w:pPr>
              <w:pStyle w:val="Compact"/>
              <w:spacing w:after="0" w:before="0"/>
            </w:pPr>
            <w:r>
              <w:rPr>
                <w:sz w:val="16"/>
              </w:rPr>
              <w:t xml:space="preserve">0.5 (0 to 1.5)</w:t>
            </w:r>
          </w:p>
        </w:tc>
        <w:tc>
          <w:tcPr/>
          <w:p>
            <w:pPr>
              <w:pStyle w:val="Compact"/>
              <w:spacing w:after="0" w:before="0"/>
            </w:pPr>
            <w:r>
              <w:rPr>
                <w:sz w:val="16"/>
              </w:rPr>
              <w:t xml:space="preserve">kg CO2e/kg</w:t>
            </w:r>
          </w:p>
        </w:tc>
        <w:tc>
          <w:tcPr/>
          <w:p>
            <w:pPr>
              <w:pStyle w:val="Compact"/>
              <w:spacing w:after="0" w:before="0"/>
            </w:pPr>
            <w:r>
              <w:rPr>
                <w:sz w:val="16"/>
              </w:rPr>
              <w:t xml:space="preserve">Rostkowski et al. 2012</w:t>
            </w:r>
          </w:p>
        </w:tc>
        <w:tc>
          <w:tcPr/>
          <w:p>
            <w:pPr>
              <w:pStyle w:val="Compact"/>
              <w:spacing w:after="0" w:before="0"/>
            </w:pPr>
            <w:r>
              <w:rPr>
                <w:sz w:val="16"/>
              </w:rPr>
              <w:t xml:space="preserve">L</w:t>
            </w:r>
          </w:p>
        </w:tc>
      </w:tr>
      <w:tr>
        <w:tc>
          <w:tcPr/>
          <w:p>
            <w:pPr>
              <w:pStyle w:val="Compact"/>
              <w:spacing w:after="0" w:before="0"/>
            </w:pPr>
            <w:r>
              <w:rPr>
                <w:sz w:val="16"/>
              </w:rPr>
              <w:t xml:space="preserve">P8</w:t>
            </w:r>
          </w:p>
        </w:tc>
        <w:tc>
          <w:tcPr/>
          <w:p>
            <w:pPr>
              <w:pStyle w:val="Compact"/>
              <w:spacing w:after="0" w:before="0"/>
            </w:pPr>
            <w:r>
              <w:rPr>
                <w:sz w:val="16"/>
              </w:rPr>
              <w:t xml:space="preserve">ef_pp</w:t>
            </w:r>
          </w:p>
        </w:tc>
        <w:tc>
          <w:tcPr/>
          <w:p>
            <w:pPr>
              <w:pStyle w:val="Compact"/>
              <w:spacing w:after="0" w:before="0"/>
            </w:pPr>
            <w:r>
              <w:rPr>
                <w:sz w:val="16"/>
              </w:rPr>
              <w:t xml:space="preserve">Cradle-to-gate footprint of displaced polypropylene</w:t>
            </w:r>
          </w:p>
        </w:tc>
        <w:tc>
          <w:tcPr/>
          <w:p>
            <w:pPr>
              <w:pStyle w:val="Compact"/>
              <w:spacing w:after="0" w:before="0"/>
            </w:pPr>
            <w:r>
              <w:rPr>
                <w:sz w:val="16"/>
              </w:rPr>
              <w:t xml:space="preserve">1.9 (1.6 to 3.4)</w:t>
            </w:r>
          </w:p>
        </w:tc>
        <w:tc>
          <w:tcPr/>
          <w:p>
            <w:pPr>
              <w:pStyle w:val="Compact"/>
              <w:spacing w:after="0" w:before="0"/>
            </w:pPr>
            <w:r>
              <w:rPr>
                <w:sz w:val="16"/>
              </w:rPr>
              <w:t xml:space="preserve">kg CO2e/kg</w:t>
            </w:r>
          </w:p>
        </w:tc>
        <w:tc>
          <w:tcPr/>
          <w:p>
            <w:pPr>
              <w:pStyle w:val="Compact"/>
              <w:spacing w:after="0" w:before="0"/>
            </w:pPr>
            <w:r>
              <w:rPr>
                <w:sz w:val="16"/>
              </w:rPr>
              <w:t xml:space="preserve">PlasticsEurope; Chidambarampadmavathy et al. 2017</w:t>
            </w:r>
          </w:p>
        </w:tc>
        <w:tc>
          <w:tcPr/>
          <w:p>
            <w:pPr>
              <w:pStyle w:val="Compact"/>
              <w:spacing w:after="0" w:before="0"/>
            </w:pPr>
            <w:r>
              <w:rPr>
                <w:sz w:val="16"/>
              </w:rPr>
              <w:t xml:space="preserve">L</w:t>
            </w:r>
          </w:p>
        </w:tc>
      </w:tr>
      <w:tr>
        <w:tc>
          <w:tcPr/>
          <w:p>
            <w:pPr>
              <w:pStyle w:val="Compact"/>
              <w:spacing w:after="0" w:before="0"/>
            </w:pPr>
            <w:r>
              <w:rPr>
                <w:sz w:val="16"/>
              </w:rPr>
              <w:t xml:space="preserve">P9</w:t>
            </w:r>
          </w:p>
        </w:tc>
        <w:tc>
          <w:tcPr/>
          <w:p>
            <w:pPr>
              <w:pStyle w:val="Compact"/>
              <w:spacing w:after="0" w:before="0"/>
            </w:pPr>
            <w:r>
              <w:rPr>
                <w:sz w:val="16"/>
              </w:rPr>
              <w:t xml:space="preserve">sub_pp</w:t>
            </w:r>
          </w:p>
        </w:tc>
        <w:tc>
          <w:tcPr/>
          <w:p>
            <w:pPr>
              <w:pStyle w:val="Compact"/>
              <w:spacing w:after="0" w:before="0"/>
            </w:pPr>
            <w:r>
              <w:rPr>
                <w:sz w:val="16"/>
              </w:rPr>
              <w:t xml:space="preserve">kg PP displaced per kg PHB</w:t>
            </w:r>
          </w:p>
        </w:tc>
        <w:tc>
          <w:tcPr/>
          <w:p>
            <w:pPr>
              <w:pStyle w:val="Compact"/>
              <w:spacing w:after="0" w:before="0"/>
            </w:pPr>
            <w:r>
              <w:rPr>
                <w:sz w:val="16"/>
              </w:rPr>
              <w:t xml:space="preserve">1 (0.7 to 1)</w:t>
            </w:r>
          </w:p>
        </w:tc>
        <w:tc>
          <w:tcPr/>
          <w:p>
            <w:pPr>
              <w:pStyle w:val="Compact"/>
              <w:spacing w:after="0" w:before="0"/>
            </w:pPr>
            <w:r>
              <w:rPr>
                <w:sz w:val="16"/>
              </w:rPr>
              <w:t xml:space="preserve">kg/kg</w:t>
            </w:r>
          </w:p>
        </w:tc>
        <w:tc>
          <w:tcPr/>
          <w:p>
            <w:pPr>
              <w:pStyle w:val="Compact"/>
              <w:spacing w:after="0" w:before="0"/>
            </w:pPr>
            <w:r>
              <w:rPr>
                <w:sz w:val="16"/>
              </w:rPr>
              <w:t xml:space="preserve">Chidambarampadmavathy et al. 2017</w:t>
            </w:r>
          </w:p>
        </w:tc>
        <w:tc>
          <w:tcPr/>
          <w:p>
            <w:pPr>
              <w:pStyle w:val="Compact"/>
              <w:spacing w:after="0" w:before="0"/>
            </w:pPr>
            <w:r>
              <w:rPr>
                <w:sz w:val="16"/>
              </w:rPr>
              <w:t xml:space="preserve">L</w:t>
            </w:r>
          </w:p>
        </w:tc>
      </w:tr>
      <w:tr>
        <w:tc>
          <w:tcPr/>
          <w:p>
            <w:pPr>
              <w:pStyle w:val="Compact"/>
              <w:spacing w:after="0" w:before="0"/>
            </w:pPr>
            <w:r>
              <w:rPr>
                <w:sz w:val="16"/>
              </w:rPr>
              <w:t xml:space="preserve">T7</w:t>
            </w:r>
          </w:p>
        </w:tc>
        <w:tc>
          <w:tcPr/>
          <w:p>
            <w:pPr>
              <w:pStyle w:val="Compact"/>
              <w:spacing w:after="0" w:before="0"/>
            </w:pPr>
            <w:r>
              <w:rPr>
                <w:sz w:val="16"/>
              </w:rPr>
              <w:t xml:space="preserve">r</w:t>
            </w:r>
          </w:p>
        </w:tc>
        <w:tc>
          <w:tcPr/>
          <w:p>
            <w:pPr>
              <w:pStyle w:val="Compact"/>
              <w:spacing w:after="0" w:before="0"/>
            </w:pPr>
            <w:r>
              <w:rPr>
                <w:sz w:val="16"/>
              </w:rPr>
              <w:t xml:space="preserve">Real discount rate, same for all pathways</w:t>
            </w:r>
          </w:p>
        </w:tc>
        <w:tc>
          <w:tcPr/>
          <w:p>
            <w:pPr>
              <w:pStyle w:val="Compact"/>
              <w:spacing w:after="0" w:before="0"/>
            </w:pPr>
            <w:r>
              <w:rPr>
                <w:sz w:val="16"/>
              </w:rPr>
              <w:t xml:space="preserve">0.1 (0.08 to 0.12)</w:t>
            </w:r>
          </w:p>
        </w:tc>
        <w:tc>
          <w:tcPr/>
          <w:p>
            <w:pPr>
              <w:pStyle w:val="Compact"/>
              <w:spacing w:after="0" w:before="0"/>
            </w:pPr>
            <w:r>
              <w:rPr>
                <w:sz w:val="16"/>
              </w:rPr>
              <w:t xml:space="preserve">1/yr</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T8</w:t>
            </w:r>
          </w:p>
        </w:tc>
        <w:tc>
          <w:tcPr/>
          <w:p>
            <w:pPr>
              <w:pStyle w:val="Compact"/>
              <w:spacing w:after="0" w:before="0"/>
            </w:pPr>
            <w:r>
              <w:rPr>
                <w:sz w:val="16"/>
              </w:rPr>
              <w:t xml:space="preserve">n</w:t>
            </w:r>
          </w:p>
        </w:tc>
        <w:tc>
          <w:tcPr/>
          <w:p>
            <w:pPr>
              <w:pStyle w:val="Compact"/>
              <w:spacing w:after="0" w:before="0"/>
            </w:pPr>
            <w:r>
              <w:rPr>
                <w:sz w:val="16"/>
              </w:rPr>
              <w:t xml:space="preserve">Economic lifetime, same for all pathways</w:t>
            </w:r>
          </w:p>
        </w:tc>
        <w:tc>
          <w:tcPr/>
          <w:p>
            <w:pPr>
              <w:pStyle w:val="Compact"/>
              <w:spacing w:after="0" w:before="0"/>
            </w:pPr>
            <w:r>
              <w:rPr>
                <w:sz w:val="16"/>
              </w:rPr>
              <w:t xml:space="preserve">20 (15 to 30)</w:t>
            </w:r>
          </w:p>
        </w:tc>
        <w:tc>
          <w:tcPr/>
          <w:p>
            <w:pPr>
              <w:pStyle w:val="Compact"/>
              <w:spacing w:after="0" w:before="0"/>
            </w:pPr>
            <w:r>
              <w:rPr>
                <w:sz w:val="16"/>
              </w:rPr>
              <w:t xml:space="preserve">yr</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T9</w:t>
            </w:r>
          </w:p>
        </w:tc>
        <w:tc>
          <w:tcPr/>
          <w:p>
            <w:pPr>
              <w:pStyle w:val="Compact"/>
              <w:spacing w:after="0" w:before="0"/>
            </w:pPr>
            <w:r>
              <w:rPr>
                <w:sz w:val="16"/>
              </w:rPr>
              <w:t xml:space="preserve">b</w:t>
            </w:r>
          </w:p>
        </w:tc>
        <w:tc>
          <w:tcPr/>
          <w:p>
            <w:pPr>
              <w:pStyle w:val="Compact"/>
              <w:spacing w:after="0" w:before="0"/>
            </w:pPr>
            <w:r>
              <w:rPr>
                <w:sz w:val="16"/>
              </w:rPr>
              <w:t xml:space="preserve">Capacity exponent for CAPEX scaling, same for all units</w:t>
            </w:r>
          </w:p>
        </w:tc>
        <w:tc>
          <w:tcPr/>
          <w:p>
            <w:pPr>
              <w:pStyle w:val="Compact"/>
              <w:spacing w:after="0" w:before="0"/>
            </w:pPr>
            <w:r>
              <w:rPr>
                <w:sz w:val="16"/>
              </w:rPr>
              <w:t xml:space="preserve">0.7 (0.6 to 0.85)</w:t>
            </w:r>
          </w:p>
        </w:tc>
        <w:tc>
          <w:tcPr/>
          <w:p>
            <w:pPr>
              <w:pStyle w:val="Compact"/>
              <w:spacing w:after="0" w:before="0"/>
            </w:pPr>
            <w:r>
              <w:rPr>
                <w:sz w:val="16"/>
              </w:rPr>
              <w:t xml:space="preserve">-</w:t>
            </w:r>
          </w:p>
        </w:tc>
        <w:tc>
          <w:tcPr/>
          <w:p>
            <w:pPr>
              <w:pStyle w:val="Compact"/>
              <w:spacing w:after="0" w:before="0"/>
            </w:pPr>
            <w:r>
              <w:rPr>
                <w:sz w:val="16"/>
              </w:rPr>
              <w:t xml:space="preserve">Tsilemou &amp; Panagiotakopoulos 2006</w:t>
            </w:r>
          </w:p>
        </w:tc>
        <w:tc>
          <w:tcPr/>
          <w:p>
            <w:pPr>
              <w:pStyle w:val="Compact"/>
              <w:spacing w:after="0" w:before="0"/>
            </w:pPr>
            <w:r>
              <w:rPr>
                <w:sz w:val="16"/>
              </w:rPr>
              <w:t xml:space="preserve">L</w:t>
            </w:r>
          </w:p>
        </w:tc>
      </w:tr>
      <w:tr>
        <w:tc>
          <w:tcPr/>
          <w:p>
            <w:pPr>
              <w:pStyle w:val="Compact"/>
              <w:spacing w:after="0" w:before="0"/>
            </w:pPr>
            <w:r>
              <w:rPr>
                <w:sz w:val="16"/>
              </w:rPr>
              <w:t xml:space="preserve">T10</w:t>
            </w:r>
          </w:p>
        </w:tc>
        <w:tc>
          <w:tcPr/>
          <w:p>
            <w:pPr>
              <w:pStyle w:val="Compact"/>
              <w:spacing w:after="0" w:before="0"/>
            </w:pPr>
            <w:r>
              <w:rPr>
                <w:sz w:val="16"/>
              </w:rPr>
              <w:t xml:space="preserve">K_wte</w:t>
            </w:r>
          </w:p>
        </w:tc>
        <w:tc>
          <w:tcPr/>
          <w:p>
            <w:pPr>
              <w:pStyle w:val="Compact"/>
              <w:spacing w:after="0" w:before="0"/>
            </w:pPr>
            <w:r>
              <w:rPr>
                <w:sz w:val="16"/>
              </w:rPr>
              <w:t xml:space="preserve">WtE CAPEX at reference capacity</w:t>
            </w:r>
          </w:p>
        </w:tc>
        <w:tc>
          <w:tcPr/>
          <w:p>
            <w:pPr>
              <w:pStyle w:val="Compact"/>
              <w:spacing w:after="0" w:before="0"/>
            </w:pPr>
            <w:r>
              <w:rPr>
                <w:sz w:val="16"/>
              </w:rPr>
              <w:t xml:space="preserve">120 M (100 M to 200 M)</w:t>
            </w:r>
          </w:p>
        </w:tc>
        <w:tc>
          <w:tcPr/>
          <w:p>
            <w:pPr>
              <w:pStyle w:val="Compact"/>
              <w:spacing w:after="0" w:before="0"/>
            </w:pPr>
            <w:r>
              <w:rPr>
                <w:sz w:val="16"/>
              </w:rPr>
              <w:t xml:space="preserve">USD</w:t>
            </w:r>
            <w:r>
              <w:rPr>
                <w:sz w:val="16"/>
              </w:rPr>
              <w:t xml:space="preserve"> </w:t>
            </w:r>
            <w:r>
              <w:rPr>
                <w:sz w:val="16"/>
              </w:rPr>
              <w:t xml:space="preserve">@1000</w:t>
            </w:r>
            <w:r>
              <w:rPr>
                <w:sz w:val="16"/>
              </w:rPr>
              <w:t xml:space="preserve"> </w:t>
            </w:r>
            <w:r>
              <w:rPr>
                <w:sz w:val="16"/>
              </w:rPr>
              <w:t xml:space="preserve">t/d</w:t>
            </w:r>
          </w:p>
        </w:tc>
        <w:tc>
          <w:tcPr/>
          <w:p>
            <w:pPr>
              <w:pStyle w:val="Compact"/>
              <w:spacing w:after="0" w:before="0"/>
            </w:pPr>
            <w:r>
              <w:rPr>
                <w:sz w:val="16"/>
              </w:rPr>
              <w:t xml:space="preserve">Azis et al. 2021: USD 102.2 M for 1,000 t/d; Yuliani et al. 2022: Rp 2.2 bn per t/d, about USD 135 M per 1,000 t/d (abstracts confirmed)</w:t>
            </w:r>
          </w:p>
        </w:tc>
        <w:tc>
          <w:tcPr/>
          <w:p>
            <w:pPr>
              <w:pStyle w:val="Compact"/>
              <w:spacing w:after="0" w:before="0"/>
            </w:pPr>
            <w:r>
              <w:rPr>
                <w:sz w:val="16"/>
              </w:rPr>
              <w:t xml:space="preserve">V</w:t>
            </w:r>
          </w:p>
        </w:tc>
      </w:tr>
      <w:tr>
        <w:tc>
          <w:tcPr/>
          <w:p>
            <w:pPr>
              <w:pStyle w:val="Compact"/>
              <w:spacing w:after="0" w:before="0"/>
            </w:pPr>
            <w:r>
              <w:rPr>
                <w:sz w:val="16"/>
              </w:rPr>
              <w:t xml:space="preserve">T11</w:t>
            </w:r>
          </w:p>
        </w:tc>
        <w:tc>
          <w:tcPr/>
          <w:p>
            <w:pPr>
              <w:pStyle w:val="Compact"/>
              <w:spacing w:after="0" w:before="0"/>
            </w:pPr>
            <w:r>
              <w:rPr>
                <w:sz w:val="16"/>
              </w:rPr>
              <w:t xml:space="preserve">o_wte</w:t>
            </w:r>
          </w:p>
        </w:tc>
        <w:tc>
          <w:tcPr/>
          <w:p>
            <w:pPr>
              <w:pStyle w:val="Compact"/>
              <w:spacing w:after="0" w:before="0"/>
            </w:pPr>
            <w:r>
              <w:rPr>
                <w:sz w:val="16"/>
              </w:rPr>
              <w:t xml:space="preserve">WtE O&amp;M</w:t>
            </w:r>
          </w:p>
        </w:tc>
        <w:tc>
          <w:tcPr/>
          <w:p>
            <w:pPr>
              <w:pStyle w:val="Compact"/>
              <w:spacing w:after="0" w:before="0"/>
            </w:pPr>
            <w:r>
              <w:rPr>
                <w:sz w:val="16"/>
              </w:rPr>
              <w:t xml:space="preserve">27 (21 to 37)</w:t>
            </w:r>
          </w:p>
        </w:tc>
        <w:tc>
          <w:tcPr/>
          <w:p>
            <w:pPr>
              <w:pStyle w:val="Compact"/>
              <w:spacing w:after="0" w:before="0"/>
            </w:pPr>
            <w:r>
              <w:rPr>
                <w:sz w:val="16"/>
              </w:rPr>
              <w:t xml:space="preserve">USD/t</w:t>
            </w:r>
          </w:p>
        </w:tc>
        <w:tc>
          <w:tcPr/>
          <w:p>
            <w:pPr>
              <w:pStyle w:val="Compact"/>
              <w:spacing w:after="0" w:before="0"/>
            </w:pPr>
            <w:r>
              <w:rPr>
                <w:sz w:val="16"/>
              </w:rPr>
              <w:t xml:space="preserve">Azis et al. 2021: USD 12.1 M/yr at 1,000 t/d (about 33 USD/t); Yuliani et al. 2022: Rp 167 M/yr per t/d (about 28 USD/t) (abstracts confirmed)</w:t>
            </w:r>
          </w:p>
        </w:tc>
        <w:tc>
          <w:tcPr/>
          <w:p>
            <w:pPr>
              <w:pStyle w:val="Compact"/>
              <w:spacing w:after="0" w:before="0"/>
            </w:pPr>
            <w:r>
              <w:rPr>
                <w:sz w:val="16"/>
              </w:rPr>
              <w:t xml:space="preserve">V</w:t>
            </w:r>
          </w:p>
        </w:tc>
      </w:tr>
      <w:tr>
        <w:tc>
          <w:tcPr/>
          <w:p>
            <w:pPr>
              <w:pStyle w:val="Compact"/>
              <w:spacing w:after="0" w:before="0"/>
            </w:pPr>
            <w:r>
              <w:rPr>
                <w:sz w:val="16"/>
              </w:rPr>
              <w:t xml:space="preserve">T12</w:t>
            </w:r>
          </w:p>
        </w:tc>
        <w:tc>
          <w:tcPr/>
          <w:p>
            <w:pPr>
              <w:pStyle w:val="Compact"/>
              <w:spacing w:after="0" w:before="0"/>
            </w:pPr>
            <w:r>
              <w:rPr>
                <w:sz w:val="16"/>
              </w:rPr>
              <w:t xml:space="preserve">K_rdf</w:t>
            </w:r>
          </w:p>
        </w:tc>
        <w:tc>
          <w:tcPr/>
          <w:p>
            <w:pPr>
              <w:pStyle w:val="Compact"/>
              <w:spacing w:after="0" w:before="0"/>
            </w:pPr>
            <w:r>
              <w:rPr>
                <w:sz w:val="16"/>
              </w:rPr>
              <w:t xml:space="preserve">RDF plant CAPEX at reference capacity</w:t>
            </w:r>
          </w:p>
        </w:tc>
        <w:tc>
          <w:tcPr/>
          <w:p>
            <w:pPr>
              <w:pStyle w:val="Compact"/>
              <w:spacing w:after="0" w:before="0"/>
            </w:pPr>
            <w:r>
              <w:rPr>
                <w:sz w:val="16"/>
              </w:rPr>
              <w:t xml:space="preserve">12.3 M (9 M to 16 M)</w:t>
            </w:r>
          </w:p>
        </w:tc>
        <w:tc>
          <w:tcPr/>
          <w:p>
            <w:pPr>
              <w:pStyle w:val="Compact"/>
              <w:spacing w:after="0" w:before="0"/>
            </w:pPr>
            <w:r>
              <w:rPr>
                <w:sz w:val="16"/>
              </w:rPr>
              <w:t xml:space="preserve">USD</w:t>
            </w:r>
            <w:r>
              <w:rPr>
                <w:sz w:val="16"/>
              </w:rPr>
              <w:t xml:space="preserve"> </w:t>
            </w:r>
            <w:r>
              <w:rPr>
                <w:sz w:val="16"/>
              </w:rPr>
              <w:t xml:space="preserve">@300</w:t>
            </w:r>
            <w:r>
              <w:rPr>
                <w:sz w:val="16"/>
              </w:rPr>
              <w:t xml:space="preserve"> </w:t>
            </w:r>
            <w:r>
              <w:rPr>
                <w:sz w:val="16"/>
              </w:rPr>
              <w:t xml:space="preserve">t/d</w:t>
            </w:r>
          </w:p>
        </w:tc>
        <w:tc>
          <w:tcPr/>
          <w:p>
            <w:pPr>
              <w:pStyle w:val="Compact"/>
              <w:spacing w:after="0" w:before="0"/>
            </w:pPr>
            <w:r>
              <w:rPr>
                <w:sz w:val="16"/>
              </w:rPr>
              <w:t xml:space="preserve">GIZ ERiC-DKTI 2023 (report exists; its figure not verified). Cross-check: Cilacap TPST/RDF Rp 81.2 bn for 120 t/d, scaled to 300 t/d with b = 0.7 = about USD 9.5 M (search snippet)</w:t>
            </w:r>
          </w:p>
        </w:tc>
        <w:tc>
          <w:tcPr/>
          <w:p>
            <w:pPr>
              <w:pStyle w:val="Compact"/>
              <w:spacing w:after="0" w:before="0"/>
            </w:pPr>
            <w:r>
              <w:rPr>
                <w:sz w:val="16"/>
              </w:rPr>
              <w:t xml:space="preserve">L</w:t>
            </w:r>
          </w:p>
        </w:tc>
      </w:tr>
      <w:tr>
        <w:tc>
          <w:tcPr/>
          <w:p>
            <w:pPr>
              <w:pStyle w:val="Compact"/>
              <w:spacing w:after="0" w:before="0"/>
            </w:pPr>
            <w:r>
              <w:rPr>
                <w:sz w:val="16"/>
              </w:rPr>
              <w:t xml:space="preserve">T13</w:t>
            </w:r>
          </w:p>
        </w:tc>
        <w:tc>
          <w:tcPr/>
          <w:p>
            <w:pPr>
              <w:pStyle w:val="Compact"/>
              <w:spacing w:after="0" w:before="0"/>
            </w:pPr>
            <w:r>
              <w:rPr>
                <w:sz w:val="16"/>
              </w:rPr>
              <w:t xml:space="preserve">o_rdf</w:t>
            </w:r>
          </w:p>
        </w:tc>
        <w:tc>
          <w:tcPr/>
          <w:p>
            <w:pPr>
              <w:pStyle w:val="Compact"/>
              <w:spacing w:after="0" w:before="0"/>
            </w:pPr>
            <w:r>
              <w:rPr>
                <w:sz w:val="16"/>
              </w:rPr>
              <w:t xml:space="preserve">RDF plant O&amp;M</w:t>
            </w:r>
          </w:p>
        </w:tc>
        <w:tc>
          <w:tcPr/>
          <w:p>
            <w:pPr>
              <w:pStyle w:val="Compact"/>
              <w:spacing w:after="0" w:before="0"/>
            </w:pPr>
            <w:r>
              <w:rPr>
                <w:sz w:val="16"/>
              </w:rPr>
              <w:t xml:space="preserve">18.4 (12 to 24.5)</w:t>
            </w:r>
          </w:p>
        </w:tc>
        <w:tc>
          <w:tcPr/>
          <w:p>
            <w:pPr>
              <w:pStyle w:val="Compact"/>
              <w:spacing w:after="0" w:before="0"/>
            </w:pPr>
            <w:r>
              <w:rPr>
                <w:sz w:val="16"/>
              </w:rPr>
              <w:t xml:space="preserve">USD/t</w:t>
            </w:r>
          </w:p>
        </w:tc>
        <w:tc>
          <w:tcPr/>
          <w:p>
            <w:pPr>
              <w:pStyle w:val="Compact"/>
              <w:spacing w:after="0" w:before="0"/>
            </w:pPr>
            <w:r>
              <w:rPr>
                <w:sz w:val="16"/>
              </w:rPr>
              <w:t xml:space="preserve">CORRECTED: Indonesian comparative data give Rp 300,000-400,000 per t processed (COSTING journal, search snippet) = 18.4-24.5 USD/t; low bound = previous central (12 USD/t)</w:t>
            </w:r>
          </w:p>
        </w:tc>
        <w:tc>
          <w:tcPr/>
          <w:p>
            <w:pPr>
              <w:pStyle w:val="Compact"/>
              <w:spacing w:after="0" w:before="0"/>
            </w:pPr>
            <w:r>
              <w:rPr>
                <w:sz w:val="16"/>
              </w:rPr>
              <w:t xml:space="preserve">L</w:t>
            </w:r>
          </w:p>
        </w:tc>
      </w:tr>
      <w:tr>
        <w:tc>
          <w:tcPr/>
          <w:p>
            <w:pPr>
              <w:pStyle w:val="Compact"/>
              <w:spacing w:after="0" w:before="0"/>
            </w:pPr>
            <w:r>
              <w:rPr>
                <w:sz w:val="16"/>
              </w:rPr>
              <w:t xml:space="preserve">T14</w:t>
            </w:r>
          </w:p>
        </w:tc>
        <w:tc>
          <w:tcPr/>
          <w:p>
            <w:pPr>
              <w:pStyle w:val="Compact"/>
              <w:spacing w:after="0" w:before="0"/>
            </w:pPr>
            <w:r>
              <w:rPr>
                <w:sz w:val="16"/>
              </w:rPr>
              <w:t xml:space="preserve">K_ad</w:t>
            </w:r>
          </w:p>
        </w:tc>
        <w:tc>
          <w:tcPr/>
          <w:p>
            <w:pPr>
              <w:pStyle w:val="Compact"/>
              <w:spacing w:after="0" w:before="0"/>
            </w:pPr>
            <w:r>
              <w:rPr>
                <w:sz w:val="16"/>
              </w:rPr>
              <w:t xml:space="preserve">AD plant CAPEX at reference feed capacity</w:t>
            </w:r>
          </w:p>
        </w:tc>
        <w:tc>
          <w:tcPr/>
          <w:p>
            <w:pPr>
              <w:pStyle w:val="Compact"/>
              <w:spacing w:after="0" w:before="0"/>
            </w:pPr>
            <w:r>
              <w:rPr>
                <w:sz w:val="16"/>
              </w:rPr>
              <w:t xml:space="preserve">7 M (4 M to 14 M)</w:t>
            </w:r>
          </w:p>
        </w:tc>
        <w:tc>
          <w:tcPr/>
          <w:p>
            <w:pPr>
              <w:pStyle w:val="Compact"/>
              <w:spacing w:after="0" w:before="0"/>
            </w:pPr>
            <w:r>
              <w:rPr>
                <w:sz w:val="16"/>
              </w:rPr>
              <w:t xml:space="preserve">USD</w:t>
            </w:r>
            <w:r>
              <w:rPr>
                <w:sz w:val="16"/>
              </w:rPr>
              <w:t xml:space="preserve"> </w:t>
            </w:r>
            <w:r>
              <w:rPr>
                <w:sz w:val="16"/>
              </w:rPr>
              <w:t xml:space="preserve">@100</w:t>
            </w:r>
            <w:r>
              <w:rPr>
                <w:sz w:val="16"/>
              </w:rPr>
              <w:t xml:space="preserve"> </w:t>
            </w:r>
            <w:r>
              <w:rPr>
                <w:sz w:val="16"/>
              </w:rPr>
              <w:t xml:space="preserve">t/d</w:t>
            </w:r>
          </w:p>
        </w:tc>
        <w:tc>
          <w:tcPr/>
          <w:p>
            <w:pPr>
              <w:pStyle w:val="Compact"/>
              <w:spacing w:after="0" w:before="0"/>
            </w:pPr>
            <w:r>
              <w:rPr>
                <w:sz w:val="16"/>
              </w:rPr>
              <w:t xml:space="preserve">GIZ 2017 in UNDP 2021; Aleluia &amp; Ferrao 2017</w:t>
            </w:r>
          </w:p>
        </w:tc>
        <w:tc>
          <w:tcPr/>
          <w:p>
            <w:pPr>
              <w:pStyle w:val="Compact"/>
              <w:spacing w:after="0" w:before="0"/>
            </w:pPr>
            <w:r>
              <w:rPr>
                <w:sz w:val="16"/>
              </w:rPr>
              <w:t xml:space="preserve">L</w:t>
            </w:r>
          </w:p>
        </w:tc>
      </w:tr>
      <w:tr>
        <w:tc>
          <w:tcPr/>
          <w:p>
            <w:pPr>
              <w:pStyle w:val="Compact"/>
              <w:spacing w:after="0" w:before="0"/>
            </w:pPr>
            <w:r>
              <w:rPr>
                <w:sz w:val="16"/>
              </w:rPr>
              <w:t xml:space="preserve">T15</w:t>
            </w:r>
          </w:p>
        </w:tc>
        <w:tc>
          <w:tcPr/>
          <w:p>
            <w:pPr>
              <w:pStyle w:val="Compact"/>
              <w:spacing w:after="0" w:before="0"/>
            </w:pPr>
            <w:r>
              <w:rPr>
                <w:sz w:val="16"/>
              </w:rPr>
              <w:t xml:space="preserve">o_ad</w:t>
            </w:r>
          </w:p>
        </w:tc>
        <w:tc>
          <w:tcPr/>
          <w:p>
            <w:pPr>
              <w:pStyle w:val="Compact"/>
              <w:spacing w:after="0" w:before="0"/>
            </w:pPr>
            <w:r>
              <w:rPr>
                <w:sz w:val="16"/>
              </w:rPr>
              <w:t xml:space="preserve">AD plant O&amp;M</w:t>
            </w:r>
          </w:p>
        </w:tc>
        <w:tc>
          <w:tcPr/>
          <w:p>
            <w:pPr>
              <w:pStyle w:val="Compact"/>
              <w:spacing w:after="0" w:before="0"/>
            </w:pPr>
            <w:r>
              <w:rPr>
                <w:sz w:val="16"/>
              </w:rPr>
              <w:t xml:space="preserve">14 (10.6 to 30)</w:t>
            </w:r>
          </w:p>
        </w:tc>
        <w:tc>
          <w:tcPr/>
          <w:p>
            <w:pPr>
              <w:pStyle w:val="Compact"/>
              <w:spacing w:after="0" w:before="0"/>
            </w:pPr>
            <w:r>
              <w:rPr>
                <w:sz w:val="16"/>
              </w:rPr>
              <w:t xml:space="preserve">USD/t feed</w:t>
            </w:r>
          </w:p>
        </w:tc>
        <w:tc>
          <w:tcPr/>
          <w:p>
            <w:pPr>
              <w:pStyle w:val="Compact"/>
              <w:spacing w:after="0" w:before="0"/>
            </w:pPr>
            <w:r>
              <w:rPr>
                <w:sz w:val="16"/>
              </w:rPr>
              <w:t xml:space="preserve">GIZ 2017 in UNDP 2021</w:t>
            </w:r>
          </w:p>
        </w:tc>
        <w:tc>
          <w:tcPr/>
          <w:p>
            <w:pPr>
              <w:pStyle w:val="Compact"/>
              <w:spacing w:after="0" w:before="0"/>
            </w:pPr>
            <w:r>
              <w:rPr>
                <w:sz w:val="16"/>
              </w:rPr>
              <w:t xml:space="preserve">L</w:t>
            </w:r>
          </w:p>
        </w:tc>
      </w:tr>
      <w:tr>
        <w:tc>
          <w:tcPr/>
          <w:p>
            <w:pPr>
              <w:pStyle w:val="Compact"/>
              <w:spacing w:after="0" w:before="0"/>
            </w:pPr>
            <w:r>
              <w:rPr>
                <w:sz w:val="16"/>
              </w:rPr>
              <w:t xml:space="preserve">T16</w:t>
            </w:r>
          </w:p>
        </w:tc>
        <w:tc>
          <w:tcPr/>
          <w:p>
            <w:pPr>
              <w:pStyle w:val="Compact"/>
              <w:spacing w:after="0" w:before="0"/>
            </w:pPr>
            <w:r>
              <w:rPr>
                <w:sz w:val="16"/>
              </w:rPr>
              <w:t xml:space="preserve">c_sl</w:t>
            </w:r>
          </w:p>
        </w:tc>
        <w:tc>
          <w:tcPr/>
          <w:p>
            <w:pPr>
              <w:pStyle w:val="Compact"/>
              <w:spacing w:after="0" w:before="0"/>
            </w:pPr>
            <w:r>
              <w:rPr>
                <w:sz w:val="16"/>
              </w:rPr>
              <w:t xml:space="preserve">Full cost of sanitary landfill with gas collection and flare</w:t>
            </w:r>
          </w:p>
        </w:tc>
        <w:tc>
          <w:tcPr/>
          <w:p>
            <w:pPr>
              <w:pStyle w:val="Compact"/>
              <w:spacing w:after="0" w:before="0"/>
            </w:pPr>
            <w:r>
              <w:rPr>
                <w:sz w:val="16"/>
              </w:rPr>
              <w:t xml:space="preserve">20 (9 to 30)</w:t>
            </w:r>
          </w:p>
        </w:tc>
        <w:tc>
          <w:tcPr/>
          <w:p>
            <w:pPr>
              <w:pStyle w:val="Compact"/>
              <w:spacing w:after="0" w:before="0"/>
            </w:pPr>
            <w:r>
              <w:rPr>
                <w:sz w:val="16"/>
              </w:rPr>
              <w:t xml:space="preserve">USD/t</w:t>
            </w:r>
            <w:r>
              <w:rPr>
                <w:sz w:val="16"/>
              </w:rPr>
              <w:t xml:space="preserve"> </w:t>
            </w:r>
            <w:r>
              <w:rPr>
                <w:sz w:val="16"/>
              </w:rPr>
              <w:t xml:space="preserve">@500</w:t>
            </w:r>
            <w:r>
              <w:rPr>
                <w:sz w:val="16"/>
              </w:rPr>
              <w:t xml:space="preserve"> </w:t>
            </w:r>
            <w:r>
              <w:rPr>
                <w:sz w:val="16"/>
              </w:rPr>
              <w:t xml:space="preserve">t/d</w:t>
            </w:r>
          </w:p>
        </w:tc>
        <w:tc>
          <w:tcPr/>
          <w:p>
            <w:pPr>
              <w:pStyle w:val="Compact"/>
              <w:spacing w:after="0" w:before="0"/>
            </w:pPr>
            <w:r>
              <w:rPr>
                <w:sz w:val="16"/>
              </w:rPr>
              <w:t xml:space="preserve">World Bank 2024 guidelines (figure not verified); Indonesia: controlled landfill about Rp 145,000/t (Kulon Progo 2025) and central-government standard Rp 400,000/t (BPK news, search snippet); Cointreau-Levine 2000: 8-15 USD/t for middle-income countries</w:t>
            </w:r>
          </w:p>
        </w:tc>
        <w:tc>
          <w:tcPr/>
          <w:p>
            <w:pPr>
              <w:pStyle w:val="Compact"/>
              <w:spacing w:after="0" w:before="0"/>
            </w:pPr>
            <w:r>
              <w:rPr>
                <w:sz w:val="16"/>
              </w:rPr>
              <w:t xml:space="preserve">L</w:t>
            </w:r>
          </w:p>
        </w:tc>
      </w:tr>
      <w:tr>
        <w:tc>
          <w:tcPr/>
          <w:p>
            <w:pPr>
              <w:pStyle w:val="Compact"/>
              <w:spacing w:after="0" w:before="0"/>
            </w:pPr>
            <w:r>
              <w:rPr>
                <w:sz w:val="16"/>
              </w:rPr>
              <w:t xml:space="preserve">T17</w:t>
            </w:r>
          </w:p>
        </w:tc>
        <w:tc>
          <w:tcPr/>
          <w:p>
            <w:pPr>
              <w:pStyle w:val="Compact"/>
              <w:spacing w:after="0" w:before="0"/>
            </w:pPr>
            <w:r>
              <w:rPr>
                <w:sz w:val="16"/>
              </w:rPr>
              <w:t xml:space="preserve">e_sl</w:t>
            </w:r>
          </w:p>
        </w:tc>
        <w:tc>
          <w:tcPr/>
          <w:p>
            <w:pPr>
              <w:pStyle w:val="Compact"/>
              <w:spacing w:after="0" w:before="0"/>
            </w:pPr>
            <w:r>
              <w:rPr>
                <w:sz w:val="16"/>
              </w:rPr>
              <w:t xml:space="preserve">Scale elasticity of landfill cost per tonne</w:t>
            </w:r>
          </w:p>
        </w:tc>
        <w:tc>
          <w:tcPr/>
          <w:p>
            <w:pPr>
              <w:pStyle w:val="Compact"/>
              <w:spacing w:after="0" w:before="0"/>
            </w:pPr>
            <w:r>
              <w:rPr>
                <w:sz w:val="16"/>
              </w:rPr>
              <w:t xml:space="preserve">0.3 (0.2 to 0.4)</w:t>
            </w:r>
          </w:p>
        </w:tc>
        <w:tc>
          <w:tcPr/>
          <w:p>
            <w:pPr>
              <w:pStyle w:val="Compact"/>
              <w:spacing w:after="0" w:before="0"/>
            </w:pPr>
            <w:r>
              <w:rPr>
                <w:sz w:val="16"/>
              </w:rPr>
              <w:t xml:space="preserve">-</w:t>
            </w:r>
          </w:p>
        </w:tc>
        <w:tc>
          <w:tcPr/>
          <w:p>
            <w:pPr>
              <w:pStyle w:val="Compact"/>
              <w:spacing w:after="0" w:before="0"/>
            </w:pPr>
            <w:r>
              <w:rPr>
                <w:sz w:val="16"/>
              </w:rPr>
              <w:t xml:space="preserve">Tsilemou &amp; Panagiotakopoulos 2006</w:t>
            </w:r>
          </w:p>
        </w:tc>
        <w:tc>
          <w:tcPr/>
          <w:p>
            <w:pPr>
              <w:pStyle w:val="Compact"/>
              <w:spacing w:after="0" w:before="0"/>
            </w:pPr>
            <w:r>
              <w:rPr>
                <w:sz w:val="16"/>
              </w:rPr>
              <w:t xml:space="preserve">L</w:t>
            </w:r>
          </w:p>
        </w:tc>
      </w:tr>
      <w:tr>
        <w:tc>
          <w:tcPr/>
          <w:p>
            <w:pPr>
              <w:pStyle w:val="Compact"/>
              <w:spacing w:after="0" w:before="0"/>
            </w:pPr>
            <w:r>
              <w:rPr>
                <w:sz w:val="16"/>
              </w:rPr>
              <w:t xml:space="preserve">T18</w:t>
            </w:r>
          </w:p>
        </w:tc>
        <w:tc>
          <w:tcPr/>
          <w:p>
            <w:pPr>
              <w:pStyle w:val="Compact"/>
              <w:spacing w:after="0" w:before="0"/>
            </w:pPr>
            <w:r>
              <w:rPr>
                <w:sz w:val="16"/>
              </w:rPr>
              <w:t xml:space="preserve">c_od</w:t>
            </w:r>
          </w:p>
        </w:tc>
        <w:tc>
          <w:tcPr/>
          <w:p>
            <w:pPr>
              <w:pStyle w:val="Compact"/>
              <w:spacing w:after="0" w:before="0"/>
            </w:pPr>
            <w:r>
              <w:rPr>
                <w:sz w:val="16"/>
              </w:rPr>
              <w:t xml:space="preserve">Cost of operating an open dump</w:t>
            </w:r>
          </w:p>
        </w:tc>
        <w:tc>
          <w:tcPr/>
          <w:p>
            <w:pPr>
              <w:pStyle w:val="Compact"/>
              <w:spacing w:after="0" w:before="0"/>
            </w:pPr>
            <w:r>
              <w:rPr>
                <w:sz w:val="16"/>
              </w:rPr>
              <w:t xml:space="preserve">4 (2 to 8)</w:t>
            </w:r>
          </w:p>
        </w:tc>
        <w:tc>
          <w:tcPr/>
          <w:p>
            <w:pPr>
              <w:pStyle w:val="Compact"/>
              <w:spacing w:after="0" w:before="0"/>
            </w:pPr>
            <w:r>
              <w:rPr>
                <w:sz w:val="16"/>
              </w:rPr>
              <w:t xml:space="preserve">USD/t</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T19</w:t>
            </w:r>
          </w:p>
        </w:tc>
        <w:tc>
          <w:tcPr/>
          <w:p>
            <w:pPr>
              <w:pStyle w:val="Compact"/>
              <w:spacing w:after="0" w:before="0"/>
            </w:pPr>
            <w:r>
              <w:rPr>
                <w:sz w:val="16"/>
              </w:rPr>
              <w:t xml:space="preserve">c_phb</w:t>
            </w:r>
          </w:p>
        </w:tc>
        <w:tc>
          <w:tcPr/>
          <w:p>
            <w:pPr>
              <w:pStyle w:val="Compact"/>
              <w:spacing w:after="0" w:before="0"/>
            </w:pPr>
            <w:r>
              <w:rPr>
                <w:sz w:val="16"/>
              </w:rPr>
              <w:t xml:space="preserve">PHB production cost excl. methane feedstock</w:t>
            </w:r>
          </w:p>
        </w:tc>
        <w:tc>
          <w:tcPr/>
          <w:p>
            <w:pPr>
              <w:pStyle w:val="Compact"/>
              <w:spacing w:after="0" w:before="0"/>
            </w:pPr>
            <w:r>
              <w:rPr>
                <w:sz w:val="16"/>
              </w:rPr>
              <w:t xml:space="preserve">6.8 (4.8 to 9.6)</w:t>
            </w:r>
          </w:p>
        </w:tc>
        <w:tc>
          <w:tcPr/>
          <w:p>
            <w:pPr>
              <w:pStyle w:val="Compact"/>
              <w:spacing w:after="0" w:before="0"/>
            </w:pPr>
            <w:r>
              <w:rPr>
                <w:sz w:val="16"/>
              </w:rPr>
              <w:t xml:space="preserve">USD/kg</w:t>
            </w:r>
            <w:r>
              <w:rPr>
                <w:sz w:val="16"/>
              </w:rPr>
              <w:t xml:space="preserve"> </w:t>
            </w:r>
            <w:r>
              <w:rPr>
                <w:sz w:val="16"/>
              </w:rPr>
              <w:t xml:space="preserve">@500</w:t>
            </w:r>
            <w:r>
              <w:rPr>
                <w:sz w:val="16"/>
              </w:rPr>
              <w:t xml:space="preserve"> </w:t>
            </w:r>
            <w:r>
              <w:rPr>
                <w:sz w:val="16"/>
              </w:rPr>
              <w:t xml:space="preserve">t/a</w:t>
            </w:r>
          </w:p>
        </w:tc>
        <w:tc>
          <w:tcPr/>
          <w:p>
            <w:pPr>
              <w:pStyle w:val="Compact"/>
              <w:spacing w:after="0" w:before="0"/>
            </w:pPr>
            <w:r>
              <w:rPr>
                <w:sz w:val="16"/>
              </w:rPr>
              <w:t xml:space="preserve">Listewnik et al. in Chidambarampadmavathy 2017; Levett et al. 2016</w:t>
            </w:r>
          </w:p>
        </w:tc>
        <w:tc>
          <w:tcPr/>
          <w:p>
            <w:pPr>
              <w:pStyle w:val="Compact"/>
              <w:spacing w:after="0" w:before="0"/>
            </w:pPr>
            <w:r>
              <w:rPr>
                <w:sz w:val="16"/>
              </w:rPr>
              <w:t xml:space="preserve">A</w:t>
            </w:r>
          </w:p>
        </w:tc>
      </w:tr>
      <w:tr>
        <w:tc>
          <w:tcPr/>
          <w:p>
            <w:pPr>
              <w:pStyle w:val="Compact"/>
              <w:spacing w:after="0" w:before="0"/>
            </w:pPr>
            <w:r>
              <w:rPr>
                <w:sz w:val="16"/>
              </w:rPr>
              <w:t xml:space="preserve">T20</w:t>
            </w:r>
          </w:p>
        </w:tc>
        <w:tc>
          <w:tcPr/>
          <w:p>
            <w:pPr>
              <w:pStyle w:val="Compact"/>
              <w:spacing w:after="0" w:before="0"/>
            </w:pPr>
            <w:r>
              <w:rPr>
                <w:sz w:val="16"/>
              </w:rPr>
              <w:t xml:space="preserve">e_phb</w:t>
            </w:r>
          </w:p>
        </w:tc>
        <w:tc>
          <w:tcPr/>
          <w:p>
            <w:pPr>
              <w:pStyle w:val="Compact"/>
              <w:spacing w:after="0" w:before="0"/>
            </w:pPr>
            <w:r>
              <w:rPr>
                <w:sz w:val="16"/>
              </w:rPr>
              <w:t xml:space="preserve">Scale elasticity of PHB unit cost</w:t>
            </w:r>
          </w:p>
        </w:tc>
        <w:tc>
          <w:tcPr/>
          <w:p>
            <w:pPr>
              <w:pStyle w:val="Compact"/>
              <w:spacing w:after="0" w:before="0"/>
            </w:pPr>
            <w:r>
              <w:rPr>
                <w:sz w:val="16"/>
              </w:rPr>
              <w:t xml:space="preserve">0.083 (0.05 to 0.15)</w:t>
            </w:r>
          </w:p>
        </w:tc>
        <w:tc>
          <w:tcPr/>
          <w:p>
            <w:pPr>
              <w:pStyle w:val="Compact"/>
              <w:spacing w:after="0" w:before="0"/>
            </w:pPr>
            <w:r>
              <w:rPr>
                <w:sz w:val="16"/>
              </w:rPr>
              <w:t xml:space="preserve">-</w:t>
            </w:r>
          </w:p>
        </w:tc>
        <w:tc>
          <w:tcPr/>
          <w:p>
            <w:pPr>
              <w:pStyle w:val="Compact"/>
              <w:spacing w:after="0" w:before="0"/>
            </w:pPr>
            <w:r>
              <w:rPr>
                <w:sz w:val="16"/>
              </w:rPr>
              <w:t xml:space="preserve">Levett et al. 2016</w:t>
            </w:r>
          </w:p>
        </w:tc>
        <w:tc>
          <w:tcPr/>
          <w:p>
            <w:pPr>
              <w:pStyle w:val="Compact"/>
              <w:spacing w:after="0" w:before="0"/>
            </w:pPr>
            <w:r>
              <w:rPr>
                <w:sz w:val="16"/>
              </w:rPr>
              <w:t xml:space="preserve">A</w:t>
            </w:r>
          </w:p>
        </w:tc>
      </w:tr>
      <w:tr>
        <w:tc>
          <w:tcPr/>
          <w:p>
            <w:pPr>
              <w:pStyle w:val="Compact"/>
              <w:spacing w:after="0" w:before="0"/>
            </w:pPr>
            <w:r>
              <w:rPr>
                <w:sz w:val="16"/>
              </w:rPr>
              <w:t xml:space="preserve">T21</w:t>
            </w:r>
          </w:p>
        </w:tc>
        <w:tc>
          <w:tcPr/>
          <w:p>
            <w:pPr>
              <w:pStyle w:val="Compact"/>
              <w:spacing w:after="0" w:before="0"/>
            </w:pPr>
            <w:r>
              <w:rPr>
                <w:sz w:val="16"/>
              </w:rPr>
              <w:t xml:space="preserve">p_el</w:t>
            </w:r>
          </w:p>
        </w:tc>
        <w:tc>
          <w:tcPr/>
          <w:p>
            <w:pPr>
              <w:pStyle w:val="Compact"/>
              <w:spacing w:after="0" w:before="0"/>
            </w:pPr>
            <w:r>
              <w:rPr>
                <w:sz w:val="16"/>
              </w:rPr>
              <w:t xml:space="preserve">Market value of electricity (grid generation cost)</w:t>
            </w:r>
          </w:p>
        </w:tc>
        <w:tc>
          <w:tcPr/>
          <w:p>
            <w:pPr>
              <w:pStyle w:val="Compact"/>
              <w:spacing w:after="0" w:before="0"/>
            </w:pPr>
            <w:r>
              <w:rPr>
                <w:sz w:val="16"/>
              </w:rPr>
              <w:t xml:space="preserve">0.07 (0.05 to 0.1)</w:t>
            </w:r>
          </w:p>
        </w:tc>
        <w:tc>
          <w:tcPr/>
          <w:p>
            <w:pPr>
              <w:pStyle w:val="Compact"/>
              <w:spacing w:after="0" w:before="0"/>
            </w:pPr>
            <w:r>
              <w:rPr>
                <w:sz w:val="16"/>
              </w:rPr>
              <w:t xml:space="preserve">USD/kWh</w:t>
            </w:r>
          </w:p>
        </w:tc>
        <w:tc>
          <w:tcPr/>
          <w:p>
            <w:pPr>
              <w:pStyle w:val="Compact"/>
              <w:spacing w:after="0" w:before="0"/>
            </w:pPr>
            <w:r>
              <w:rPr>
                <w:sz w:val="16"/>
              </w:rPr>
              <w:t xml:space="preserve">Kepmen ESDM 169/2021 (BPP; figure not verified); Zeng et al. 2024: current Indonesian electricity price 0.069 USD/kWh (abstract confirmed)</w:t>
            </w:r>
          </w:p>
        </w:tc>
        <w:tc>
          <w:tcPr/>
          <w:p>
            <w:pPr>
              <w:pStyle w:val="Compact"/>
              <w:spacing w:after="0" w:before="0"/>
            </w:pPr>
            <w:r>
              <w:rPr>
                <w:sz w:val="16"/>
              </w:rPr>
              <w:t xml:space="preserve">V</w:t>
            </w:r>
          </w:p>
        </w:tc>
      </w:tr>
      <w:tr>
        <w:tc>
          <w:tcPr/>
          <w:p>
            <w:pPr>
              <w:pStyle w:val="Compact"/>
              <w:spacing w:after="0" w:before="0"/>
            </w:pPr>
            <w:r>
              <w:rPr>
                <w:sz w:val="16"/>
              </w:rPr>
              <w:t xml:space="preserve">T22</w:t>
            </w:r>
          </w:p>
        </w:tc>
        <w:tc>
          <w:tcPr/>
          <w:p>
            <w:pPr>
              <w:pStyle w:val="Compact"/>
              <w:spacing w:after="0" w:before="0"/>
            </w:pPr>
            <w:r>
              <w:rPr>
                <w:sz w:val="16"/>
              </w:rPr>
              <w:t xml:space="preserve">p_rdf</w:t>
            </w:r>
          </w:p>
        </w:tc>
        <w:tc>
          <w:tcPr/>
          <w:p>
            <w:pPr>
              <w:pStyle w:val="Compact"/>
              <w:spacing w:after="0" w:before="0"/>
            </w:pPr>
            <w:r>
              <w:rPr>
                <w:sz w:val="16"/>
              </w:rPr>
              <w:t xml:space="preserve">Price of RDF at kiln gate</w:t>
            </w:r>
          </w:p>
        </w:tc>
        <w:tc>
          <w:tcPr/>
          <w:p>
            <w:pPr>
              <w:pStyle w:val="Compact"/>
              <w:spacing w:after="0" w:before="0"/>
            </w:pPr>
            <w:r>
              <w:rPr>
                <w:sz w:val="16"/>
              </w:rPr>
              <w:t xml:space="preserve">1.15 (0.58 to 1.34)</w:t>
            </w:r>
          </w:p>
        </w:tc>
        <w:tc>
          <w:tcPr/>
          <w:p>
            <w:pPr>
              <w:pStyle w:val="Compact"/>
              <w:spacing w:after="0" w:before="0"/>
            </w:pPr>
            <w:r>
              <w:rPr>
                <w:sz w:val="16"/>
              </w:rPr>
              <w:t xml:space="preserve">USD/GJ</w:t>
            </w:r>
          </w:p>
        </w:tc>
        <w:tc>
          <w:tcPr/>
          <w:p>
            <w:pPr>
              <w:pStyle w:val="Compact"/>
              <w:spacing w:after="0" w:before="0"/>
            </w:pPr>
            <w:r>
              <w:rPr>
                <w:sz w:val="16"/>
              </w:rPr>
              <w:t xml:space="preserve">CORRECTED: Rp 150,000-350,000 per t RDF reported for Bantargebang/DKI and Rp 300,000/t elsewhere (news, search snippets), converted at 16 GJ/t (Cilacap RDF about 16.7 MJ/kg) and IDR 16,300/USD</w:t>
            </w:r>
          </w:p>
        </w:tc>
        <w:tc>
          <w:tcPr/>
          <w:p>
            <w:pPr>
              <w:pStyle w:val="Compact"/>
              <w:spacing w:after="0" w:before="0"/>
            </w:pPr>
            <w:r>
              <w:rPr>
                <w:sz w:val="16"/>
              </w:rPr>
              <w:t xml:space="preserve">L</w:t>
            </w:r>
          </w:p>
        </w:tc>
      </w:tr>
      <w:tr>
        <w:tc>
          <w:tcPr/>
          <w:p>
            <w:pPr>
              <w:pStyle w:val="Compact"/>
              <w:spacing w:after="0" w:before="0"/>
            </w:pPr>
            <w:r>
              <w:rPr>
                <w:sz w:val="16"/>
              </w:rPr>
              <w:t xml:space="preserve">T23</w:t>
            </w:r>
          </w:p>
        </w:tc>
        <w:tc>
          <w:tcPr/>
          <w:p>
            <w:pPr>
              <w:pStyle w:val="Compact"/>
              <w:spacing w:after="0" w:before="0"/>
            </w:pPr>
            <w:r>
              <w:rPr>
                <w:sz w:val="16"/>
              </w:rPr>
              <w:t xml:space="preserve">p_phb</w:t>
            </w:r>
          </w:p>
        </w:tc>
        <w:tc>
          <w:tcPr/>
          <w:p>
            <w:pPr>
              <w:pStyle w:val="Compact"/>
              <w:spacing w:after="0" w:before="0"/>
            </w:pPr>
            <w:r>
              <w:rPr>
                <w:sz w:val="16"/>
              </w:rPr>
              <w:t xml:space="preserve">Selling price of PHB</w:t>
            </w:r>
          </w:p>
        </w:tc>
        <w:tc>
          <w:tcPr/>
          <w:p>
            <w:pPr>
              <w:pStyle w:val="Compact"/>
              <w:spacing w:after="0" w:before="0"/>
            </w:pPr>
            <w:r>
              <w:rPr>
                <w:sz w:val="16"/>
              </w:rPr>
              <w:t xml:space="preserve">4 (2.5 to 6)</w:t>
            </w:r>
          </w:p>
        </w:tc>
        <w:tc>
          <w:tcPr/>
          <w:p>
            <w:pPr>
              <w:pStyle w:val="Compact"/>
              <w:spacing w:after="0" w:before="0"/>
            </w:pPr>
            <w:r>
              <w:rPr>
                <w:sz w:val="16"/>
              </w:rPr>
              <w:t xml:space="preserve">USD/kg</w:t>
            </w:r>
          </w:p>
        </w:tc>
        <w:tc>
          <w:tcPr/>
          <w:p>
            <w:pPr>
              <w:pStyle w:val="Compact"/>
              <w:spacing w:after="0" w:before="0"/>
            </w:pPr>
            <w:r>
              <w:rPr>
                <w:sz w:val="16"/>
              </w:rPr>
              <w:t xml:space="preserve">Market reports; Levett et al. 2016</w:t>
            </w:r>
          </w:p>
        </w:tc>
        <w:tc>
          <w:tcPr/>
          <w:p>
            <w:pPr>
              <w:pStyle w:val="Compact"/>
              <w:spacing w:after="0" w:before="0"/>
            </w:pPr>
            <w:r>
              <w:rPr>
                <w:sz w:val="16"/>
              </w:rPr>
              <w:t xml:space="preserve">L</w:t>
            </w:r>
          </w:p>
        </w:tc>
      </w:tr>
      <w:tr>
        <w:tc>
          <w:tcPr/>
          <w:p>
            <w:pPr>
              <w:pStyle w:val="Compact"/>
              <w:spacing w:after="0" w:before="0"/>
            </w:pPr>
            <w:r>
              <w:rPr>
                <w:sz w:val="16"/>
              </w:rPr>
              <w:t xml:space="preserve">T24</w:t>
            </w:r>
          </w:p>
        </w:tc>
        <w:tc>
          <w:tcPr/>
          <w:p>
            <w:pPr>
              <w:pStyle w:val="Compact"/>
              <w:spacing w:after="0" w:before="0"/>
            </w:pPr>
            <w:r>
              <w:rPr>
                <w:sz w:val="16"/>
              </w:rPr>
              <w:t xml:space="preserve">c_truck</w:t>
            </w:r>
          </w:p>
        </w:tc>
        <w:tc>
          <w:tcPr/>
          <w:p>
            <w:pPr>
              <w:pStyle w:val="Compact"/>
              <w:spacing w:after="0" w:before="0"/>
            </w:pPr>
            <w:r>
              <w:rPr>
                <w:sz w:val="16"/>
              </w:rPr>
              <w:t xml:space="preserve">Cost of trucking RDF</w:t>
            </w:r>
          </w:p>
        </w:tc>
        <w:tc>
          <w:tcPr/>
          <w:p>
            <w:pPr>
              <w:pStyle w:val="Compact"/>
              <w:spacing w:after="0" w:before="0"/>
            </w:pPr>
            <w:r>
              <w:rPr>
                <w:sz w:val="16"/>
              </w:rPr>
              <w:t xml:space="preserve">0.1 (0.05 to 0.15)</w:t>
            </w:r>
          </w:p>
        </w:tc>
        <w:tc>
          <w:tcPr/>
          <w:p>
            <w:pPr>
              <w:pStyle w:val="Compact"/>
              <w:spacing w:after="0" w:before="0"/>
            </w:pPr>
            <w:r>
              <w:rPr>
                <w:sz w:val="16"/>
              </w:rPr>
              <w:t xml:space="preserve">USD/t-km</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bl>
    <w:p>
      <w:pPr>
        <w:pStyle w:val="Caption"/>
      </w:pPr>
      <w:r>
        <w:t xml:space="preserve">Table 3: Assumption register (61 entries; CED/LU factors in Table 8, realism and scenario parameters in</w:t>
      </w:r>
      <w:r>
        <w:t xml:space="preserve"> </w:t>
      </w:r>
      <w:r>
        <w:rPr>
          <w:i/>
          <w:iCs/>
        </w:rPr>
        <w:t xml:space="preserve">data/scenario_parameters.csv</w:t>
      </w:r>
      <w:r>
        <w:t xml:space="preserve">). New or changed in v3: H14-H15 (heuristic Dirichlet concentrations made explicit), C10b (plastic LHV range), C12 (rubber DOCf gap scenario). Changed in v3.2: see Table 3a.</w:t>
      </w:r>
    </w:p>
    <w:bookmarkStart w:id="35" w:name="X276a36b886c8343291b60cbad16ca4dbd06d11a"/>
    <w:p>
      <w:pPr>
        <w:pStyle w:val="Heading2"/>
      </w:pPr>
      <w:r>
        <w:t xml:space="preserve">6.1 Verification of secondary data (October 2026)</w:t>
      </w:r>
    </w:p>
    <w:p>
      <w:pPr>
        <w:pStyle w:val="FirstParagraph"/>
        <w:jc w:val="both"/>
      </w:pPr>
      <w:r>
        <w:t xml:space="preserve">Every secondary value that drives a result or a benchmark was re-checked against its source. Full texts could not be downloaded in the working environment, so the check used publisher abstracts, indexed records and search-engine extracts of the sources; the method of each check is recorded in</w:t>
      </w:r>
      <w:r>
        <w:t xml:space="preserve"> </w:t>
      </w:r>
      <w:r>
        <w:rPr>
          <w:i/>
          <w:iCs/>
        </w:rPr>
        <w:t xml:space="preserve">data/secondary_data_verification.csv</w:t>
      </w:r>
      <w:r>
        <w:t xml:space="preserve">. A value was</w:t>
      </w:r>
      <w:r>
        <w:t xml:space="preserve"> </w:t>
      </w:r>
      <w:r>
        <w:rPr>
          <w:i/>
          <w:iCs/>
        </w:rPr>
        <w:t xml:space="preserve">confirmed</w:t>
      </w:r>
      <w:r>
        <w:t xml:space="preserve"> </w:t>
      </w:r>
      <w:r>
        <w:t xml:space="preserve">when the number appeared in the source record,</w:t>
      </w:r>
      <w:r>
        <w:t xml:space="preserve"> </w:t>
      </w:r>
      <w:r>
        <w:rPr>
          <w:i/>
          <w:iCs/>
        </w:rPr>
        <w:t xml:space="preserve">corrected</w:t>
      </w:r>
      <w:r>
        <w:t xml:space="preserve"> </w:t>
      </w:r>
      <w:r>
        <w:t xml:space="preserve">when the source gave a different number, and</w:t>
      </w:r>
      <w:r>
        <w:t xml:space="preserve"> </w:t>
      </w:r>
      <w:r>
        <w:rPr>
          <w:i/>
          <w:iCs/>
        </w:rPr>
        <w:t xml:space="preserve">not verified</w:t>
      </w:r>
      <w:r>
        <w:t xml:space="preserve"> </w:t>
      </w:r>
      <w:r>
        <w:t xml:space="preserve">when it could not be found; unverified benchmark values were removed rather than kept. The previous value is kept in the file for audit.</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28"/>
        <w:gridCol w:w="1428"/>
        <w:gridCol w:w="1298"/>
        <w:gridCol w:w="908"/>
        <w:gridCol w:w="2856"/>
      </w:tblGrid>
      <w:tr>
        <w:trPr>
          <w:tblHeader w:val="on"/>
        </w:trPr>
        <w:tc>
          <w:tcPr>
            <w:shd w:val="clear" w:color="auto" w:fill="DCE6F0"/>
          </w:tcPr>
          <w:p>
            <w:pPr>
              <w:pStyle w:val="Compact"/>
              <w:spacing w:after="0" w:before="0"/>
            </w:pPr>
            <w:r>
              <w:rPr>
                <w:b/>
                <w:sz w:val="16"/>
              </w:rPr>
              <w:t xml:space="preserve">Item</w:t>
            </w:r>
          </w:p>
        </w:tc>
        <w:tc>
          <w:tcPr>
            <w:shd w:val="clear" w:color="auto" w:fill="DCE6F0"/>
          </w:tcPr>
          <w:p>
            <w:pPr>
              <w:pStyle w:val="Compact"/>
              <w:spacing w:after="0" w:before="0"/>
            </w:pPr>
            <w:r>
              <w:rPr>
                <w:b/>
                <w:sz w:val="16"/>
              </w:rPr>
              <w:t xml:space="preserve">Value used (v3.2)</w:t>
            </w:r>
          </w:p>
        </w:tc>
        <w:tc>
          <w:tcPr>
            <w:shd w:val="clear" w:color="auto" w:fill="DCE6F0"/>
          </w:tcPr>
          <w:p>
            <w:pPr>
              <w:pStyle w:val="Compact"/>
              <w:spacing w:after="0" w:before="0"/>
            </w:pPr>
            <w:r>
              <w:rPr>
                <w:b/>
                <w:sz w:val="16"/>
              </w:rPr>
              <w:t xml:space="preserve">Previous value</w:t>
            </w:r>
          </w:p>
        </w:tc>
        <w:tc>
          <w:tcPr>
            <w:shd w:val="clear" w:color="auto" w:fill="DCE6F0"/>
          </w:tcPr>
          <w:p>
            <w:pPr>
              <w:pStyle w:val="Compact"/>
              <w:spacing w:after="0" w:before="0"/>
            </w:pPr>
            <w:r>
              <w:rPr>
                <w:b/>
                <w:sz w:val="16"/>
              </w:rPr>
              <w:t xml:space="preserve">Result</w:t>
            </w:r>
          </w:p>
        </w:tc>
        <w:tc>
          <w:tcPr>
            <w:shd w:val="clear" w:color="auto" w:fill="DCE6F0"/>
          </w:tcPr>
          <w:p>
            <w:pPr>
              <w:pStyle w:val="Compact"/>
              <w:spacing w:after="0" w:before="0"/>
            </w:pPr>
            <w:r>
              <w:rPr>
                <w:b/>
                <w:sz w:val="16"/>
              </w:rPr>
              <w:t xml:space="preserve">Evidence</w:t>
            </w:r>
          </w:p>
        </w:tc>
      </w:tr>
      <w:tr>
        <w:tc>
          <w:tcPr/>
          <w:p>
            <w:pPr>
              <w:pStyle w:val="Compact"/>
              <w:spacing w:after="0" w:before="0"/>
            </w:pPr>
            <w:r>
              <w:rPr>
                <w:sz w:val="16"/>
              </w:rPr>
              <w:t xml:space="preserve">WtE capital cost</w:t>
            </w:r>
          </w:p>
        </w:tc>
        <w:tc>
          <w:tcPr/>
          <w:p>
            <w:pPr>
              <w:pStyle w:val="Compact"/>
              <w:spacing w:after="0" w:before="0"/>
            </w:pPr>
            <w:r>
              <w:rPr>
                <w:sz w:val="16"/>
              </w:rPr>
              <w:t xml:space="preserve">USD 120 M (100-200) per 1,000 t/d</w:t>
            </w:r>
          </w:p>
        </w:tc>
        <w:tc>
          <w:tcPr/>
          <w:p>
            <w:pPr>
              <w:pStyle w:val="Compact"/>
              <w:spacing w:after="0" w:before="0"/>
            </w:pPr>
            <w:r>
              <w:rPr>
                <w:sz w:val="16"/>
              </w:rPr>
              <w:t xml:space="preserve">same</w:t>
            </w:r>
          </w:p>
        </w:tc>
        <w:tc>
          <w:tcPr/>
          <w:p>
            <w:pPr>
              <w:pStyle w:val="Compact"/>
              <w:spacing w:after="0" w:before="0"/>
            </w:pPr>
            <w:r>
              <w:rPr>
                <w:sz w:val="16"/>
              </w:rPr>
              <w:t xml:space="preserve">confirmed</w:t>
            </w:r>
          </w:p>
        </w:tc>
        <w:tc>
          <w:tcPr/>
          <w:p>
            <w:pPr>
              <w:pStyle w:val="Compact"/>
              <w:spacing w:after="0" w:before="0"/>
            </w:pPr>
            <w:r>
              <w:rPr>
                <w:sz w:val="16"/>
              </w:rPr>
              <w:t xml:space="preserve">USD 102.2 M for 1,000 t/d; Yuliani et al. 2022: Rp 2.2 bn per t/d</w:t>
            </w:r>
          </w:p>
        </w:tc>
      </w:tr>
      <w:tr>
        <w:tc>
          <w:tcPr/>
          <w:p>
            <w:pPr>
              <w:pStyle w:val="Compact"/>
              <w:spacing w:after="0" w:before="0"/>
            </w:pPr>
            <w:r>
              <w:rPr>
                <w:sz w:val="16"/>
              </w:rPr>
              <w:t xml:space="preserve">WtE O&amp;M</w:t>
            </w:r>
          </w:p>
        </w:tc>
        <w:tc>
          <w:tcPr/>
          <w:p>
            <w:pPr>
              <w:pStyle w:val="Compact"/>
              <w:spacing w:after="0" w:before="0"/>
            </w:pPr>
            <w:r>
              <w:rPr>
                <w:sz w:val="16"/>
              </w:rPr>
              <w:t xml:space="preserve">27 (21-37) USD/t</w:t>
            </w:r>
          </w:p>
        </w:tc>
        <w:tc>
          <w:tcPr/>
          <w:p>
            <w:pPr>
              <w:pStyle w:val="Compact"/>
              <w:spacing w:after="0" w:before="0"/>
            </w:pPr>
            <w:r>
              <w:rPr>
                <w:sz w:val="16"/>
              </w:rPr>
              <w:t xml:space="preserve">same</w:t>
            </w:r>
          </w:p>
        </w:tc>
        <w:tc>
          <w:tcPr/>
          <w:p>
            <w:pPr>
              <w:pStyle w:val="Compact"/>
              <w:spacing w:after="0" w:before="0"/>
            </w:pPr>
            <w:r>
              <w:rPr>
                <w:sz w:val="16"/>
              </w:rPr>
              <w:t xml:space="preserve">confirmed</w:t>
            </w:r>
          </w:p>
        </w:tc>
        <w:tc>
          <w:tcPr/>
          <w:p>
            <w:pPr>
              <w:pStyle w:val="Compact"/>
              <w:spacing w:after="0" w:before="0"/>
            </w:pPr>
            <w:r>
              <w:rPr>
                <w:sz w:val="16"/>
              </w:rPr>
              <w:t xml:space="preserve">USD 12.1 M/yr at 1,000 t/d; Yuliani: Rp 167 M/yr per t/d</w:t>
            </w:r>
          </w:p>
        </w:tc>
      </w:tr>
      <w:tr>
        <w:tc>
          <w:tcPr/>
          <w:p>
            <w:pPr>
              <w:pStyle w:val="Compact"/>
              <w:spacing w:after="0" w:before="0"/>
            </w:pPr>
            <w:r>
              <w:rPr>
                <w:sz w:val="16"/>
              </w:rPr>
              <w:t xml:space="preserve">WtE net efficiency</w:t>
            </w:r>
          </w:p>
        </w:tc>
        <w:tc>
          <w:tcPr/>
          <w:p>
            <w:pPr>
              <w:pStyle w:val="Compact"/>
              <w:spacing w:after="0" w:before="0"/>
            </w:pPr>
            <w:r>
              <w:rPr>
                <w:sz w:val="16"/>
              </w:rPr>
              <w:t xml:space="preserve">0.18 (0.14-0.22)</w:t>
            </w:r>
          </w:p>
        </w:tc>
        <w:tc>
          <w:tcPr/>
          <w:p>
            <w:pPr>
              <w:pStyle w:val="Compact"/>
              <w:spacing w:after="0" w:before="0"/>
            </w:pPr>
            <w:r>
              <w:rPr>
                <w:sz w:val="16"/>
              </w:rPr>
              <w:t xml:space="preserve">same</w:t>
            </w:r>
          </w:p>
        </w:tc>
        <w:tc>
          <w:tcPr/>
          <w:p>
            <w:pPr>
              <w:pStyle w:val="Compact"/>
              <w:spacing w:after="0" w:before="0"/>
            </w:pPr>
            <w:r>
              <w:rPr>
                <w:sz w:val="16"/>
              </w:rPr>
              <w:t xml:space="preserve">consistent</w:t>
            </w:r>
          </w:p>
        </w:tc>
        <w:tc>
          <w:tcPr/>
          <w:p>
            <w:pPr>
              <w:pStyle w:val="Compact"/>
              <w:spacing w:after="0" w:before="0"/>
            </w:pPr>
            <w:r>
              <w:rPr>
                <w:sz w:val="16"/>
              </w:rPr>
              <w:t xml:space="preserve">Indonesian design: 26% efficiency, 15% own use (about 22% net), Yuliani et al. 2022</w:t>
            </w:r>
          </w:p>
        </w:tc>
      </w:tr>
      <w:tr>
        <w:tc>
          <w:tcPr/>
          <w:p>
            <w:pPr>
              <w:pStyle w:val="Compact"/>
              <w:spacing w:after="0" w:before="0"/>
            </w:pPr>
            <w:r>
              <w:rPr>
                <w:sz w:val="16"/>
              </w:rPr>
              <w:t xml:space="preserve">WtE net electricity benchmark</w:t>
            </w:r>
          </w:p>
        </w:tc>
        <w:tc>
          <w:tcPr/>
          <w:p>
            <w:pPr>
              <w:pStyle w:val="Compact"/>
              <w:spacing w:after="0" w:before="0"/>
            </w:pPr>
            <w:r>
              <w:rPr>
                <w:sz w:val="16"/>
              </w:rPr>
              <w:t xml:space="preserve">-</w:t>
            </w:r>
          </w:p>
        </w:tc>
        <w:tc>
          <w:tcPr/>
          <w:p>
            <w:pPr>
              <w:pStyle w:val="Compact"/>
              <w:spacing w:after="0" w:before="0"/>
            </w:pPr>
            <w:r>
              <w:rPr>
                <w:sz w:val="16"/>
              </w:rPr>
              <w:t xml:space="preserve">632 kWh/t from 750 t/day at 35% (Azis 2021)</w:t>
            </w:r>
          </w:p>
        </w:tc>
        <w:tc>
          <w:tcPr/>
          <w:p>
            <w:pPr>
              <w:pStyle w:val="Compact"/>
              <w:spacing w:after="0" w:before="0"/>
            </w:pPr>
            <w:r>
              <w:rPr>
                <w:sz w:val="16"/>
              </w:rPr>
              <w:t xml:space="preserve">corrected</w:t>
            </w:r>
          </w:p>
        </w:tc>
        <w:tc>
          <w:tcPr/>
          <w:p>
            <w:pPr>
              <w:pStyle w:val="Compact"/>
              <w:spacing w:after="0" w:before="0"/>
            </w:pPr>
            <w:r>
              <w:rPr>
                <w:sz w:val="16"/>
              </w:rPr>
              <w:t xml:space="preserve">Abstract: about 19.7 MW from 1,000 t/day, i.e. about 473 kWh/t; Yuliani 2022: 24.08 MW net from 1,500 t/day, i.e. about 385 kWh/t net</w:t>
            </w:r>
          </w:p>
        </w:tc>
      </w:tr>
      <w:tr>
        <w:tc>
          <w:tcPr/>
          <w:p>
            <w:pPr>
              <w:pStyle w:val="Compact"/>
              <w:spacing w:after="0" w:before="0"/>
            </w:pPr>
            <w:r>
              <w:rPr>
                <w:sz w:val="16"/>
              </w:rPr>
              <w:t xml:space="preserve">MSW calorific value as received</w:t>
            </w:r>
          </w:p>
        </w:tc>
        <w:tc>
          <w:tcPr/>
          <w:p>
            <w:pPr>
              <w:pStyle w:val="Compact"/>
              <w:spacing w:after="0" w:before="0"/>
            </w:pPr>
            <w:r>
              <w:rPr>
                <w:sz w:val="16"/>
              </w:rPr>
              <w:t xml:space="preserve">-</w:t>
            </w:r>
          </w:p>
        </w:tc>
        <w:tc>
          <w:tcPr/>
          <w:p>
            <w:pPr>
              <w:pStyle w:val="Compact"/>
              <w:spacing w:after="0" w:before="0"/>
            </w:pPr>
            <w:r>
              <w:rPr>
                <w:sz w:val="16"/>
              </w:rPr>
              <w:t xml:space="preserve">HHV 6.9-9.0 MJ/kg (Prabowo 2019)</w:t>
            </w:r>
          </w:p>
        </w:tc>
        <w:tc>
          <w:tcPr/>
          <w:p>
            <w:pPr>
              <w:pStyle w:val="Compact"/>
              <w:spacing w:after="0" w:before="0"/>
            </w:pPr>
            <w:r>
              <w:rPr>
                <w:sz w:val="16"/>
              </w:rPr>
              <w:t xml:space="preserve">partly confirmed</w:t>
            </w:r>
          </w:p>
        </w:tc>
        <w:tc>
          <w:tcPr/>
          <w:p>
            <w:pPr>
              <w:pStyle w:val="Compact"/>
              <w:spacing w:after="0" w:before="0"/>
            </w:pPr>
            <w:r>
              <w:rPr>
                <w:sz w:val="16"/>
              </w:rPr>
              <w:t xml:space="preserve">6,860 and 8,970 kJ/kg as received (abstract does not say HHV or LHV); Yuliani 2022: 6,276 kJ/kg</w:t>
            </w:r>
          </w:p>
        </w:tc>
      </w:tr>
      <w:tr>
        <w:tc>
          <w:tcPr/>
          <w:p>
            <w:pPr>
              <w:pStyle w:val="Compact"/>
              <w:spacing w:after="0" w:before="0"/>
            </w:pPr>
            <w:r>
              <w:rPr>
                <w:sz w:val="16"/>
              </w:rPr>
              <w:t xml:space="preserve">MSW moisture at transfer points</w:t>
            </w:r>
          </w:p>
        </w:tc>
        <w:tc>
          <w:tcPr/>
          <w:p>
            <w:pPr>
              <w:pStyle w:val="Compact"/>
              <w:spacing w:after="0" w:before="0"/>
            </w:pPr>
            <w:r>
              <w:rPr>
                <w:sz w:val="16"/>
              </w:rPr>
              <w:t xml:space="preserve">-</w:t>
            </w:r>
          </w:p>
        </w:tc>
        <w:tc>
          <w:tcPr/>
          <w:p>
            <w:pPr>
              <w:pStyle w:val="Compact"/>
              <w:spacing w:after="0" w:before="0"/>
            </w:pPr>
            <w:r>
              <w:rPr>
                <w:sz w:val="16"/>
              </w:rPr>
              <w:t xml:space="preserve">0.53-0.56 (Prabowo 2019)</w:t>
            </w:r>
          </w:p>
        </w:tc>
        <w:tc>
          <w:tcPr/>
          <w:p>
            <w:pPr>
              <w:pStyle w:val="Compact"/>
              <w:spacing w:after="0" w:before="0"/>
            </w:pPr>
            <w:r>
              <w:rPr>
                <w:sz w:val="16"/>
              </w:rPr>
              <w:t xml:space="preserve">not verified</w:t>
            </w:r>
          </w:p>
        </w:tc>
        <w:tc>
          <w:tcPr/>
          <w:p>
            <w:pPr>
              <w:pStyle w:val="Compact"/>
              <w:spacing w:after="0" w:before="0"/>
            </w:pPr>
            <w:r>
              <w:rPr>
                <w:sz w:val="16"/>
              </w:rPr>
              <w:t xml:space="preserve">Moisture not in the abstract; replaced by Cilacap raw MSW 55.44% moisture before biodrying (Presipitasi/UPN Jatim, search snippet)</w:t>
            </w:r>
          </w:p>
        </w:tc>
      </w:tr>
      <w:tr>
        <w:tc>
          <w:tcPr/>
          <w:p>
            <w:pPr>
              <w:pStyle w:val="Compact"/>
              <w:spacing w:after="0" w:before="0"/>
            </w:pPr>
            <w:r>
              <w:rPr>
                <w:sz w:val="16"/>
              </w:rPr>
              <w:t xml:space="preserve">Landfill waste moisture</w:t>
            </w:r>
          </w:p>
        </w:tc>
        <w:tc>
          <w:tcPr/>
          <w:p>
            <w:pPr>
              <w:pStyle w:val="Compact"/>
              <w:spacing w:after="0" w:before="0"/>
            </w:pPr>
            <w:r>
              <w:rPr>
                <w:sz w:val="16"/>
              </w:rPr>
              <w:t xml:space="preserve">-</w:t>
            </w:r>
          </w:p>
        </w:tc>
        <w:tc>
          <w:tcPr/>
          <w:p>
            <w:pPr>
              <w:pStyle w:val="Compact"/>
              <w:spacing w:after="0" w:before="0"/>
            </w:pPr>
            <w:r>
              <w:rPr>
                <w:sz w:val="16"/>
              </w:rPr>
              <w:t xml:space="preserve">0.64-0.66 (Fiki et al. 2022)</w:t>
            </w:r>
          </w:p>
        </w:tc>
        <w:tc>
          <w:tcPr/>
          <w:p>
            <w:pPr>
              <w:pStyle w:val="Compact"/>
              <w:spacing w:after="0" w:before="0"/>
            </w:pPr>
            <w:r>
              <w:rPr>
                <w:sz w:val="16"/>
              </w:rPr>
              <w:t xml:space="preserve">not verified</w:t>
            </w:r>
          </w:p>
        </w:tc>
        <w:tc>
          <w:tcPr/>
          <w:p>
            <w:pPr>
              <w:pStyle w:val="Compact"/>
              <w:spacing w:after="0" w:before="0"/>
            </w:pPr>
            <w:r>
              <w:rPr>
                <w:sz w:val="16"/>
              </w:rPr>
              <w:t xml:space="preserve">Paper confirmed (Jatibarang, biodrying to 44.65% moisture in 21 days); the initial moisture is not in the snippet</w:t>
            </w:r>
          </w:p>
        </w:tc>
      </w:tr>
      <w:tr>
        <w:tc>
          <w:tcPr/>
          <w:p>
            <w:pPr>
              <w:pStyle w:val="Compact"/>
              <w:spacing w:after="0" w:before="0"/>
            </w:pPr>
            <w:r>
              <w:rPr>
                <w:sz w:val="16"/>
              </w:rPr>
              <w:t xml:space="preserve">RDF heating value</w:t>
            </w:r>
          </w:p>
        </w:tc>
        <w:tc>
          <w:tcPr/>
          <w:p>
            <w:pPr>
              <w:pStyle w:val="Compact"/>
              <w:spacing w:after="0" w:before="0"/>
            </w:pPr>
            <w:r>
              <w:rPr>
                <w:sz w:val="16"/>
              </w:rPr>
              <w:t xml:space="preserve">-</w:t>
            </w:r>
          </w:p>
        </w:tc>
        <w:tc>
          <w:tcPr/>
          <w:p>
            <w:pPr>
              <w:pStyle w:val="Compact"/>
              <w:spacing w:after="0" w:before="0"/>
            </w:pPr>
            <w:r>
              <w:rPr>
                <w:sz w:val="16"/>
              </w:rPr>
              <w:t xml:space="preserve">12.6-13.8 MJ/kg (GIZ 2023)</w:t>
            </w:r>
          </w:p>
        </w:tc>
        <w:tc>
          <w:tcPr/>
          <w:p>
            <w:pPr>
              <w:pStyle w:val="Compact"/>
              <w:spacing w:after="0" w:before="0"/>
            </w:pPr>
            <w:r>
              <w:rPr>
                <w:sz w:val="16"/>
              </w:rPr>
              <w:t xml:space="preserve">corrected</w:t>
            </w:r>
          </w:p>
        </w:tc>
        <w:tc>
          <w:tcPr/>
          <w:p>
            <w:pPr>
              <w:pStyle w:val="Compact"/>
              <w:spacing w:after="0" w:before="0"/>
            </w:pPr>
            <w:r>
              <w:rPr>
                <w:sz w:val="16"/>
              </w:rPr>
              <w:t xml:space="preserve">Cilacap RDF: 3,991 kcal/kg (16.7 MJ/kg), 24.2% moisture, 17.3% ash; about 15 MJ/kg after biodrying (search snippets)</w:t>
            </w:r>
          </w:p>
        </w:tc>
      </w:tr>
      <w:tr>
        <w:tc>
          <w:tcPr/>
          <w:p>
            <w:pPr>
              <w:pStyle w:val="Compact"/>
              <w:spacing w:after="0" w:before="0"/>
            </w:pPr>
            <w:r>
              <w:rPr>
                <w:sz w:val="16"/>
              </w:rPr>
              <w:t xml:space="preserve">RDF O&amp;M</w:t>
            </w:r>
          </w:p>
        </w:tc>
        <w:tc>
          <w:tcPr/>
          <w:p>
            <w:pPr>
              <w:pStyle w:val="Compact"/>
              <w:spacing w:after="0" w:before="0"/>
            </w:pPr>
            <w:r>
              <w:rPr>
                <w:sz w:val="16"/>
              </w:rPr>
              <w:t xml:space="preserve">18.4 (12-24.5) USD/t</w:t>
            </w:r>
          </w:p>
        </w:tc>
        <w:tc>
          <w:tcPr/>
          <w:p>
            <w:pPr>
              <w:pStyle w:val="Compact"/>
              <w:spacing w:after="0" w:before="0"/>
            </w:pPr>
            <w:r>
              <w:rPr>
                <w:sz w:val="16"/>
              </w:rPr>
              <w:t xml:space="preserve">12 (8-21)</w:t>
            </w:r>
          </w:p>
        </w:tc>
        <w:tc>
          <w:tcPr/>
          <w:p>
            <w:pPr>
              <w:pStyle w:val="Compact"/>
              <w:spacing w:after="0" w:before="0"/>
            </w:pPr>
            <w:r>
              <w:rPr>
                <w:sz w:val="16"/>
              </w:rPr>
              <w:t xml:space="preserve">corrected</w:t>
            </w:r>
          </w:p>
        </w:tc>
        <w:tc>
          <w:tcPr/>
          <w:p>
            <w:pPr>
              <w:pStyle w:val="Compact"/>
              <w:spacing w:after="0" w:before="0"/>
            </w:pPr>
            <w:r>
              <w:rPr>
                <w:sz w:val="16"/>
              </w:rPr>
              <w:t xml:space="preserve">Rp 300,000-400,000 per t processed (COSTING journal, search snippet)</w:t>
            </w:r>
          </w:p>
        </w:tc>
      </w:tr>
      <w:tr>
        <w:tc>
          <w:tcPr/>
          <w:p>
            <w:pPr>
              <w:pStyle w:val="Compact"/>
              <w:spacing w:after="0" w:before="0"/>
            </w:pPr>
            <w:r>
              <w:rPr>
                <w:sz w:val="16"/>
              </w:rPr>
              <w:t xml:space="preserve">RDF price at kiln</w:t>
            </w:r>
          </w:p>
        </w:tc>
        <w:tc>
          <w:tcPr/>
          <w:p>
            <w:pPr>
              <w:pStyle w:val="Compact"/>
              <w:spacing w:after="0" w:before="0"/>
            </w:pPr>
            <w:r>
              <w:rPr>
                <w:sz w:val="16"/>
              </w:rPr>
              <w:t xml:space="preserve">1.15 (0.58-1.34) USD/GJ</w:t>
            </w:r>
          </w:p>
        </w:tc>
        <w:tc>
          <w:tcPr/>
          <w:p>
            <w:pPr>
              <w:pStyle w:val="Compact"/>
              <w:spacing w:after="0" w:before="0"/>
            </w:pPr>
            <w:r>
              <w:rPr>
                <w:sz w:val="16"/>
              </w:rPr>
              <w:t xml:space="preserve">1.6 (1.0-2.6)</w:t>
            </w:r>
          </w:p>
        </w:tc>
        <w:tc>
          <w:tcPr/>
          <w:p>
            <w:pPr>
              <w:pStyle w:val="Compact"/>
              <w:spacing w:after="0" w:before="0"/>
            </w:pPr>
            <w:r>
              <w:rPr>
                <w:sz w:val="16"/>
              </w:rPr>
              <w:t xml:space="preserve">corrected</w:t>
            </w:r>
          </w:p>
        </w:tc>
        <w:tc>
          <w:tcPr/>
          <w:p>
            <w:pPr>
              <w:pStyle w:val="Compact"/>
              <w:spacing w:after="0" w:before="0"/>
            </w:pPr>
            <w:r>
              <w:rPr>
                <w:sz w:val="16"/>
              </w:rPr>
              <w:t xml:space="preserve">Rp 150,000-350,000/t (DKI Bantargebang), Rp 300,000/t (news snippets)</w:t>
            </w:r>
          </w:p>
        </w:tc>
      </w:tr>
      <w:tr>
        <w:tc>
          <w:tcPr/>
          <w:p>
            <w:pPr>
              <w:pStyle w:val="Compact"/>
              <w:spacing w:after="0" w:before="0"/>
            </w:pPr>
            <w:r>
              <w:rPr>
                <w:sz w:val="16"/>
              </w:rPr>
              <w:t xml:space="preserve">RDF plant capital cost</w:t>
            </w:r>
          </w:p>
        </w:tc>
        <w:tc>
          <w:tcPr/>
          <w:p>
            <w:pPr>
              <w:pStyle w:val="Compact"/>
              <w:spacing w:after="0" w:before="0"/>
            </w:pPr>
            <w:r>
              <w:rPr>
                <w:sz w:val="16"/>
              </w:rPr>
              <w:t xml:space="preserve">USD 12.3 M (9-16) per 300 t/d</w:t>
            </w:r>
          </w:p>
        </w:tc>
        <w:tc>
          <w:tcPr/>
          <w:p>
            <w:pPr>
              <w:pStyle w:val="Compact"/>
              <w:spacing w:after="0" w:before="0"/>
            </w:pPr>
            <w:r>
              <w:rPr>
                <w:sz w:val="16"/>
              </w:rPr>
              <w:t xml:space="preserve">same</w:t>
            </w:r>
          </w:p>
        </w:tc>
        <w:tc>
          <w:tcPr/>
          <w:p>
            <w:pPr>
              <w:pStyle w:val="Compact"/>
              <w:spacing w:after="0" w:before="0"/>
            </w:pPr>
            <w:r>
              <w:rPr>
                <w:sz w:val="16"/>
              </w:rPr>
              <w:t xml:space="preserve">partly confirmed</w:t>
            </w:r>
          </w:p>
        </w:tc>
        <w:tc>
          <w:tcPr/>
          <w:p>
            <w:pPr>
              <w:pStyle w:val="Compact"/>
              <w:spacing w:after="0" w:before="0"/>
            </w:pPr>
            <w:r>
              <w:rPr>
                <w:sz w:val="16"/>
              </w:rPr>
              <w:t xml:space="preserve">GIZ report exists; Cilacap Rp 81.2 bn for 120 t/d (scaled: about USD 9.5 M per 300 t/d)</w:t>
            </w:r>
          </w:p>
        </w:tc>
      </w:tr>
      <w:tr>
        <w:tc>
          <w:tcPr/>
          <w:p>
            <w:pPr>
              <w:pStyle w:val="Compact"/>
              <w:spacing w:after="0" w:before="0"/>
            </w:pPr>
            <w:r>
              <w:rPr>
                <w:sz w:val="16"/>
              </w:rPr>
              <w:t xml:space="preserve">Sanitary landfill cost</w:t>
            </w:r>
          </w:p>
        </w:tc>
        <w:tc>
          <w:tcPr/>
          <w:p>
            <w:pPr>
              <w:pStyle w:val="Compact"/>
              <w:spacing w:after="0" w:before="0"/>
            </w:pPr>
            <w:r>
              <w:rPr>
                <w:sz w:val="16"/>
              </w:rPr>
              <w:t xml:space="preserve">20 (9-30) USD/t</w:t>
            </w:r>
          </w:p>
        </w:tc>
        <w:tc>
          <w:tcPr/>
          <w:p>
            <w:pPr>
              <w:pStyle w:val="Compact"/>
              <w:spacing w:after="0" w:before="0"/>
            </w:pPr>
            <w:r>
              <w:rPr>
                <w:sz w:val="16"/>
              </w:rPr>
              <w:t xml:space="preserve">20 (12-30)</w:t>
            </w:r>
          </w:p>
        </w:tc>
        <w:tc>
          <w:tcPr/>
          <w:p>
            <w:pPr>
              <w:pStyle w:val="Compact"/>
              <w:spacing w:after="0" w:before="0"/>
            </w:pPr>
            <w:r>
              <w:rPr>
                <w:sz w:val="16"/>
              </w:rPr>
              <w:t xml:space="preserve">partly confirmed</w:t>
            </w:r>
          </w:p>
        </w:tc>
        <w:tc>
          <w:tcPr/>
          <w:p>
            <w:pPr>
              <w:pStyle w:val="Compact"/>
              <w:spacing w:after="0" w:before="0"/>
            </w:pPr>
            <w:r>
              <w:rPr>
                <w:sz w:val="16"/>
              </w:rPr>
              <w:t xml:space="preserve">Rp 145,000/t controlled landfill, Rp 400,000/t standard (BPK news); Cointreau-Levine 2000: 8-15 USD/t middle-income</w:t>
            </w:r>
          </w:p>
        </w:tc>
      </w:tr>
      <w:tr>
        <w:tc>
          <w:tcPr/>
          <w:p>
            <w:pPr>
              <w:pStyle w:val="Compact"/>
              <w:spacing w:after="0" w:before="0"/>
            </w:pPr>
            <w:r>
              <w:rPr>
                <w:sz w:val="16"/>
              </w:rPr>
              <w:t xml:space="preserve">Landfill gas collection</w:t>
            </w:r>
          </w:p>
        </w:tc>
        <w:tc>
          <w:tcPr/>
          <w:p>
            <w:pPr>
              <w:pStyle w:val="Compact"/>
              <w:spacing w:after="0" w:before="0"/>
            </w:pPr>
            <w:r>
              <w:rPr>
                <w:sz w:val="16"/>
              </w:rPr>
              <w:t xml:space="preserve">0.50 (0.20-0.80)</w:t>
            </w:r>
          </w:p>
        </w:tc>
        <w:tc>
          <w:tcPr/>
          <w:p>
            <w:pPr>
              <w:pStyle w:val="Compact"/>
              <w:spacing w:after="0" w:before="0"/>
            </w:pPr>
            <w:r>
              <w:rPr>
                <w:sz w:val="16"/>
              </w:rPr>
              <w:t xml:space="preserve">0.50 (0.30-0.80)</w:t>
            </w:r>
          </w:p>
        </w:tc>
        <w:tc>
          <w:tcPr/>
          <w:p>
            <w:pPr>
              <w:pStyle w:val="Compact"/>
              <w:spacing w:after="0" w:before="0"/>
            </w:pPr>
            <w:r>
              <w:rPr>
                <w:sz w:val="16"/>
              </w:rPr>
              <w:t xml:space="preserve">bounded by literature</w:t>
            </w:r>
          </w:p>
        </w:tc>
        <w:tc>
          <w:tcPr/>
          <w:p>
            <w:pPr>
              <w:pStyle w:val="Compact"/>
              <w:spacing w:after="0" w:before="0"/>
            </w:pPr>
            <w:r>
              <w:rPr>
                <w:sz w:val="16"/>
              </w:rPr>
              <w:t xml:space="preserve">50-95% in US landfills with effective covers; often below 20-30% in high-food-waste landfills; Wei et al. 2024 not found</w:t>
            </w:r>
          </w:p>
        </w:tc>
      </w:tr>
      <w:tr>
        <w:tc>
          <w:tcPr/>
          <w:p>
            <w:pPr>
              <w:pStyle w:val="Compact"/>
              <w:spacing w:after="0" w:before="0"/>
            </w:pPr>
            <w:r>
              <w:rPr>
                <w:sz w:val="16"/>
              </w:rPr>
              <w:t xml:space="preserve">Grid factor Jamali</w:t>
            </w:r>
          </w:p>
        </w:tc>
        <w:tc>
          <w:tcPr/>
          <w:p>
            <w:pPr>
              <w:pStyle w:val="Compact"/>
              <w:spacing w:after="0" w:before="0"/>
            </w:pPr>
            <w:r>
              <w:rPr>
                <w:sz w:val="16"/>
              </w:rPr>
              <w:t xml:space="preserve">0.877</w:t>
            </w:r>
          </w:p>
        </w:tc>
        <w:tc>
          <w:tcPr/>
          <w:p>
            <w:pPr>
              <w:pStyle w:val="Compact"/>
              <w:spacing w:after="0" w:before="0"/>
            </w:pPr>
            <w:r>
              <w:rPr>
                <w:sz w:val="16"/>
              </w:rPr>
              <w:t xml:space="preserve">0.87</w:t>
            </w:r>
          </w:p>
        </w:tc>
        <w:tc>
          <w:tcPr/>
          <w:p>
            <w:pPr>
              <w:pStyle w:val="Compact"/>
              <w:spacing w:after="0" w:before="0"/>
            </w:pPr>
            <w:r>
              <w:rPr>
                <w:sz w:val="16"/>
              </w:rPr>
              <w:t xml:space="preserve">confirmed</w:t>
            </w:r>
          </w:p>
        </w:tc>
        <w:tc>
          <w:tcPr/>
          <w:p>
            <w:pPr>
              <w:pStyle w:val="Compact"/>
              <w:spacing w:after="0" w:before="0"/>
            </w:pPr>
            <w:r>
              <w:rPr>
                <w:sz w:val="16"/>
              </w:rPr>
              <w:t xml:space="preserve">ESDM 2018, JCM Case 1 (grid only): 0.877 t CO2/MWh</w:t>
            </w:r>
          </w:p>
        </w:tc>
      </w:tr>
      <w:tr>
        <w:tc>
          <w:tcPr/>
          <w:p>
            <w:pPr>
              <w:pStyle w:val="Compact"/>
              <w:spacing w:after="0" w:before="0"/>
            </w:pPr>
            <w:r>
              <w:rPr>
                <w:sz w:val="16"/>
              </w:rPr>
              <w:t xml:space="preserve">Grid factor Sumatera</w:t>
            </w:r>
          </w:p>
        </w:tc>
        <w:tc>
          <w:tcPr/>
          <w:p>
            <w:pPr>
              <w:pStyle w:val="Compact"/>
              <w:spacing w:after="0" w:before="0"/>
            </w:pPr>
            <w:r>
              <w:rPr>
                <w:sz w:val="16"/>
              </w:rPr>
              <w:t xml:space="preserve">0.832</w:t>
            </w:r>
          </w:p>
        </w:tc>
        <w:tc>
          <w:tcPr/>
          <w:p>
            <w:pPr>
              <w:pStyle w:val="Compact"/>
              <w:spacing w:after="0" w:before="0"/>
            </w:pPr>
            <w:r>
              <w:rPr>
                <w:sz w:val="16"/>
              </w:rPr>
              <w:t xml:space="preserve">0.94</w:t>
            </w:r>
          </w:p>
        </w:tc>
        <w:tc>
          <w:tcPr/>
          <w:p>
            <w:pPr>
              <w:pStyle w:val="Compact"/>
              <w:spacing w:after="0" w:before="0"/>
            </w:pPr>
            <w:r>
              <w:rPr>
                <w:sz w:val="16"/>
              </w:rPr>
              <w:t xml:space="preserve">corrected</w:t>
            </w:r>
          </w:p>
        </w:tc>
        <w:tc>
          <w:tcPr/>
          <w:p>
            <w:pPr>
              <w:pStyle w:val="Compact"/>
              <w:spacing w:after="0" w:before="0"/>
            </w:pPr>
            <w:r>
              <w:rPr>
                <w:sz w:val="16"/>
              </w:rPr>
              <w:t xml:space="preserve">ESDM 2018, JCM Case 1: 0.832 t CO2/MWh</w:t>
            </w:r>
          </w:p>
        </w:tc>
      </w:tr>
      <w:tr>
        <w:tc>
          <w:tcPr/>
          <w:p>
            <w:pPr>
              <w:pStyle w:val="Compact"/>
              <w:spacing w:after="0" w:before="0"/>
            </w:pPr>
            <w:r>
              <w:rPr>
                <w:sz w:val="16"/>
              </w:rPr>
              <w:t xml:space="preserve">Grid factor Mahakam</w:t>
            </w:r>
          </w:p>
        </w:tc>
        <w:tc>
          <w:tcPr/>
          <w:p>
            <w:pPr>
              <w:pStyle w:val="Compact"/>
              <w:spacing w:after="0" w:before="0"/>
            </w:pPr>
            <w:r>
              <w:rPr>
                <w:sz w:val="16"/>
              </w:rPr>
              <w:t xml:space="preserve">1.128</w:t>
            </w:r>
          </w:p>
        </w:tc>
        <w:tc>
          <w:tcPr/>
          <w:p>
            <w:pPr>
              <w:pStyle w:val="Compact"/>
              <w:spacing w:after="0" w:before="0"/>
            </w:pPr>
            <w:r>
              <w:rPr>
                <w:sz w:val="16"/>
              </w:rPr>
              <w:t xml:space="preserve">1.14</w:t>
            </w:r>
          </w:p>
        </w:tc>
        <w:tc>
          <w:tcPr/>
          <w:p>
            <w:pPr>
              <w:pStyle w:val="Compact"/>
              <w:spacing w:after="0" w:before="0"/>
            </w:pPr>
            <w:r>
              <w:rPr>
                <w:sz w:val="16"/>
              </w:rPr>
              <w:t xml:space="preserve">confirmed (rounded before)</w:t>
            </w:r>
          </w:p>
        </w:tc>
        <w:tc>
          <w:tcPr/>
          <w:p>
            <w:pPr>
              <w:pStyle w:val="Compact"/>
              <w:spacing w:after="0" w:before="0"/>
            </w:pPr>
            <w:r>
              <w:rPr>
                <w:sz w:val="16"/>
              </w:rPr>
              <w:t xml:space="preserve">ESDM 2018, JCM Case 1: 1.128 t CO2/MWh</w:t>
            </w:r>
          </w:p>
        </w:tc>
      </w:tr>
      <w:tr>
        <w:tc>
          <w:tcPr/>
          <w:p>
            <w:pPr>
              <w:pStyle w:val="Compact"/>
              <w:spacing w:after="0" w:before="0"/>
            </w:pPr>
            <w:r>
              <w:rPr>
                <w:sz w:val="16"/>
              </w:rPr>
              <w:t xml:space="preserve">Electricity price</w:t>
            </w:r>
          </w:p>
        </w:tc>
        <w:tc>
          <w:tcPr/>
          <w:p>
            <w:pPr>
              <w:pStyle w:val="Compact"/>
              <w:spacing w:after="0" w:before="0"/>
            </w:pPr>
            <w:r>
              <w:rPr>
                <w:sz w:val="16"/>
              </w:rPr>
              <w:t xml:space="preserve">0.07 (0.05-0.10) USD/kWh</w:t>
            </w:r>
          </w:p>
        </w:tc>
        <w:tc>
          <w:tcPr/>
          <w:p>
            <w:pPr>
              <w:pStyle w:val="Compact"/>
              <w:spacing w:after="0" w:before="0"/>
            </w:pPr>
            <w:r>
              <w:rPr>
                <w:sz w:val="16"/>
              </w:rPr>
              <w:t xml:space="preserve">same</w:t>
            </w:r>
          </w:p>
        </w:tc>
        <w:tc>
          <w:tcPr/>
          <w:p>
            <w:pPr>
              <w:pStyle w:val="Compact"/>
              <w:spacing w:after="0" w:before="0"/>
            </w:pPr>
            <w:r>
              <w:rPr>
                <w:sz w:val="16"/>
              </w:rPr>
              <w:t xml:space="preserve">confirmed</w:t>
            </w:r>
          </w:p>
        </w:tc>
        <w:tc>
          <w:tcPr/>
          <w:p>
            <w:pPr>
              <w:pStyle w:val="Compact"/>
              <w:spacing w:after="0" w:before="0"/>
            </w:pPr>
            <w:r>
              <w:rPr>
                <w:sz w:val="16"/>
              </w:rPr>
              <w:t xml:space="preserve">Zeng et al. 2024: 0.069 USD/kWh</w:t>
            </w:r>
          </w:p>
        </w:tc>
      </w:tr>
      <w:tr>
        <w:tc>
          <w:tcPr/>
          <w:p>
            <w:pPr>
              <w:pStyle w:val="Compact"/>
              <w:spacing w:after="0" w:before="0"/>
            </w:pPr>
            <w:r>
              <w:rPr>
                <w:sz w:val="16"/>
              </w:rPr>
              <w:t xml:space="preserve">Food-waste methane yield</w:t>
            </w:r>
          </w:p>
        </w:tc>
        <w:tc>
          <w:tcPr/>
          <w:p>
            <w:pPr>
              <w:pStyle w:val="Compact"/>
              <w:spacing w:after="0" w:before="0"/>
            </w:pPr>
            <w:r>
              <w:rPr>
                <w:sz w:val="16"/>
              </w:rPr>
              <w:t xml:space="preserve">0.36 (0.28-0.44) Nm3/kg VS</w:t>
            </w:r>
          </w:p>
        </w:tc>
        <w:tc>
          <w:tcPr/>
          <w:p>
            <w:pPr>
              <w:pStyle w:val="Compact"/>
              <w:spacing w:after="0" w:before="0"/>
            </w:pPr>
            <w:r>
              <w:rPr>
                <w:sz w:val="16"/>
              </w:rPr>
              <w:t xml:space="preserve">same</w:t>
            </w:r>
          </w:p>
        </w:tc>
        <w:tc>
          <w:tcPr/>
          <w:p>
            <w:pPr>
              <w:pStyle w:val="Compact"/>
              <w:spacing w:after="0" w:before="0"/>
            </w:pPr>
            <w:r>
              <w:rPr>
                <w:sz w:val="16"/>
              </w:rPr>
              <w:t xml:space="preserve">confirmed</w:t>
            </w:r>
          </w:p>
        </w:tc>
        <w:tc>
          <w:tcPr/>
          <w:p>
            <w:pPr>
              <w:pStyle w:val="Compact"/>
              <w:spacing w:after="0" w:before="0"/>
            </w:pPr>
            <w:r>
              <w:rPr>
                <w:sz w:val="16"/>
              </w:rPr>
              <w:t xml:space="preserve">348 (10 d) and 435 (28 d) mL/g VS</w:t>
            </w:r>
          </w:p>
        </w:tc>
      </w:tr>
      <w:tr>
        <w:tc>
          <w:tcPr/>
          <w:p>
            <w:pPr>
              <w:pStyle w:val="Compact"/>
              <w:spacing w:after="0" w:before="0"/>
            </w:pPr>
            <w:r>
              <w:rPr>
                <w:sz w:val="16"/>
              </w:rPr>
              <w:t xml:space="preserve">Fugitive methane AD</w:t>
            </w:r>
          </w:p>
        </w:tc>
        <w:tc>
          <w:tcPr/>
          <w:p>
            <w:pPr>
              <w:pStyle w:val="Compact"/>
              <w:spacing w:after="0" w:before="0"/>
            </w:pPr>
            <w:r>
              <w:rPr>
                <w:sz w:val="16"/>
              </w:rPr>
              <w:t xml:space="preserve">5% (1-10%) of CH4 produced</w:t>
            </w:r>
          </w:p>
        </w:tc>
        <w:tc>
          <w:tcPr/>
          <w:p>
            <w:pPr>
              <w:pStyle w:val="Compact"/>
              <w:spacing w:after="0" w:before="0"/>
            </w:pPr>
            <w:r>
              <w:rPr>
                <w:sz w:val="16"/>
              </w:rPr>
              <w:t xml:space="preserve">same</w:t>
            </w:r>
          </w:p>
        </w:tc>
        <w:tc>
          <w:tcPr/>
          <w:p>
            <w:pPr>
              <w:pStyle w:val="Compact"/>
              <w:spacing w:after="0" w:before="0"/>
            </w:pPr>
            <w:r>
              <w:rPr>
                <w:sz w:val="16"/>
              </w:rPr>
              <w:t xml:space="preserve">partly confirmed</w:t>
            </w:r>
          </w:p>
        </w:tc>
        <w:tc>
          <w:tcPr/>
          <w:p>
            <w:pPr>
              <w:pStyle w:val="Compact"/>
              <w:spacing w:after="0" w:before="0"/>
            </w:pPr>
            <w:r>
              <w:rPr>
                <w:sz w:val="16"/>
              </w:rPr>
              <w:t xml:space="preserve">Table 4.1: 0.8 g CH4/kg wet waste (0-8); model value conservative</w:t>
            </w:r>
          </w:p>
        </w:tc>
      </w:tr>
      <w:tr>
        <w:tc>
          <w:tcPr/>
          <w:p>
            <w:pPr>
              <w:pStyle w:val="Compact"/>
              <w:spacing w:after="0" w:before="0"/>
            </w:pPr>
            <w:r>
              <w:rPr>
                <w:sz w:val="16"/>
              </w:rPr>
              <w:t xml:space="preserve">Mechanically separated food: methane yield</w:t>
            </w:r>
          </w:p>
        </w:tc>
        <w:tc>
          <w:tcPr/>
          <w:p>
            <w:pPr>
              <w:pStyle w:val="Compact"/>
              <w:spacing w:after="0" w:before="0"/>
            </w:pPr>
            <w:r>
              <w:rPr>
                <w:sz w:val="16"/>
              </w:rPr>
              <w:t xml:space="preserve">0.60 (0.35-0.85) x source-separated</w:t>
            </w:r>
          </w:p>
        </w:tc>
        <w:tc>
          <w:tcPr/>
          <w:p>
            <w:pPr>
              <w:pStyle w:val="Compact"/>
              <w:spacing w:after="0" w:before="0"/>
            </w:pPr>
            <w:r>
              <w:rPr>
                <w:sz w:val="16"/>
              </w:rPr>
              <w:t xml:space="preserve">1 (not modelled)</w:t>
            </w:r>
          </w:p>
        </w:tc>
        <w:tc>
          <w:tcPr/>
          <w:p>
            <w:pPr>
              <w:pStyle w:val="Compact"/>
              <w:spacing w:after="0" w:before="0"/>
            </w:pPr>
            <w:r>
              <w:rPr>
                <w:sz w:val="16"/>
              </w:rPr>
              <w:t xml:space="preserve">literature range</w:t>
            </w:r>
          </w:p>
        </w:tc>
        <w:tc>
          <w:tcPr/>
          <w:p>
            <w:pPr>
              <w:pStyle w:val="Compact"/>
              <w:spacing w:after="0" w:before="0"/>
            </w:pPr>
            <w:r>
              <w:rPr>
                <w:sz w:val="16"/>
              </w:rPr>
              <w:t xml:space="preserve">Seruga 2020 (full scale, ratio about 0.84); Basinas 2020, 2021 (0.11-0.18 vs 0.30-0.40 m3/kg VS); Ebner 2021</w:t>
            </w:r>
          </w:p>
        </w:tc>
      </w:tr>
      <w:tr>
        <w:tc>
          <w:tcPr/>
          <w:p>
            <w:pPr>
              <w:pStyle w:val="Compact"/>
              <w:spacing w:after="0" w:before="0"/>
            </w:pPr>
            <w:r>
              <w:rPr>
                <w:sz w:val="16"/>
              </w:rPr>
              <w:t xml:space="preserve">PHB production cost</w:t>
            </w:r>
          </w:p>
        </w:tc>
        <w:tc>
          <w:tcPr/>
          <w:p>
            <w:pPr>
              <w:pStyle w:val="Compact"/>
              <w:spacing w:after="0" w:before="0"/>
            </w:pPr>
            <w:r>
              <w:rPr>
                <w:sz w:val="16"/>
              </w:rPr>
              <w:t xml:space="preserve">6.8 USD/kg at 500 t/a, falling with scale</w:t>
            </w:r>
          </w:p>
        </w:tc>
        <w:tc>
          <w:tcPr/>
          <w:p>
            <w:pPr>
              <w:pStyle w:val="Compact"/>
              <w:spacing w:after="0" w:before="0"/>
            </w:pPr>
            <w:r>
              <w:rPr>
                <w:sz w:val="16"/>
              </w:rPr>
              <w:t xml:space="preserve">same</w:t>
            </w:r>
          </w:p>
        </w:tc>
        <w:tc>
          <w:tcPr/>
          <w:p>
            <w:pPr>
              <w:pStyle w:val="Compact"/>
              <w:spacing w:after="0" w:before="0"/>
            </w:pPr>
            <w:r>
              <w:rPr>
                <w:sz w:val="16"/>
              </w:rPr>
              <w:t xml:space="preserve">partly confirmed</w:t>
            </w:r>
          </w:p>
        </w:tc>
        <w:tc>
          <w:tcPr/>
          <w:p>
            <w:pPr>
              <w:pStyle w:val="Compact"/>
              <w:spacing w:after="0" w:before="0"/>
            </w:pPr>
            <w:r>
              <w:rPr>
                <w:sz w:val="16"/>
              </w:rPr>
              <w:t xml:space="preserve">Abstract: cost could fall to AUD 1.5-2.0/kg with centralised large-scale extraction (aspirational); see scenario phb_large_scale_cost</w:t>
            </w:r>
          </w:p>
        </w:tc>
      </w:tr>
      <w:tr>
        <w:tc>
          <w:tcPr/>
          <w:p>
            <w:pPr>
              <w:pStyle w:val="Compact"/>
              <w:spacing w:after="0" w:before="0"/>
            </w:pPr>
            <w:r>
              <w:rPr>
                <w:sz w:val="16"/>
              </w:rPr>
              <w:t xml:space="preserve">WtE at small scale in Indonesia</w:t>
            </w:r>
          </w:p>
        </w:tc>
        <w:tc>
          <w:tcPr/>
          <w:p>
            <w:pPr>
              <w:pStyle w:val="Compact"/>
              <w:spacing w:after="0" w:before="0"/>
            </w:pPr>
            <w:r>
              <w:rPr>
                <w:sz w:val="16"/>
              </w:rPr>
              <w:t xml:space="preserve">-</w:t>
            </w:r>
          </w:p>
        </w:tc>
        <w:tc>
          <w:tcPr/>
          <w:p>
            <w:pPr>
              <w:pStyle w:val="Compact"/>
              <w:spacing w:after="0" w:before="0"/>
            </w:pPr>
            <w:r>
              <w:rPr>
                <w:sz w:val="16"/>
              </w:rPr>
              <w:t xml:space="preserve">-</w:t>
            </w:r>
          </w:p>
        </w:tc>
        <w:tc>
          <w:tcPr/>
          <w:p>
            <w:pPr>
              <w:pStyle w:val="Compact"/>
              <w:spacing w:after="0" w:before="0"/>
            </w:pPr>
            <w:r>
              <w:rPr>
                <w:sz w:val="16"/>
              </w:rPr>
              <w:t xml:space="preserve">observation</w:t>
            </w:r>
          </w:p>
        </w:tc>
        <w:tc>
          <w:tcPr/>
          <w:p>
            <w:pPr>
              <w:pStyle w:val="Compact"/>
              <w:spacing w:after="0" w:before="0"/>
            </w:pPr>
            <w:r>
              <w:rPr>
                <w:sz w:val="16"/>
              </w:rPr>
              <w:t xml:space="preserve">Bantargebang pilot (100 t/d design, 70.6 t/d average, 2022): 956 MWh generated vs 1,369 MWh own demand (Febijanto et al. 2024); consistent with the 150 t/d scale gate</w:t>
            </w:r>
          </w:p>
        </w:tc>
      </w:tr>
      <w:tr>
        <w:tc>
          <w:tcPr/>
          <w:p>
            <w:pPr>
              <w:pStyle w:val="Compact"/>
              <w:spacing w:after="0" w:before="0"/>
            </w:pPr>
            <w:r>
              <w:rPr>
                <w:sz w:val="16"/>
              </w:rPr>
              <w:t xml:space="preserve">RIPS composition and tonnage</w:t>
            </w:r>
          </w:p>
        </w:tc>
        <w:tc>
          <w:tcPr/>
          <w:p>
            <w:pPr>
              <w:pStyle w:val="Compact"/>
              <w:spacing w:after="0" w:before="0"/>
            </w:pPr>
            <w:r>
              <w:rPr>
                <w:sz w:val="16"/>
              </w:rPr>
              <w:t xml:space="preserve">21 RIPS extracts</w:t>
            </w:r>
          </w:p>
        </w:tc>
        <w:tc>
          <w:tcPr/>
          <w:p>
            <w:pPr>
              <w:pStyle w:val="Compact"/>
              <w:spacing w:after="0" w:before="0"/>
            </w:pPr>
            <w:r>
              <w:rPr>
                <w:sz w:val="16"/>
              </w:rPr>
              <w:t xml:space="preserve">-</w:t>
            </w:r>
          </w:p>
        </w:tc>
        <w:tc>
          <w:tcPr/>
          <w:p>
            <w:pPr>
              <w:pStyle w:val="Compact"/>
              <w:spacing w:after="0" w:before="0"/>
            </w:pPr>
            <w:r>
              <w:rPr>
                <w:sz w:val="16"/>
              </w:rPr>
              <w:t xml:space="preserve">not re-verified</w:t>
            </w:r>
          </w:p>
        </w:tc>
        <w:tc>
          <w:tcPr/>
          <w:p>
            <w:pPr>
              <w:pStyle w:val="Compact"/>
              <w:spacing w:after="0" w:before="0"/>
            </w:pPr>
            <w:r>
              <w:rPr>
                <w:sz w:val="16"/>
              </w:rPr>
              <w:t xml:space="preserve">Source PDFs not available in this session; row-level locators kept in the input file</w:t>
            </w:r>
          </w:p>
        </w:tc>
      </w:tr>
    </w:tbl>
    <w:p>
      <w:pPr>
        <w:pStyle w:val="Caption"/>
      </w:pPr>
      <w:r>
        <w:t xml:space="preserve">Table 3a: Secondary-data verification. Status V in the register is kept only for the four values confirmed in the source record (food-waste methane yield, WtE CAPEX and O&amp;M, electricity price); other values formerly marked V are now L. The 21 RIPS compositions and tonnages were not re-verified because the source PDFs were not available; their row-level page locators are kept in the input file.</w:t>
      </w:r>
    </w:p>
    <w:bookmarkEnd w:id="35"/>
    <w:bookmarkEnd w:id="36"/>
    <w:bookmarkStart w:id="37" w:name="verification-and-validation"/>
    <w:p>
      <w:pPr>
        <w:pStyle w:val="Heading1"/>
      </w:pPr>
      <w:r>
        <w:t xml:space="preserve">7 Verification and validation</w:t>
      </w:r>
    </w:p>
    <w:p>
      <w:pPr>
        <w:pStyle w:val="FirstParagraph"/>
        <w:jc w:val="both"/>
      </w:pPr>
      <w:r>
        <w:t xml:space="preserve">Because the facilities do not exist, the model cannot be validated against their measured performance. Four layers are therefore kept apart, following the usual distinction between verification (is the model computed as specified?) and validation (does it represent the system well enough for its purpose?).</w:t>
      </w:r>
    </w:p>
    <w:p>
      <w:pPr>
        <w:pStyle w:val="BodyText"/>
        <w:jc w:val="both"/>
      </w:pPr>
      <w:r>
        <w:rPr>
          <w:b/>
          <w:bCs/>
        </w:rPr>
        <w:t xml:space="preserve">(a) Verification of the code and data.</w:t>
      </w:r>
      <w:r>
        <w:t xml:space="preserve"> </w:t>
      </w:r>
      <w:r>
        <w:rPr>
          <w:i/>
          <w:iCs/>
        </w:rPr>
        <w:t xml:space="preserve">validate_v3.py</w:t>
      </w:r>
      <w:r>
        <w:t xml:space="preserve"> </w:t>
      </w:r>
      <w:r>
        <w:t xml:space="preserve">ran 88 checks; 88 passed. They include an explicit hand recalculation of every result for Kota Padang (the worked example), which must reproduce the model to 10</w:t>
      </w:r>
      <w:r>
        <w:rPr>
          <w:vertAlign w:val="superscript"/>
        </w:rPr>
        <w:t xml:space="preserve">−6</w:t>
      </w:r>
      <w:r>
        <w:t xml:space="preserve">.</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188"/>
        <w:gridCol w:w="660"/>
        <w:gridCol w:w="6072"/>
      </w:tblGrid>
      <w:tr>
        <w:trPr>
          <w:tblHeader w:val="on"/>
        </w:trPr>
        <w:tc>
          <w:tcPr>
            <w:shd w:val="clear" w:color="auto" w:fill="DCE6F0"/>
          </w:tcPr>
          <w:p>
            <w:pPr>
              <w:pStyle w:val="Compact"/>
              <w:spacing w:after="0" w:before="0"/>
            </w:pPr>
            <w:r>
              <w:rPr>
                <w:b/>
                <w:sz w:val="16"/>
              </w:rPr>
              <w:t xml:space="preserve">Group</w:t>
            </w:r>
          </w:p>
        </w:tc>
        <w:tc>
          <w:tcPr>
            <w:shd w:val="clear" w:color="auto" w:fill="DCE6F0"/>
          </w:tcPr>
          <w:p>
            <w:pPr>
              <w:pStyle w:val="Compact"/>
              <w:spacing w:after="0" w:before="0"/>
            </w:pPr>
            <w:r>
              <w:rPr>
                <w:b/>
                <w:sz w:val="16"/>
              </w:rPr>
              <w:t xml:space="preserve">Checks</w:t>
            </w:r>
          </w:p>
        </w:tc>
        <w:tc>
          <w:tcPr>
            <w:shd w:val="clear" w:color="auto" w:fill="DCE6F0"/>
          </w:tcPr>
          <w:p>
            <w:pPr>
              <w:pStyle w:val="Compact"/>
              <w:spacing w:after="0" w:before="0"/>
            </w:pPr>
            <w:r>
              <w:rPr>
                <w:b/>
                <w:sz w:val="16"/>
              </w:rPr>
              <w:t xml:space="preserve">Examples of what is tested</w:t>
            </w:r>
          </w:p>
        </w:tc>
      </w:tr>
      <w:tr>
        <w:tc>
          <w:tcPr/>
          <w:p>
            <w:pPr>
              <w:pStyle w:val="Compact"/>
              <w:spacing w:after="0" w:before="0"/>
            </w:pPr>
            <w:r>
              <w:rPr>
                <w:sz w:val="16"/>
              </w:rPr>
              <w:t xml:space="preserve">blank vs zero</w:t>
            </w:r>
          </w:p>
        </w:tc>
        <w:tc>
          <w:tcPr/>
          <w:p>
            <w:pPr>
              <w:pStyle w:val="Compact"/>
              <w:spacing w:after="0" w:before="0"/>
            </w:pPr>
            <w:r>
              <w:rPr>
                <w:sz w:val="16"/>
              </w:rPr>
              <w:t xml:space="preserve">6/6</w:t>
            </w:r>
          </w:p>
        </w:tc>
        <w:tc>
          <w:tcPr/>
          <w:p>
            <w:pPr>
              <w:pStyle w:val="Compact"/>
              <w:spacing w:after="0" w:before="0"/>
            </w:pPr>
            <w:r>
              <w:rPr>
                <w:sz w:val="16"/>
              </w:rPr>
              <w:t xml:space="preserve">blank DOCf stays blank; parser treats blank and reported-zero glass without imputation; old file rejected</w:t>
            </w:r>
          </w:p>
        </w:tc>
      </w:tr>
      <w:tr>
        <w:tc>
          <w:tcPr/>
          <w:p>
            <w:pPr>
              <w:pStyle w:val="Compact"/>
              <w:spacing w:after="0" w:before="0"/>
            </w:pPr>
            <w:r>
              <w:rPr>
                <w:sz w:val="16"/>
              </w:rPr>
              <w:t xml:space="preserve">taxonomy</w:t>
            </w:r>
          </w:p>
        </w:tc>
        <w:tc>
          <w:tcPr/>
          <w:p>
            <w:pPr>
              <w:pStyle w:val="Compact"/>
              <w:spacing w:after="0" w:before="0"/>
            </w:pPr>
            <w:r>
              <w:rPr>
                <w:sz w:val="16"/>
              </w:rPr>
              <w:t xml:space="preserve">7/7</w:t>
            </w:r>
          </w:p>
        </w:tc>
        <w:tc>
          <w:tcPr/>
          <w:p>
            <w:pPr>
              <w:pStyle w:val="Compact"/>
              <w:spacing w:after="0" w:before="0"/>
            </w:pPr>
            <w:r>
              <w:rPr>
                <w:sz w:val="16"/>
              </w:rPr>
              <w:t xml:space="preserve">(level, code) unique in 3 tables; 10/36/56 counts; every parent exists; 6.* documented</w:t>
            </w:r>
          </w:p>
        </w:tc>
      </w:tr>
      <w:tr>
        <w:tc>
          <w:tcPr/>
          <w:p>
            <w:pPr>
              <w:pStyle w:val="Compact"/>
              <w:spacing w:after="0" w:before="0"/>
            </w:pPr>
            <w:r>
              <w:rPr>
                <w:sz w:val="16"/>
              </w:rPr>
              <w:t xml:space="preserve">mass balance</w:t>
            </w:r>
          </w:p>
        </w:tc>
        <w:tc>
          <w:tcPr/>
          <w:p>
            <w:pPr>
              <w:pStyle w:val="Compact"/>
              <w:spacing w:after="0" w:before="0"/>
            </w:pPr>
            <w:r>
              <w:rPr>
                <w:sz w:val="16"/>
              </w:rPr>
              <w:t xml:space="preserve">6/6</w:t>
            </w:r>
          </w:p>
        </w:tc>
        <w:tc>
          <w:tcPr/>
          <w:p>
            <w:pPr>
              <w:pStyle w:val="Compact"/>
              <w:spacing w:after="0" w:before="0"/>
            </w:pPr>
            <w:r>
              <w:rPr>
                <w:sz w:val="16"/>
              </w:rPr>
              <w:t xml:space="preserve">M_dom + M_nd = Q2025; Level I = 100%; Level II = parent; terminal partition = 100% (78 leaves)</w:t>
            </w:r>
          </w:p>
        </w:tc>
      </w:tr>
      <w:tr>
        <w:tc>
          <w:tcPr/>
          <w:p>
            <w:pPr>
              <w:pStyle w:val="Compact"/>
              <w:spacing w:after="0" w:before="0"/>
            </w:pPr>
            <w:r>
              <w:rPr>
                <w:sz w:val="16"/>
              </w:rPr>
              <w:t xml:space="preserve">parent-child</w:t>
            </w:r>
          </w:p>
        </w:tc>
        <w:tc>
          <w:tcPr/>
          <w:p>
            <w:pPr>
              <w:pStyle w:val="Compact"/>
              <w:spacing w:after="0" w:before="0"/>
            </w:pPr>
            <w:r>
              <w:rPr>
                <w:sz w:val="16"/>
              </w:rPr>
              <w:t xml:space="preserve">5/5</w:t>
            </w:r>
          </w:p>
        </w:tc>
        <w:tc>
          <w:tcPr/>
          <w:p>
            <w:pPr>
              <w:pStyle w:val="Compact"/>
              <w:spacing w:after="0" w:before="0"/>
            </w:pPr>
            <w:r>
              <w:rPr>
                <w:sz w:val="16"/>
              </w:rPr>
              <w:t xml:space="preserve">Level III = Level II parent; detail file partial (76.8-93.7%); conditional shares only for complete sets</w:t>
            </w:r>
          </w:p>
        </w:tc>
      </w:tr>
      <w:tr>
        <w:tc>
          <w:tcPr/>
          <w:p>
            <w:pPr>
              <w:pStyle w:val="Compact"/>
              <w:spacing w:after="0" w:before="0"/>
            </w:pPr>
            <w:r>
              <w:rPr>
                <w:sz w:val="16"/>
              </w:rPr>
              <w:t xml:space="preserve">projection</w:t>
            </w:r>
          </w:p>
        </w:tc>
        <w:tc>
          <w:tcPr/>
          <w:p>
            <w:pPr>
              <w:pStyle w:val="Compact"/>
              <w:spacing w:after="0" w:before="0"/>
            </w:pPr>
            <w:r>
              <w:rPr>
                <w:sz w:val="16"/>
              </w:rPr>
              <w:t xml:space="preserve">6/6</w:t>
            </w:r>
          </w:p>
        </w:tc>
        <w:tc>
          <w:tcPr/>
          <w:p>
            <w:pPr>
              <w:pStyle w:val="Compact"/>
              <w:spacing w:after="0" w:before="0"/>
            </w:pPr>
            <w:r>
              <w:rPr>
                <w:sz w:val="16"/>
              </w:rPr>
              <w:t xml:space="preserve">Q2025 = Qt(1+g)^expo once; exponent 0 when already 2025; overview year blank and flagged</w:t>
            </w:r>
          </w:p>
        </w:tc>
      </w:tr>
      <w:tr>
        <w:tc>
          <w:tcPr/>
          <w:p>
            <w:pPr>
              <w:pStyle w:val="Compact"/>
              <w:spacing w:after="0" w:before="0"/>
            </w:pPr>
            <w:r>
              <w:rPr>
                <w:sz w:val="16"/>
              </w:rPr>
              <w:t xml:space="preserve">Qmanaged</w:t>
            </w:r>
          </w:p>
        </w:tc>
        <w:tc>
          <w:tcPr/>
          <w:p>
            <w:pPr>
              <w:pStyle w:val="Compact"/>
              <w:spacing w:after="0" w:before="0"/>
            </w:pPr>
            <w:r>
              <w:rPr>
                <w:sz w:val="16"/>
              </w:rPr>
              <w:t xml:space="preserve">5/5</w:t>
            </w:r>
          </w:p>
        </w:tc>
        <w:tc>
          <w:tcPr/>
          <w:p>
            <w:pPr>
              <w:pStyle w:val="Compact"/>
              <w:spacing w:after="0" w:before="0"/>
            </w:pPr>
            <w:r>
              <w:rPr>
                <w:sz w:val="16"/>
              </w:rPr>
              <w:t xml:space="preserve">M1, M2 &lt;= Q2025; Serang 7.45% not 14%; Padang provisional with lower bound</w:t>
            </w:r>
          </w:p>
        </w:tc>
      </w:tr>
      <w:tr>
        <w:tc>
          <w:tcPr/>
          <w:p>
            <w:pPr>
              <w:pStyle w:val="Compact"/>
              <w:spacing w:after="0" w:before="0"/>
            </w:pPr>
            <w:r>
              <w:rPr>
                <w:sz w:val="16"/>
              </w:rPr>
              <w:t xml:space="preserve">wet/dry</w:t>
            </w:r>
          </w:p>
        </w:tc>
        <w:tc>
          <w:tcPr/>
          <w:p>
            <w:pPr>
              <w:pStyle w:val="Compact"/>
              <w:spacing w:after="0" w:before="0"/>
            </w:pPr>
            <w:r>
              <w:rPr>
                <w:sz w:val="16"/>
              </w:rPr>
              <w:t xml:space="preserve">7/7</w:t>
            </w:r>
          </w:p>
        </w:tc>
        <w:tc>
          <w:tcPr/>
          <w:p>
            <w:pPr>
              <w:pStyle w:val="Compact"/>
              <w:spacing w:after="0" w:before="0"/>
            </w:pPr>
            <w:r>
              <w:rPr>
                <w:sz w:val="16"/>
              </w:rPr>
              <w:t xml:space="preserve">DOC_dry(1-w) = IPCC wet DOC; LHV dry basis, LHV not HHV; DOCf separate from AD yield; soil/wood separated</w:t>
            </w:r>
          </w:p>
        </w:tc>
      </w:tr>
      <w:tr>
        <w:tc>
          <w:tcPr/>
          <w:p>
            <w:pPr>
              <w:pStyle w:val="Compact"/>
              <w:spacing w:after="0" w:before="0"/>
            </w:pPr>
            <w:r>
              <w:rPr>
                <w:sz w:val="16"/>
              </w:rPr>
              <w:t xml:space="preserve">provenance</w:t>
            </w:r>
          </w:p>
        </w:tc>
        <w:tc>
          <w:tcPr/>
          <w:p>
            <w:pPr>
              <w:pStyle w:val="Compact"/>
              <w:spacing w:after="0" w:before="0"/>
            </w:pPr>
            <w:r>
              <w:rPr>
                <w:sz w:val="16"/>
              </w:rPr>
              <w:t xml:space="preserve">7/7</w:t>
            </w:r>
          </w:p>
        </w:tc>
        <w:tc>
          <w:tcPr/>
          <w:p>
            <w:pPr>
              <w:pStyle w:val="Compact"/>
              <w:spacing w:after="0" w:before="0"/>
            </w:pPr>
            <w:r>
              <w:rPr>
                <w:sz w:val="16"/>
              </w:rPr>
              <w:t xml:space="preserve">every row has source, locator and status; proxies keep proxy status; heuristics labelled</w:t>
            </w:r>
          </w:p>
        </w:tc>
      </w:tr>
      <w:tr>
        <w:tc>
          <w:tcPr/>
          <w:p>
            <w:pPr>
              <w:pStyle w:val="Compact"/>
              <w:spacing w:after="0" w:before="0"/>
            </w:pPr>
            <w:r>
              <w:rPr>
                <w:sz w:val="16"/>
              </w:rPr>
              <w:t xml:space="preserve">CED/LU</w:t>
            </w:r>
          </w:p>
        </w:tc>
        <w:tc>
          <w:tcPr/>
          <w:p>
            <w:pPr>
              <w:pStyle w:val="Compact"/>
              <w:spacing w:after="0" w:before="0"/>
            </w:pPr>
            <w:r>
              <w:rPr>
                <w:sz w:val="16"/>
              </w:rPr>
              <w:t xml:space="preserve">7/7</w:t>
            </w:r>
          </w:p>
        </w:tc>
        <w:tc>
          <w:tcPr/>
          <w:p>
            <w:pPr>
              <w:pStyle w:val="Compact"/>
              <w:spacing w:after="0" w:before="0"/>
            </w:pPr>
            <w:r>
              <w:rPr>
                <w:sz w:val="16"/>
              </w:rPr>
              <w:t xml:space="preserve">factors have source and status; land take non-negative; landfill area = 1/(rho H) x gross; G and C unchanged</w:t>
            </w:r>
          </w:p>
        </w:tc>
      </w:tr>
      <w:tr>
        <w:tc>
          <w:tcPr/>
          <w:p>
            <w:pPr>
              <w:pStyle w:val="Compact"/>
              <w:spacing w:after="0" w:before="0"/>
            </w:pPr>
            <w:r>
              <w:rPr>
                <w:sz w:val="16"/>
              </w:rPr>
              <w:t xml:space="preserve">template</w:t>
            </w:r>
          </w:p>
        </w:tc>
        <w:tc>
          <w:tcPr/>
          <w:p>
            <w:pPr>
              <w:pStyle w:val="Compact"/>
              <w:spacing w:after="0" w:before="0"/>
            </w:pPr>
            <w:r>
              <w:rPr>
                <w:sz w:val="16"/>
              </w:rPr>
              <w:t xml:space="preserve">4/4</w:t>
            </w:r>
          </w:p>
        </w:tc>
        <w:tc>
          <w:tcPr/>
          <w:p>
            <w:pPr>
              <w:pStyle w:val="Compact"/>
              <w:spacing w:after="0" w:before="0"/>
            </w:pPr>
            <w:r>
              <w:rPr>
                <w:sz w:val="16"/>
              </w:rPr>
              <w:t xml:space="preserve">user-template round trip reproduces results; invalid input rejected; blank glass not zero; single projection</w:t>
            </w:r>
          </w:p>
        </w:tc>
      </w:tr>
      <w:tr>
        <w:tc>
          <w:tcPr/>
          <w:p>
            <w:pPr>
              <w:pStyle w:val="Compact"/>
              <w:spacing w:after="0" w:before="0"/>
            </w:pPr>
            <w:r>
              <w:rPr>
                <w:sz w:val="16"/>
              </w:rPr>
              <w:t xml:space="preserve">v3.2 data</w:t>
            </w:r>
          </w:p>
        </w:tc>
        <w:tc>
          <w:tcPr/>
          <w:p>
            <w:pPr>
              <w:pStyle w:val="Compact"/>
              <w:spacing w:after="0" w:before="0"/>
            </w:pPr>
            <w:r>
              <w:rPr>
                <w:sz w:val="16"/>
              </w:rPr>
              <w:t xml:space="preserve">7/7</w:t>
            </w:r>
          </w:p>
        </w:tc>
        <w:tc>
          <w:tcPr/>
          <w:p>
            <w:pPr>
              <w:pStyle w:val="Compact"/>
              <w:spacing w:after="0" w:before="0"/>
            </w:pPr>
            <w:r>
              <w:rPr>
                <w:sz w:val="16"/>
              </w:rPr>
              <w:t xml:space="preserve">corrected values in use; ESDM 2018 grid factors; status V only where confirmed; every item has evidence</w:t>
            </w:r>
          </w:p>
        </w:tc>
      </w:tr>
      <w:tr>
        <w:tc>
          <w:tcPr/>
          <w:p>
            <w:pPr>
              <w:pStyle w:val="Compact"/>
              <w:spacing w:after="0" w:before="0"/>
            </w:pPr>
            <w:r>
              <w:rPr>
                <w:sz w:val="16"/>
              </w:rPr>
              <w:t xml:space="preserve">v3.2 model</w:t>
            </w:r>
          </w:p>
        </w:tc>
        <w:tc>
          <w:tcPr/>
          <w:p>
            <w:pPr>
              <w:pStyle w:val="Compact"/>
              <w:spacing w:after="0" w:before="0"/>
            </w:pPr>
            <w:r>
              <w:rPr>
                <w:sz w:val="16"/>
              </w:rPr>
              <w:t xml:space="preserve">5/5</w:t>
            </w:r>
          </w:p>
        </w:tc>
        <w:tc>
          <w:tcPr/>
          <w:p>
            <w:pPr>
              <w:pStyle w:val="Compact"/>
              <w:spacing w:after="0" w:before="0"/>
            </w:pPr>
            <w:r>
              <w:rPr>
                <w:sz w:val="16"/>
              </w:rPr>
              <w:t xml:space="preserve">AD penalty changes only S3/S5; glass imputation only where not reported; RDF NCV stress applied</w:t>
            </w:r>
          </w:p>
        </w:tc>
      </w:tr>
      <w:tr>
        <w:tc>
          <w:tcPr/>
          <w:p>
            <w:pPr>
              <w:pStyle w:val="Compact"/>
              <w:spacing w:after="0" w:before="0"/>
            </w:pPr>
            <w:r>
              <w:rPr>
                <w:sz w:val="16"/>
              </w:rPr>
              <w:t xml:space="preserve">v3.2 decision</w:t>
            </w:r>
          </w:p>
        </w:tc>
        <w:tc>
          <w:tcPr/>
          <w:p>
            <w:pPr>
              <w:pStyle w:val="Compact"/>
              <w:spacing w:after="0" w:before="0"/>
            </w:pPr>
            <w:r>
              <w:rPr>
                <w:sz w:val="16"/>
              </w:rPr>
              <w:t xml:space="preserve">5/5</w:t>
            </w:r>
          </w:p>
        </w:tc>
        <w:tc>
          <w:tcPr/>
          <w:p>
            <w:pPr>
              <w:pStyle w:val="Compact"/>
              <w:spacing w:after="0" w:before="0"/>
            </w:pPr>
            <w:r>
              <w:rPr>
                <w:sz w:val="16"/>
              </w:rPr>
              <w:t xml:space="preserve">P(best) sums to 1; standard errors bounded; EVPPI &lt;= EVPI; break-even closes the gap; Padang hand calculation</w:t>
            </w:r>
          </w:p>
        </w:tc>
      </w:tr>
      <w:tr>
        <w:tc>
          <w:tcPr/>
          <w:p>
            <w:pPr>
              <w:pStyle w:val="Compact"/>
              <w:spacing w:after="0" w:before="0"/>
            </w:pPr>
            <w:r>
              <w:rPr>
                <w:sz w:val="16"/>
              </w:rPr>
              <w:t xml:space="preserve">v3.2 wording</w:t>
            </w:r>
          </w:p>
        </w:tc>
        <w:tc>
          <w:tcPr/>
          <w:p>
            <w:pPr>
              <w:pStyle w:val="Compact"/>
              <w:spacing w:after="0" w:before="0"/>
            </w:pPr>
            <w:r>
              <w:rPr>
                <w:sz w:val="16"/>
              </w:rPr>
              <w:t xml:space="preserve">1/1</w:t>
            </w:r>
          </w:p>
        </w:tc>
        <w:tc>
          <w:tcPr/>
          <w:p>
            <w:pPr>
              <w:pStyle w:val="Compact"/>
              <w:spacing w:after="0" w:before="0"/>
            </w:pPr>
            <w:r>
              <w:rPr>
                <w:sz w:val="16"/>
              </w:rPr>
              <w:t xml:space="preserve">no</w:t>
            </w:r>
            <w:r>
              <w:rPr>
                <w:sz w:val="16"/>
              </w:rPr>
              <w:t xml:space="preserve"> </w:t>
            </w:r>
            <w:r>
              <w:rPr>
                <w:sz w:val="16"/>
              </w:rPr>
              <w:t xml:space="preserve">‘statistical tie’</w:t>
            </w:r>
            <w:r>
              <w:rPr>
                <w:sz w:val="16"/>
              </w:rPr>
              <w:t xml:space="preserve"> </w:t>
            </w:r>
            <w:r>
              <w:rPr>
                <w:sz w:val="16"/>
              </w:rPr>
              <w:t xml:space="preserve">or</w:t>
            </w:r>
            <w:r>
              <w:rPr>
                <w:sz w:val="16"/>
              </w:rPr>
              <w:t xml:space="preserve"> </w:t>
            </w:r>
            <w:r>
              <w:rPr>
                <w:sz w:val="16"/>
              </w:rPr>
              <w:t xml:space="preserve">‘social cost’</w:t>
            </w:r>
            <w:r>
              <w:rPr>
                <w:sz w:val="16"/>
              </w:rPr>
              <w:t xml:space="preserve"> </w:t>
            </w:r>
            <w:r>
              <w:rPr>
                <w:sz w:val="16"/>
              </w:rPr>
              <w:t xml:space="preserve">as decision metric in code and tool</w:t>
            </w:r>
          </w:p>
        </w:tc>
      </w:tr>
      <w:tr>
        <w:tc>
          <w:tcPr/>
          <w:p>
            <w:pPr>
              <w:pStyle w:val="Compact"/>
              <w:spacing w:after="0" w:before="0"/>
            </w:pPr>
            <w:r>
              <w:rPr>
                <w:sz w:val="16"/>
              </w:rPr>
              <w:t xml:space="preserve">one-city tool</w:t>
            </w:r>
          </w:p>
        </w:tc>
        <w:tc>
          <w:tcPr/>
          <w:p>
            <w:pPr>
              <w:pStyle w:val="Compact"/>
              <w:spacing w:after="0" w:before="0"/>
            </w:pPr>
            <w:r>
              <w:rPr>
                <w:sz w:val="16"/>
              </w:rPr>
              <w:t xml:space="preserve">5/5</w:t>
            </w:r>
          </w:p>
        </w:tc>
        <w:tc>
          <w:tcPr/>
          <w:p>
            <w:pPr>
              <w:pStyle w:val="Compact"/>
              <w:spacing w:after="0" w:before="0"/>
            </w:pPr>
            <w:r>
              <w:rPr>
                <w:sz w:val="16"/>
              </w:rPr>
              <w:t xml:space="preserve">Padang template reproduces the database results; CSV = XLSX; blank template rejected; local values applied</w:t>
            </w:r>
          </w:p>
        </w:tc>
      </w:tr>
      <w:tr>
        <w:tc>
          <w:tcPr/>
          <w:p>
            <w:pPr>
              <w:pStyle w:val="Compact"/>
              <w:spacing w:after="0" w:before="0"/>
            </w:pPr>
            <w:r>
              <w:rPr>
                <w:sz w:val="16"/>
              </w:rPr>
              <w:t xml:space="preserve">projection 2045</w:t>
            </w:r>
          </w:p>
        </w:tc>
        <w:tc>
          <w:tcPr/>
          <w:p>
            <w:pPr>
              <w:pStyle w:val="Compact"/>
              <w:spacing w:after="0" w:before="0"/>
            </w:pPr>
            <w:r>
              <w:rPr>
                <w:sz w:val="16"/>
              </w:rPr>
              <w:t xml:space="preserve">5/5</w:t>
            </w:r>
          </w:p>
        </w:tc>
        <w:tc>
          <w:tcPr/>
          <w:p>
            <w:pPr>
              <w:pStyle w:val="Compact"/>
              <w:spacing w:after="0" w:before="0"/>
            </w:pPr>
            <w:r>
              <w:rPr>
                <w:sz w:val="16"/>
              </w:rPr>
              <w:t xml:space="preserve">grid path; WtE change = kWh x EF x (1 - factor); escalation changes costs only; single tonnage projection; notebook = full run</w:t>
            </w:r>
          </w:p>
        </w:tc>
      </w:tr>
    </w:tbl>
    <w:p>
      <w:pPr>
        <w:pStyle w:val="Caption"/>
      </w:pPr>
      <w:r>
        <w:t xml:space="preserve">Table S5: Verification checks by group (full list in</w:t>
      </w:r>
      <w:r>
        <w:t xml:space="preserve"> </w:t>
      </w:r>
      <w:r>
        <w:rPr>
          <w:i/>
          <w:iCs/>
        </w:rPr>
        <w:t xml:space="preserve">outputs/validation_report.md</w:t>
      </w:r>
      <w:r>
        <w:t xml:space="preserve">). The model also asserts the single projection for every location, the S5 mass balance and that biogas carbon is below food carbon.</w:t>
      </w:r>
    </w:p>
    <w:p>
      <w:pPr>
        <w:pStyle w:val="BodyText"/>
        <w:jc w:val="both"/>
      </w:pPr>
      <w:r>
        <w:rPr>
          <w:b/>
          <w:bCs/>
        </w:rPr>
        <w:t xml:space="preserve">(b) Benchmark validation.</w:t>
      </w:r>
      <w:r>
        <w:t xml:space="preserve"> </w:t>
      </w:r>
      <w:r>
        <w:t xml:space="preserve">Intermediate outputs that do not depend on a facility existing (moisture, heating value, RDF yield and quality, WtE electricity per tonne) were compared with independent Indonesian values from the verified sources. The verdict is computed, not judged (Table 4).</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52"/>
        <w:gridCol w:w="1452"/>
        <w:gridCol w:w="3564"/>
        <w:gridCol w:w="1452"/>
      </w:tblGrid>
      <w:tr>
        <w:trPr>
          <w:tblHeader w:val="on"/>
        </w:trPr>
        <w:tc>
          <w:tcPr>
            <w:shd w:val="clear" w:color="auto" w:fill="DCE6F0"/>
          </w:tcPr>
          <w:p>
            <w:pPr>
              <w:pStyle w:val="Compact"/>
              <w:spacing w:after="0" w:before="0"/>
            </w:pPr>
            <w:r>
              <w:rPr>
                <w:b/>
                <w:sz w:val="16"/>
              </w:rPr>
              <w:t xml:space="preserve">Quantity</w:t>
            </w:r>
          </w:p>
        </w:tc>
        <w:tc>
          <w:tcPr>
            <w:shd w:val="clear" w:color="auto" w:fill="DCE6F0"/>
          </w:tcPr>
          <w:p>
            <w:pPr>
              <w:pStyle w:val="Compact"/>
              <w:spacing w:after="0" w:before="0"/>
            </w:pPr>
            <w:r>
              <w:rPr>
                <w:b/>
                <w:sz w:val="16"/>
              </w:rPr>
              <w:t xml:space="preserve">Model, 21 locations</w:t>
            </w:r>
          </w:p>
        </w:tc>
        <w:tc>
          <w:tcPr>
            <w:shd w:val="clear" w:color="auto" w:fill="DCE6F0"/>
          </w:tcPr>
          <w:p>
            <w:pPr>
              <w:pStyle w:val="Compact"/>
              <w:spacing w:after="0" w:before="0"/>
            </w:pPr>
            <w:r>
              <w:rPr>
                <w:b/>
                <w:sz w:val="16"/>
              </w:rPr>
              <w:t xml:space="preserve">Reference (verified source)</w:t>
            </w:r>
          </w:p>
        </w:tc>
        <w:tc>
          <w:tcPr>
            <w:shd w:val="clear" w:color="auto" w:fill="DCE6F0"/>
          </w:tcPr>
          <w:p>
            <w:pPr>
              <w:pStyle w:val="Compact"/>
              <w:spacing w:after="0" w:before="0"/>
            </w:pPr>
            <w:r>
              <w:rPr>
                <w:b/>
                <w:sz w:val="16"/>
              </w:rPr>
              <w:t xml:space="preserve">Verdict</w:t>
            </w:r>
          </w:p>
        </w:tc>
      </w:tr>
      <w:tr>
        <w:tc>
          <w:tcPr/>
          <w:p>
            <w:pPr>
              <w:pStyle w:val="Compact"/>
              <w:spacing w:after="0" w:before="0"/>
            </w:pPr>
            <w:r>
              <w:rPr>
                <w:sz w:val="16"/>
              </w:rPr>
              <w:t xml:space="preserve">bulk moisture (-)</w:t>
            </w:r>
          </w:p>
        </w:tc>
        <w:tc>
          <w:tcPr/>
          <w:p>
            <w:pPr>
              <w:pStyle w:val="Compact"/>
              <w:spacing w:after="0" w:before="0"/>
            </w:pPr>
            <w:r>
              <w:rPr>
                <w:sz w:val="16"/>
              </w:rPr>
              <w:t xml:space="preserve">0.39 to 0.60 (median 0.51)</w:t>
            </w:r>
          </w:p>
        </w:tc>
        <w:tc>
          <w:tcPr/>
          <w:p>
            <w:pPr>
              <w:pStyle w:val="Compact"/>
              <w:spacing w:after="0" w:before="0"/>
            </w:pPr>
            <w:r>
              <w:rPr>
                <w:sz w:val="16"/>
              </w:rPr>
              <w:t xml:space="preserve">0.554, raw MSW at Cilacap before biodrying (single site); the 0.53-0.56 and 0.64-0.66 values cited in v3.1 could not be confirmed and were removed</w:t>
            </w:r>
          </w:p>
        </w:tc>
        <w:tc>
          <w:tcPr/>
          <w:p>
            <w:pPr>
              <w:pStyle w:val="Compact"/>
              <w:spacing w:after="0" w:before="0"/>
            </w:pPr>
            <w:r>
              <w:rPr>
                <w:sz w:val="16"/>
              </w:rPr>
              <w:t xml:space="preserve">median within reference</w:t>
            </w:r>
          </w:p>
        </w:tc>
      </w:tr>
      <w:tr>
        <w:tc>
          <w:tcPr/>
          <w:p>
            <w:pPr>
              <w:pStyle w:val="Compact"/>
              <w:spacing w:after="0" w:before="0"/>
            </w:pPr>
            <w:r>
              <w:rPr>
                <w:sz w:val="16"/>
              </w:rPr>
              <w:t xml:space="preserve">LHV as received (MJ/kg)</w:t>
            </w:r>
          </w:p>
        </w:tc>
        <w:tc>
          <w:tcPr/>
          <w:p>
            <w:pPr>
              <w:pStyle w:val="Compact"/>
              <w:spacing w:after="0" w:before="0"/>
            </w:pPr>
            <w:r>
              <w:rPr>
                <w:sz w:val="16"/>
              </w:rPr>
              <w:t xml:space="preserve">5.0 to 9.5 (median 7.2)</w:t>
            </w:r>
          </w:p>
        </w:tc>
        <w:tc>
          <w:tcPr/>
          <w:p>
            <w:pPr>
              <w:pStyle w:val="Compact"/>
              <w:spacing w:after="0" w:before="0"/>
            </w:pPr>
            <w:r>
              <w:rPr>
                <w:sz w:val="16"/>
              </w:rPr>
              <w:t xml:space="preserve">6.28 (Yuliani et al. 2022, design basis) and 6.86-8.97 as received (Prabowo et al. 2019, HHV/LHV basis not stated in the abstract)</w:t>
            </w:r>
          </w:p>
        </w:tc>
        <w:tc>
          <w:tcPr/>
          <w:p>
            <w:pPr>
              <w:pStyle w:val="Compact"/>
              <w:spacing w:after="0" w:before="0"/>
            </w:pPr>
            <w:r>
              <w:rPr>
                <w:sz w:val="16"/>
              </w:rPr>
              <w:t xml:space="preserve">median within reference</w:t>
            </w:r>
          </w:p>
        </w:tc>
      </w:tr>
      <w:tr>
        <w:tc>
          <w:tcPr/>
          <w:p>
            <w:pPr>
              <w:pStyle w:val="Compact"/>
              <w:spacing w:after="0" w:before="0"/>
            </w:pPr>
            <w:r>
              <w:rPr>
                <w:sz w:val="16"/>
              </w:rPr>
              <w:t xml:space="preserve">HHV of dry matter (MJ/kg)</w:t>
            </w:r>
          </w:p>
        </w:tc>
        <w:tc>
          <w:tcPr/>
          <w:p>
            <w:pPr>
              <w:pStyle w:val="Compact"/>
              <w:spacing w:after="0" w:before="0"/>
            </w:pPr>
            <w:r>
              <w:rPr>
                <w:sz w:val="16"/>
              </w:rPr>
              <w:t xml:space="preserve">15.3 to 20.3 (median 18.1)</w:t>
            </w:r>
          </w:p>
        </w:tc>
        <w:tc>
          <w:tcPr/>
          <w:p>
            <w:pPr>
              <w:pStyle w:val="Compact"/>
              <w:spacing w:after="0" w:before="0"/>
            </w:pPr>
            <w:r>
              <w:rPr>
                <w:sz w:val="16"/>
              </w:rPr>
              <w:t xml:space="preserve">not compared: no reference with a stated dry basis</w:t>
            </w:r>
          </w:p>
        </w:tc>
        <w:tc>
          <w:tcPr/>
          <w:p>
            <w:pPr>
              <w:pStyle w:val="Compact"/>
              <w:spacing w:after="0" w:before="0"/>
            </w:pPr>
            <w:r>
              <w:rPr>
                <w:sz w:val="16"/>
              </w:rPr>
              <w:t xml:space="preserve">no reference (reported for transparency)</w:t>
            </w:r>
          </w:p>
        </w:tc>
      </w:tr>
      <w:tr>
        <w:tc>
          <w:tcPr/>
          <w:p>
            <w:pPr>
              <w:pStyle w:val="Compact"/>
              <w:spacing w:after="0" w:before="0"/>
            </w:pPr>
            <w:r>
              <w:rPr>
                <w:sz w:val="16"/>
              </w:rPr>
              <w:t xml:space="preserve">L0 at MCF = 1 (kg CH4/t)</w:t>
            </w:r>
          </w:p>
        </w:tc>
        <w:tc>
          <w:tcPr/>
          <w:p>
            <w:pPr>
              <w:pStyle w:val="Compact"/>
              <w:spacing w:after="0" w:before="0"/>
            </w:pPr>
            <w:r>
              <w:rPr>
                <w:sz w:val="16"/>
              </w:rPr>
              <w:t xml:space="preserve">34 to 65 (median 45)</w:t>
            </w:r>
          </w:p>
        </w:tc>
        <w:tc>
          <w:tcPr/>
          <w:p>
            <w:pPr>
              <w:pStyle w:val="Compact"/>
              <w:spacing w:after="0" w:before="0"/>
            </w:pPr>
            <w:r>
              <w:rPr>
                <w:sz w:val="16"/>
              </w:rPr>
              <w:t xml:space="preserve">no Indonesian measurement</w:t>
            </w:r>
          </w:p>
        </w:tc>
        <w:tc>
          <w:tcPr/>
          <w:p>
            <w:pPr>
              <w:pStyle w:val="Compact"/>
              <w:spacing w:after="0" w:before="0"/>
            </w:pPr>
            <w:r>
              <w:rPr>
                <w:sz w:val="16"/>
              </w:rPr>
              <w:t xml:space="preserve">no reference (reported for transparency)</w:t>
            </w:r>
          </w:p>
        </w:tc>
      </w:tr>
      <w:tr>
        <w:tc>
          <w:tcPr/>
          <w:p>
            <w:pPr>
              <w:pStyle w:val="Compact"/>
              <w:spacing w:after="0" w:before="0"/>
            </w:pPr>
            <w:r>
              <w:rPr>
                <w:sz w:val="16"/>
              </w:rPr>
              <w:t xml:space="preserve">RDF yield (t/t MSW)</w:t>
            </w:r>
          </w:p>
        </w:tc>
        <w:tc>
          <w:tcPr/>
          <w:p>
            <w:pPr>
              <w:pStyle w:val="Compact"/>
              <w:spacing w:after="0" w:before="0"/>
            </w:pPr>
            <w:r>
              <w:rPr>
                <w:sz w:val="16"/>
              </w:rPr>
              <w:t xml:space="preserve">0.17 to 0.38 (median 0.27)</w:t>
            </w:r>
          </w:p>
        </w:tc>
        <w:tc>
          <w:tcPr/>
          <w:p>
            <w:pPr>
              <w:pStyle w:val="Compact"/>
              <w:spacing w:after="0" w:before="0"/>
            </w:pPr>
            <w:r>
              <w:rPr>
                <w:sz w:val="16"/>
              </w:rPr>
              <w:t xml:space="preserve">0.20-0.42, Indonesian RDF plants (GIZ 2023; not re-verified in v3.2)</w:t>
            </w:r>
          </w:p>
        </w:tc>
        <w:tc>
          <w:tcPr/>
          <w:p>
            <w:pPr>
              <w:pStyle w:val="Compact"/>
              <w:spacing w:after="0" w:before="0"/>
            </w:pPr>
            <w:r>
              <w:rPr>
                <w:sz w:val="16"/>
              </w:rPr>
              <w:t xml:space="preserve">median within reference</w:t>
            </w:r>
          </w:p>
        </w:tc>
      </w:tr>
      <w:tr>
        <w:tc>
          <w:tcPr/>
          <w:p>
            <w:pPr>
              <w:pStyle w:val="Compact"/>
              <w:spacing w:after="0" w:before="0"/>
            </w:pPr>
            <w:r>
              <w:rPr>
                <w:sz w:val="16"/>
              </w:rPr>
              <w:t xml:space="preserve">RDF heating value (MJ/kg)</w:t>
            </w:r>
          </w:p>
        </w:tc>
        <w:tc>
          <w:tcPr/>
          <w:p>
            <w:pPr>
              <w:pStyle w:val="Compact"/>
              <w:spacing w:after="0" w:before="0"/>
            </w:pPr>
            <w:r>
              <w:rPr>
                <w:sz w:val="16"/>
              </w:rPr>
              <w:t xml:space="preserve">15.0 to 19.8 (median 17.5)</w:t>
            </w:r>
          </w:p>
        </w:tc>
        <w:tc>
          <w:tcPr/>
          <w:p>
            <w:pPr>
              <w:pStyle w:val="Compact"/>
              <w:spacing w:after="0" w:before="0"/>
            </w:pPr>
            <w:r>
              <w:rPr>
                <w:sz w:val="16"/>
              </w:rPr>
              <w:t xml:space="preserve">15-16.7, Cilacap RDF (3,991 kcal/kg at 24% moisture; about 15 after biodrying)</w:t>
            </w:r>
          </w:p>
        </w:tc>
        <w:tc>
          <w:tcPr/>
          <w:p>
            <w:pPr>
              <w:pStyle w:val="Compact"/>
              <w:spacing w:after="0" w:before="0"/>
            </w:pPr>
            <w:r>
              <w:rPr>
                <w:sz w:val="16"/>
              </w:rPr>
              <w:t xml:space="preserve">range overlaps reference</w:t>
            </w:r>
          </w:p>
        </w:tc>
      </w:tr>
      <w:tr>
        <w:tc>
          <w:tcPr/>
          <w:p>
            <w:pPr>
              <w:pStyle w:val="Compact"/>
              <w:spacing w:after="0" w:before="0"/>
            </w:pPr>
            <w:r>
              <w:rPr>
                <w:sz w:val="16"/>
              </w:rPr>
              <w:t xml:space="preserve">WtE net electricity (kWh/t)</w:t>
            </w:r>
          </w:p>
        </w:tc>
        <w:tc>
          <w:tcPr/>
          <w:p>
            <w:pPr>
              <w:pStyle w:val="Compact"/>
              <w:spacing w:after="0" w:before="0"/>
            </w:pPr>
            <w:r>
              <w:rPr>
                <w:sz w:val="16"/>
              </w:rPr>
              <w:t xml:space="preserve">248 to 474 (median 360)</w:t>
            </w:r>
          </w:p>
        </w:tc>
        <w:tc>
          <w:tcPr/>
          <w:p>
            <w:pPr>
              <w:pStyle w:val="Compact"/>
              <w:spacing w:after="0" w:before="0"/>
            </w:pPr>
            <w:r>
              <w:rPr>
                <w:sz w:val="16"/>
              </w:rPr>
              <w:t xml:space="preserve">385 net (Yuliani et al. 2022: 24.08 MW from 1,500 t/d) to 473 (Azis et al. 2021: 19.7 MW from 1,000 t/d); v3.1 quoted 632 kWh/t, which is not in the source</w:t>
            </w:r>
          </w:p>
        </w:tc>
        <w:tc>
          <w:tcPr/>
          <w:p>
            <w:pPr>
              <w:pStyle w:val="Compact"/>
              <w:spacing w:after="0" w:before="0"/>
            </w:pPr>
            <w:r>
              <w:rPr>
                <w:sz w:val="16"/>
              </w:rPr>
              <w:t xml:space="preserve">range overlaps reference</w:t>
            </w:r>
          </w:p>
        </w:tc>
      </w:tr>
      <w:tr>
        <w:tc>
          <w:tcPr/>
          <w:p>
            <w:pPr>
              <w:pStyle w:val="Compact"/>
              <w:spacing w:after="0" w:before="0"/>
            </w:pPr>
            <w:r>
              <w:rPr>
                <w:sz w:val="16"/>
              </w:rPr>
              <w:t xml:space="preserve">carbon in biogas / carbon in food</w:t>
            </w:r>
          </w:p>
        </w:tc>
        <w:tc>
          <w:tcPr/>
          <w:p>
            <w:pPr>
              <w:pStyle w:val="Compact"/>
              <w:spacing w:after="0" w:before="0"/>
            </w:pPr>
            <w:r>
              <w:rPr>
                <w:sz w:val="16"/>
              </w:rPr>
              <w:t xml:space="preserve">0.74</w:t>
            </w:r>
          </w:p>
        </w:tc>
        <w:tc>
          <w:tcPr/>
          <w:p>
            <w:pPr>
              <w:pStyle w:val="Compact"/>
              <w:spacing w:after="0" w:before="0"/>
            </w:pPr>
            <w:r>
              <w:rPr>
                <w:sz w:val="16"/>
              </w:rPr>
              <w:t xml:space="preserve">must be below 1 (mass balance)</w:t>
            </w:r>
          </w:p>
        </w:tc>
        <w:tc>
          <w:tcPr/>
          <w:p>
            <w:pPr>
              <w:pStyle w:val="Compact"/>
              <w:spacing w:after="0" w:before="0"/>
            </w:pPr>
            <w:r>
              <w:rPr>
                <w:sz w:val="16"/>
              </w:rPr>
              <w:t xml:space="preserve">median within reference</w:t>
            </w:r>
          </w:p>
        </w:tc>
      </w:tr>
    </w:tbl>
    <w:p>
      <w:pPr>
        <w:pStyle w:val="Caption"/>
      </w:pPr>
      <w:r>
        <w:t xml:space="preserve">Table 4: Benchmark validation (main case). The RDF heating value lies at the upper end of, and partly above, the Cilacap range; WtE electricity overlaps the Indonesian design values at their lower end. Both are tested further in the stress tests.</w:t>
      </w:r>
    </w:p>
    <w:p>
      <w:pPr>
        <w:pStyle w:val="BodyText"/>
        <w:jc w:val="both"/>
      </w:pPr>
      <w:r>
        <w:rPr>
          <w:b/>
          <w:bCs/>
        </w:rPr>
        <w:t xml:space="preserve">(c) Stress tests.</w:t>
      </w:r>
      <w:r>
        <w:t xml:space="preserve"> </w:t>
      </w:r>
      <w:r>
        <w:t xml:space="preserve">Assumptions without a local measurement were pushed to the ends of their plausible range and the number of locations whose most probable option changes was counted at each carbon value (Table S6).</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2457"/>
        <w:gridCol w:w="1092"/>
        <w:gridCol w:w="1092"/>
        <w:gridCol w:w="1092"/>
        <w:gridCol w:w="1092"/>
        <w:gridCol w:w="1092"/>
      </w:tblGrid>
      <w:tr>
        <w:trPr>
          <w:tblHeader w:val="on"/>
        </w:trPr>
        <w:tc>
          <w:tcPr>
            <w:shd w:val="clear" w:color="auto" w:fill="DCE6F0"/>
          </w:tcPr>
          <w:p>
            <w:pPr>
              <w:pStyle w:val="Compact"/>
              <w:spacing w:after="0" w:before="0"/>
            </w:pPr>
            <w:r>
              <w:rPr>
                <w:b/>
                <w:sz w:val="16"/>
              </w:rPr>
              <w:t xml:space="preserve">Stress test or scenario</w:t>
            </w:r>
          </w:p>
        </w:tc>
        <w:tc>
          <w:tcPr>
            <w:shd w:val="clear" w:color="auto" w:fill="DCE6F0"/>
          </w:tcPr>
          <w:p>
            <w:pPr>
              <w:pStyle w:val="Compact"/>
              <w:spacing w:after="0" w:before="0"/>
            </w:pPr>
            <w:r>
              <w:rPr>
                <w:b/>
                <w:sz w:val="16"/>
              </w:rPr>
              <w:t xml:space="preserve">0 USD/t</w:t>
            </w:r>
          </w:p>
        </w:tc>
        <w:tc>
          <w:tcPr>
            <w:shd w:val="clear" w:color="auto" w:fill="DCE6F0"/>
          </w:tcPr>
          <w:p>
            <w:pPr>
              <w:pStyle w:val="Compact"/>
              <w:spacing w:after="0" w:before="0"/>
            </w:pPr>
            <w:r>
              <w:rPr>
                <w:b/>
                <w:sz w:val="16"/>
              </w:rPr>
              <w:t xml:space="preserve">2 USD/t</w:t>
            </w:r>
          </w:p>
        </w:tc>
        <w:tc>
          <w:tcPr>
            <w:shd w:val="clear" w:color="auto" w:fill="DCE6F0"/>
          </w:tcPr>
          <w:p>
            <w:pPr>
              <w:pStyle w:val="Compact"/>
              <w:spacing w:after="0" w:before="0"/>
            </w:pPr>
            <w:r>
              <w:rPr>
                <w:b/>
                <w:sz w:val="16"/>
              </w:rPr>
              <w:t xml:space="preserve">25 USD/t</w:t>
            </w:r>
          </w:p>
        </w:tc>
        <w:tc>
          <w:tcPr>
            <w:shd w:val="clear" w:color="auto" w:fill="DCE6F0"/>
          </w:tcPr>
          <w:p>
            <w:pPr>
              <w:pStyle w:val="Compact"/>
              <w:spacing w:after="0" w:before="0"/>
            </w:pPr>
            <w:r>
              <w:rPr>
                <w:b/>
                <w:sz w:val="16"/>
              </w:rPr>
              <w:t xml:space="preserve">50 USD/t</w:t>
            </w:r>
          </w:p>
        </w:tc>
        <w:tc>
          <w:tcPr>
            <w:shd w:val="clear" w:color="auto" w:fill="DCE6F0"/>
          </w:tcPr>
          <w:p>
            <w:pPr>
              <w:pStyle w:val="Compact"/>
              <w:spacing w:after="0" w:before="0"/>
            </w:pPr>
            <w:r>
              <w:rPr>
                <w:b/>
                <w:sz w:val="16"/>
              </w:rPr>
              <w:t xml:space="preserve">100 USD/t</w:t>
            </w:r>
          </w:p>
        </w:tc>
      </w:tr>
      <w:tr>
        <w:tc>
          <w:tcPr/>
          <w:p>
            <w:pPr>
              <w:pStyle w:val="Compact"/>
              <w:spacing w:after="0" w:before="0"/>
            </w:pPr>
            <w:r>
              <w:rPr>
                <w:sz w:val="16"/>
              </w:rPr>
              <w:t xml:space="preserve">AD feed optimistic</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2</w:t>
            </w:r>
          </w:p>
        </w:tc>
      </w:tr>
      <w:tr>
        <w:tc>
          <w:tcPr/>
          <w:p>
            <w:pPr>
              <w:pStyle w:val="Compact"/>
              <w:spacing w:after="0" w:before="0"/>
            </w:pPr>
            <w:r>
              <w:rPr>
                <w:sz w:val="16"/>
              </w:rPr>
              <w:t xml:space="preserve">Pseudocount 0.5</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2</w:t>
            </w:r>
          </w:p>
        </w:tc>
      </w:tr>
      <w:tr>
        <w:tc>
          <w:tcPr/>
          <w:p>
            <w:pPr>
              <w:pStyle w:val="Compact"/>
              <w:spacing w:after="0" w:before="0"/>
            </w:pPr>
            <w:r>
              <w:rPr>
                <w:sz w:val="16"/>
              </w:rPr>
              <w:t xml:space="preserve">Glass imputed</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r>
      <w:tr>
        <w:tc>
          <w:tcPr/>
          <w:p>
            <w:pPr>
              <w:pStyle w:val="Compact"/>
              <w:spacing w:after="0" w:before="0"/>
            </w:pPr>
            <w:r>
              <w:rPr>
                <w:sz w:val="16"/>
              </w:rPr>
              <w:t xml:space="preserve">IPCC moisture</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7</w:t>
            </w:r>
          </w:p>
        </w:tc>
        <w:tc>
          <w:tcPr/>
          <w:p>
            <w:pPr>
              <w:pStyle w:val="Compact"/>
              <w:spacing w:after="0" w:before="0"/>
            </w:pPr>
            <w:r>
              <w:rPr>
                <w:sz w:val="16"/>
              </w:rPr>
              <w:t xml:space="preserve">7</w:t>
            </w:r>
          </w:p>
        </w:tc>
      </w:tr>
      <w:tr>
        <w:tc>
          <w:tcPr/>
          <w:p>
            <w:pPr>
              <w:pStyle w:val="Compact"/>
              <w:spacing w:after="0" w:before="0"/>
            </w:pPr>
            <w:r>
              <w:rPr>
                <w:sz w:val="16"/>
              </w:rPr>
              <w:t xml:space="preserve">Moisture high</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17</w:t>
            </w:r>
          </w:p>
        </w:tc>
      </w:tr>
      <w:tr>
        <w:tc>
          <w:tcPr/>
          <w:p>
            <w:pPr>
              <w:pStyle w:val="Compact"/>
              <w:spacing w:after="0" w:before="0"/>
            </w:pPr>
            <w:r>
              <w:rPr>
                <w:sz w:val="16"/>
              </w:rPr>
              <w:t xml:space="preserve">PHB large-scale (what-if)</w:t>
            </w:r>
          </w:p>
        </w:tc>
        <w:tc>
          <w:tcPr/>
          <w:p>
            <w:pPr>
              <w:pStyle w:val="Compact"/>
              <w:spacing w:after="0" w:before="0"/>
            </w:pPr>
            <w:r>
              <w:rPr>
                <w:sz w:val="16"/>
              </w:rPr>
              <w:t xml:space="preserve">20</w:t>
            </w:r>
          </w:p>
        </w:tc>
        <w:tc>
          <w:tcPr/>
          <w:p>
            <w:pPr>
              <w:pStyle w:val="Compact"/>
              <w:spacing w:after="0" w:before="0"/>
            </w:pPr>
            <w:r>
              <w:rPr>
                <w:sz w:val="16"/>
              </w:rPr>
              <w:t xml:space="preserve">20</w:t>
            </w:r>
          </w:p>
        </w:tc>
        <w:tc>
          <w:tcPr/>
          <w:p>
            <w:pPr>
              <w:pStyle w:val="Compact"/>
              <w:spacing w:after="0" w:before="0"/>
            </w:pPr>
            <w:r>
              <w:rPr>
                <w:sz w:val="16"/>
              </w:rPr>
              <w:t xml:space="preserve">20</w:t>
            </w:r>
          </w:p>
        </w:tc>
        <w:tc>
          <w:tcPr/>
          <w:p>
            <w:pPr>
              <w:pStyle w:val="Compact"/>
              <w:spacing w:after="0" w:before="0"/>
            </w:pPr>
            <w:r>
              <w:rPr>
                <w:sz w:val="16"/>
              </w:rPr>
              <w:t xml:space="preserve">20</w:t>
            </w:r>
          </w:p>
        </w:tc>
        <w:tc>
          <w:tcPr/>
          <w:p>
            <w:pPr>
              <w:pStyle w:val="Compact"/>
              <w:spacing w:after="0" w:before="0"/>
            </w:pPr>
            <w:r>
              <w:rPr>
                <w:sz w:val="16"/>
              </w:rPr>
              <w:t xml:space="preserve">20</w:t>
            </w:r>
          </w:p>
        </w:tc>
      </w:tr>
      <w:tr>
        <w:tc>
          <w:tcPr/>
          <w:p>
            <w:pPr>
              <w:pStyle w:val="Compact"/>
              <w:spacing w:after="0" w:before="0"/>
            </w:pPr>
            <w:r>
              <w:rPr>
                <w:sz w:val="16"/>
              </w:rPr>
              <w:t xml:space="preserve">RDF NCV -22%</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17</w:t>
            </w:r>
          </w:p>
        </w:tc>
      </w:tr>
    </w:tbl>
    <w:p>
      <w:pPr>
        <w:pStyle w:val="Caption"/>
      </w:pPr>
      <w:r>
        <w:t xml:space="preserve">Table S6: Number of the 21 locations whose most probable option changes relative to the market case. The PHB row is an aspirational what-if, not a stress test.</w:t>
      </w:r>
    </w:p>
    <w:p>
      <w:pPr>
        <w:pStyle w:val="BodyText"/>
        <w:jc w:val="both"/>
      </w:pPr>
      <w:r>
        <w:t xml:space="preserve">No stress test changes the decision up to 25 USD/t. At 100 USD/t the RDF + AD lead is fragile: the high moisture bound and a 22% lower RDF heating value each return 17 and 17 locations to the landfill. The drier IPCC moisture moves 7 locations away from the landfill at 50 USD/t. Glass imputation and the pseudocount change at most two locations, at 100 USD/t only.</w:t>
      </w:r>
    </w:p>
    <w:p>
      <w:pPr>
        <w:pStyle w:val="BodyText"/>
        <w:jc w:val="both"/>
      </w:pPr>
      <w:r>
        <w:rPr>
          <w:b/>
          <w:bCs/>
        </w:rPr>
        <w:t xml:space="preserve">(d) Field validation, ex ante.</w:t>
      </w:r>
      <w:r>
        <w:t xml:space="preserve"> </w:t>
      </w:r>
      <w:r>
        <w:t xml:space="preserve">When a city moves towards a facility, the model should be checked against (i) a local waste characterisation with proximate analysis (moisture, ash, heating value as received) and (ii) performance data from analogous Indonesian facilities: the Cilacap and Jeranjang RDF plants for RDF yield and quality, the Bantargebang and Putri Cempo pilots for WtE output, and landfill-gas collection measured at a sanitary landfill. Section 9 ranks these measurements by their value of information, so that the field work is ordered by how much it can change the decision.</w:t>
      </w:r>
    </w:p>
    <w:p>
      <w:r>
        <w:br w:type="page"/>
      </w:r>
    </w:p>
    <w:bookmarkEnd w:id="37"/>
    <w:bookmarkStart w:id="50" w:name="X55eaae88a9f758a660bf0042fe5100e6323403b"/>
    <w:p>
      <w:pPr>
        <w:pStyle w:val="Heading1"/>
      </w:pPr>
      <w:r>
        <w:t xml:space="preserve">8 Results for the 21 locations (2025 baseline)</w:t>
      </w:r>
    </w:p>
    <w:p>
      <w:pPr>
        <w:pStyle w:val="FirstParagraph"/>
        <w:jc w:val="both"/>
      </w:pPr>
      <w:r>
        <w:t xml:space="preserve">LHV as received is 5.0 to 9.5 MJ/kg (median 7.2). At central values 12 locations pass the WtE heating-value gate G1 and 11 pass G1 and the scale gate G2. 6 locations reach 1,000 t/day on generated waste; on managed waste none does in series M1 and 1 does in series M2 (Kab. Bogor, whose local indicator gives 1,016 t/d).</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320"/>
        <w:gridCol w:w="1056"/>
        <w:gridCol w:w="1056"/>
        <w:gridCol w:w="1056"/>
        <w:gridCol w:w="924"/>
        <w:gridCol w:w="924"/>
        <w:gridCol w:w="1056"/>
        <w:gridCol w:w="528"/>
      </w:tblGrid>
      <w:tr>
        <w:trPr>
          <w:tblHeader w:val="on"/>
        </w:trPr>
        <w:tc>
          <w:tcPr>
            <w:shd w:val="clear" w:color="auto" w:fill="DCE6F0"/>
          </w:tcPr>
          <w:p>
            <w:pPr>
              <w:pStyle w:val="Compact"/>
              <w:spacing w:after="0" w:before="0"/>
            </w:pPr>
            <w:r>
              <w:rPr>
                <w:b/>
                <w:sz w:val="16"/>
              </w:rPr>
              <w:t xml:space="preserve">Option</w:t>
            </w:r>
          </w:p>
        </w:tc>
        <w:tc>
          <w:tcPr>
            <w:shd w:val="clear" w:color="auto" w:fill="DCE6F0"/>
          </w:tcPr>
          <w:p>
            <w:pPr>
              <w:pStyle w:val="Compact"/>
              <w:spacing w:after="0" w:before="0"/>
            </w:pPr>
            <w:r>
              <w:rPr>
                <w:b/>
                <w:sz w:val="16"/>
              </w:rPr>
              <w:t xml:space="preserve">G</w:t>
            </w:r>
          </w:p>
        </w:tc>
        <w:tc>
          <w:tcPr>
            <w:shd w:val="clear" w:color="auto" w:fill="DCE6F0"/>
          </w:tcPr>
          <w:p>
            <w:pPr>
              <w:pStyle w:val="Compact"/>
              <w:spacing w:after="0" w:before="0"/>
            </w:pPr>
            <w:r>
              <w:rPr>
                <w:b/>
                <w:sz w:val="16"/>
              </w:rPr>
              <w:t xml:space="preserve">ΔG vs open dump</w:t>
            </w:r>
          </w:p>
        </w:tc>
        <w:tc>
          <w:tcPr>
            <w:shd w:val="clear" w:color="auto" w:fill="DCE6F0"/>
          </w:tcPr>
          <w:p>
            <w:pPr>
              <w:pStyle w:val="Compact"/>
              <w:spacing w:after="0" w:before="0"/>
            </w:pPr>
            <w:r>
              <w:rPr>
                <w:b/>
                <w:sz w:val="16"/>
              </w:rPr>
              <w:t xml:space="preserve">ΔG vs landfill</w:t>
            </w:r>
          </w:p>
        </w:tc>
        <w:tc>
          <w:tcPr>
            <w:shd w:val="clear" w:color="auto" w:fill="DCE6F0"/>
          </w:tcPr>
          <w:p>
            <w:pPr>
              <w:pStyle w:val="Compact"/>
              <w:spacing w:after="0" w:before="0"/>
            </w:pPr>
            <w:r>
              <w:rPr>
                <w:b/>
                <w:sz w:val="16"/>
              </w:rPr>
              <w:t xml:space="preserve">C</w:t>
            </w:r>
          </w:p>
        </w:tc>
        <w:tc>
          <w:tcPr>
            <w:shd w:val="clear" w:color="auto" w:fill="DCE6F0"/>
          </w:tcPr>
          <w:p>
            <w:pPr>
              <w:pStyle w:val="Compact"/>
              <w:spacing w:after="0" w:before="0"/>
            </w:pPr>
            <w:r>
              <w:rPr>
                <w:b/>
                <w:sz w:val="16"/>
              </w:rPr>
              <w:t xml:space="preserve">MAC vs OD</w:t>
            </w:r>
          </w:p>
        </w:tc>
        <w:tc>
          <w:tcPr>
            <w:shd w:val="clear" w:color="auto" w:fill="DCE6F0"/>
          </w:tcPr>
          <w:p>
            <w:pPr>
              <w:pStyle w:val="Compact"/>
              <w:spacing w:after="0" w:before="0"/>
            </w:pPr>
            <w:r>
              <w:rPr>
                <w:b/>
                <w:sz w:val="16"/>
              </w:rPr>
              <w:t xml:space="preserve">MAC vs SL</w:t>
            </w:r>
          </w:p>
        </w:tc>
        <w:tc>
          <w:tcPr>
            <w:shd w:val="clear" w:color="auto" w:fill="DCE6F0"/>
          </w:tcPr>
          <w:p>
            <w:pPr>
              <w:pStyle w:val="Compact"/>
              <w:spacing w:after="0" w:before="0"/>
            </w:pPr>
            <w:r>
              <w:rPr>
                <w:b/>
                <w:sz w:val="16"/>
              </w:rPr>
              <w:t xml:space="preserve">Pass</w:t>
            </w:r>
          </w:p>
        </w:tc>
      </w:tr>
      <w:tr>
        <w:tc>
          <w:tcPr/>
          <w:p>
            <w:pPr>
              <w:pStyle w:val="Compact"/>
              <w:spacing w:after="0" w:before="0"/>
            </w:pPr>
            <w:r>
              <w:rPr>
                <w:sz w:val="16"/>
              </w:rPr>
              <w:t xml:space="preserve">SL landfill + flare</w:t>
            </w:r>
          </w:p>
        </w:tc>
        <w:tc>
          <w:tcPr/>
          <w:p>
            <w:pPr>
              <w:pStyle w:val="Compact"/>
              <w:spacing w:after="0" w:before="0"/>
            </w:pPr>
            <w:r>
              <w:rPr>
                <w:sz w:val="16"/>
              </w:rPr>
              <w:t xml:space="preserve">557 (424 to 793)</w:t>
            </w:r>
          </w:p>
        </w:tc>
        <w:tc>
          <w:tcPr/>
          <w:p>
            <w:pPr>
              <w:pStyle w:val="Compact"/>
              <w:spacing w:after="0" w:before="0"/>
            </w:pPr>
            <w:r>
              <w:rPr>
                <w:sz w:val="16"/>
              </w:rPr>
              <w:t xml:space="preserve">425 (322 to 609)</w:t>
            </w:r>
          </w:p>
        </w:tc>
        <w:tc>
          <w:tcPr/>
          <w:p>
            <w:pPr>
              <w:pStyle w:val="Compact"/>
              <w:spacing w:after="0" w:before="0"/>
            </w:pPr>
            <w:r>
              <w:rPr>
                <w:sz w:val="16"/>
              </w:rPr>
              <w:t xml:space="preserve">-</w:t>
            </w:r>
          </w:p>
        </w:tc>
        <w:tc>
          <w:tcPr/>
          <w:p>
            <w:pPr>
              <w:pStyle w:val="Compact"/>
              <w:spacing w:after="0" w:before="0"/>
            </w:pPr>
            <w:r>
              <w:rPr>
                <w:sz w:val="16"/>
              </w:rPr>
              <w:t xml:space="preserve">18 (12 to 40)</w:t>
            </w:r>
          </w:p>
        </w:tc>
        <w:tc>
          <w:tcPr/>
          <w:p>
            <w:pPr>
              <w:pStyle w:val="Compact"/>
              <w:spacing w:after="0" w:before="0"/>
            </w:pPr>
            <w:r>
              <w:rPr>
                <w:sz w:val="16"/>
              </w:rPr>
              <w:t xml:space="preserve">34 (21 to 81)</w:t>
            </w:r>
          </w:p>
        </w:tc>
        <w:tc>
          <w:tcPr/>
          <w:p>
            <w:pPr>
              <w:pStyle w:val="Compact"/>
              <w:spacing w:after="0" w:before="0"/>
            </w:pPr>
            <w:r>
              <w:rPr>
                <w:sz w:val="16"/>
              </w:rPr>
              <w:t xml:space="preserve">-</w:t>
            </w:r>
          </w:p>
        </w:tc>
        <w:tc>
          <w:tcPr/>
          <w:p>
            <w:pPr>
              <w:pStyle w:val="Compact"/>
              <w:spacing w:after="0" w:before="0"/>
            </w:pPr>
            <w:r>
              <w:rPr>
                <w:sz w:val="16"/>
              </w:rPr>
              <w:t xml:space="preserve">21</w:t>
            </w:r>
          </w:p>
        </w:tc>
      </w:tr>
      <w:tr>
        <w:tc>
          <w:tcPr/>
          <w:p>
            <w:pPr>
              <w:pStyle w:val="Compact"/>
              <w:spacing w:after="0" w:before="0"/>
            </w:pPr>
            <w:r>
              <w:rPr>
                <w:sz w:val="16"/>
              </w:rPr>
              <w:t xml:space="preserve">S1 WtE</w:t>
            </w:r>
          </w:p>
        </w:tc>
        <w:tc>
          <w:tcPr/>
          <w:p>
            <w:pPr>
              <w:pStyle w:val="Compact"/>
              <w:spacing w:after="0" w:before="0"/>
            </w:pPr>
            <w:r>
              <w:rPr>
                <w:sz w:val="16"/>
              </w:rPr>
              <w:t xml:space="preserve">130 (-29 to 238)</w:t>
            </w:r>
          </w:p>
        </w:tc>
        <w:tc>
          <w:tcPr/>
          <w:p>
            <w:pPr>
              <w:pStyle w:val="Compact"/>
              <w:spacing w:after="0" w:before="0"/>
            </w:pPr>
            <w:r>
              <w:rPr>
                <w:sz w:val="16"/>
              </w:rPr>
              <w:t xml:space="preserve">880 (549 to 1406)</w:t>
            </w:r>
          </w:p>
        </w:tc>
        <w:tc>
          <w:tcPr/>
          <w:p>
            <w:pPr>
              <w:pStyle w:val="Compact"/>
              <w:spacing w:after="0" w:before="0"/>
            </w:pPr>
            <w:r>
              <w:rPr>
                <w:sz w:val="16"/>
              </w:rPr>
              <w:t xml:space="preserve">441 (209 to 798)</w:t>
            </w:r>
          </w:p>
        </w:tc>
        <w:tc>
          <w:tcPr/>
          <w:p>
            <w:pPr>
              <w:pStyle w:val="Compact"/>
              <w:spacing w:after="0" w:before="0"/>
            </w:pPr>
            <w:r>
              <w:rPr>
                <w:sz w:val="16"/>
              </w:rPr>
              <w:t xml:space="preserve">58 (42 to 120)</w:t>
            </w:r>
          </w:p>
        </w:tc>
        <w:tc>
          <w:tcPr/>
          <w:p>
            <w:pPr>
              <w:pStyle w:val="Compact"/>
              <w:spacing w:after="0" w:before="0"/>
            </w:pPr>
            <w:r>
              <w:rPr>
                <w:sz w:val="16"/>
              </w:rPr>
              <w:t xml:space="preserve">62 (36 to 131)</w:t>
            </w:r>
          </w:p>
        </w:tc>
        <w:tc>
          <w:tcPr/>
          <w:p>
            <w:pPr>
              <w:pStyle w:val="Compact"/>
              <w:spacing w:after="0" w:before="0"/>
            </w:pPr>
            <w:r>
              <w:rPr>
                <w:sz w:val="16"/>
              </w:rPr>
              <w:t xml:space="preserve">98 (47 to 181)</w:t>
            </w:r>
          </w:p>
        </w:tc>
        <w:tc>
          <w:tcPr/>
          <w:p>
            <w:pPr>
              <w:pStyle w:val="Compact"/>
              <w:spacing w:after="0" w:before="0"/>
            </w:pPr>
            <w:r>
              <w:rPr>
                <w:sz w:val="16"/>
              </w:rPr>
              <w:t xml:space="preserve">11</w:t>
            </w:r>
          </w:p>
        </w:tc>
      </w:tr>
      <w:tr>
        <w:tc>
          <w:tcPr/>
          <w:p>
            <w:pPr>
              <w:pStyle w:val="Compact"/>
              <w:spacing w:after="0" w:before="0"/>
            </w:pPr>
            <w:r>
              <w:rPr>
                <w:sz w:val="16"/>
              </w:rPr>
              <w:t xml:space="preserve">S2 RDF</w:t>
            </w:r>
          </w:p>
        </w:tc>
        <w:tc>
          <w:tcPr/>
          <w:p>
            <w:pPr>
              <w:pStyle w:val="Compact"/>
              <w:spacing w:after="0" w:before="0"/>
            </w:pPr>
            <w:r>
              <w:rPr>
                <w:sz w:val="16"/>
              </w:rPr>
              <w:t xml:space="preserve">319 (136 to 421)</w:t>
            </w:r>
          </w:p>
        </w:tc>
        <w:tc>
          <w:tcPr/>
          <w:p>
            <w:pPr>
              <w:pStyle w:val="Compact"/>
              <w:spacing w:after="0" w:before="0"/>
            </w:pPr>
            <w:r>
              <w:rPr>
                <w:sz w:val="16"/>
              </w:rPr>
              <w:t xml:space="preserve">661 (454 to 998)</w:t>
            </w:r>
          </w:p>
        </w:tc>
        <w:tc>
          <w:tcPr/>
          <w:p>
            <w:pPr>
              <w:pStyle w:val="Compact"/>
              <w:spacing w:after="0" w:before="0"/>
            </w:pPr>
            <w:r>
              <w:rPr>
                <w:sz w:val="16"/>
              </w:rPr>
              <w:t xml:space="preserve">251 (109 to 389)</w:t>
            </w:r>
          </w:p>
        </w:tc>
        <w:tc>
          <w:tcPr/>
          <w:p>
            <w:pPr>
              <w:pStyle w:val="Compact"/>
              <w:spacing w:after="0" w:before="0"/>
            </w:pPr>
            <w:r>
              <w:rPr>
                <w:sz w:val="16"/>
              </w:rPr>
              <w:t xml:space="preserve">42 (31 to 70)</w:t>
            </w:r>
          </w:p>
        </w:tc>
        <w:tc>
          <w:tcPr/>
          <w:p>
            <w:pPr>
              <w:pStyle w:val="Compact"/>
              <w:spacing w:after="0" w:before="0"/>
            </w:pPr>
            <w:r>
              <w:rPr>
                <w:sz w:val="16"/>
              </w:rPr>
              <w:t xml:space="preserve">56 (39 to 87)</w:t>
            </w:r>
          </w:p>
        </w:tc>
        <w:tc>
          <w:tcPr/>
          <w:p>
            <w:pPr>
              <w:pStyle w:val="Compact"/>
              <w:spacing w:after="0" w:before="0"/>
            </w:pPr>
            <w:r>
              <w:rPr>
                <w:sz w:val="16"/>
              </w:rPr>
              <w:t xml:space="preserve">98 (58 to 194)</w:t>
            </w:r>
          </w:p>
        </w:tc>
        <w:tc>
          <w:tcPr/>
          <w:p>
            <w:pPr>
              <w:pStyle w:val="Compact"/>
              <w:spacing w:after="0" w:before="0"/>
            </w:pPr>
            <w:r>
              <w:rPr>
                <w:sz w:val="16"/>
              </w:rPr>
              <w:t xml:space="preserve">20</w:t>
            </w:r>
          </w:p>
        </w:tc>
      </w:tr>
      <w:tr>
        <w:tc>
          <w:tcPr/>
          <w:p>
            <w:pPr>
              <w:pStyle w:val="Compact"/>
              <w:spacing w:after="0" w:before="0"/>
            </w:pPr>
            <w:r>
              <w:rPr>
                <w:sz w:val="16"/>
              </w:rPr>
              <w:t xml:space="preserve">S3 AD</w:t>
            </w:r>
          </w:p>
        </w:tc>
        <w:tc>
          <w:tcPr/>
          <w:p>
            <w:pPr>
              <w:pStyle w:val="Compact"/>
              <w:spacing w:after="0" w:before="0"/>
            </w:pPr>
            <w:r>
              <w:rPr>
                <w:sz w:val="16"/>
              </w:rPr>
              <w:t xml:space="preserve">389 (192 to 696)</w:t>
            </w:r>
          </w:p>
        </w:tc>
        <w:tc>
          <w:tcPr/>
          <w:p>
            <w:pPr>
              <w:pStyle w:val="Compact"/>
              <w:spacing w:after="0" w:before="0"/>
            </w:pPr>
            <w:r>
              <w:rPr>
                <w:sz w:val="16"/>
              </w:rPr>
              <w:t xml:space="preserve">582 (451 to 758)</w:t>
            </w:r>
          </w:p>
        </w:tc>
        <w:tc>
          <w:tcPr/>
          <w:p>
            <w:pPr>
              <w:pStyle w:val="Compact"/>
              <w:spacing w:after="0" w:before="0"/>
            </w:pPr>
            <w:r>
              <w:rPr>
                <w:sz w:val="16"/>
              </w:rPr>
              <w:t xml:space="preserve">161 (96 to 232)</w:t>
            </w:r>
          </w:p>
        </w:tc>
        <w:tc>
          <w:tcPr/>
          <w:p>
            <w:pPr>
              <w:pStyle w:val="Compact"/>
              <w:spacing w:after="0" w:before="0"/>
            </w:pPr>
            <w:r>
              <w:rPr>
                <w:sz w:val="16"/>
              </w:rPr>
              <w:t xml:space="preserve">37 (28 to 66)</w:t>
            </w:r>
          </w:p>
        </w:tc>
        <w:tc>
          <w:tcPr/>
          <w:p>
            <w:pPr>
              <w:pStyle w:val="Compact"/>
              <w:spacing w:after="0" w:before="0"/>
            </w:pPr>
            <w:r>
              <w:rPr>
                <w:sz w:val="16"/>
              </w:rPr>
              <w:t xml:space="preserve">55 (40 to 107)</w:t>
            </w:r>
          </w:p>
        </w:tc>
        <w:tc>
          <w:tcPr/>
          <w:p>
            <w:pPr>
              <w:pStyle w:val="Compact"/>
              <w:spacing w:after="0" w:before="0"/>
            </w:pPr>
            <w:r>
              <w:rPr>
                <w:sz w:val="16"/>
              </w:rPr>
              <w:t xml:space="preserve">112 (74 to 201)</w:t>
            </w:r>
          </w:p>
        </w:tc>
        <w:tc>
          <w:tcPr/>
          <w:p>
            <w:pPr>
              <w:pStyle w:val="Compact"/>
              <w:spacing w:after="0" w:before="0"/>
            </w:pPr>
            <w:r>
              <w:rPr>
                <w:sz w:val="16"/>
              </w:rPr>
              <w:t xml:space="preserve">21</w:t>
            </w:r>
          </w:p>
        </w:tc>
      </w:tr>
      <w:tr>
        <w:tc>
          <w:tcPr/>
          <w:p>
            <w:pPr>
              <w:pStyle w:val="Compact"/>
              <w:spacing w:after="0" w:before="0"/>
            </w:pPr>
            <w:r>
              <w:rPr>
                <w:sz w:val="16"/>
              </w:rPr>
              <w:t xml:space="preserve">S4 PHB</w:t>
            </w:r>
          </w:p>
        </w:tc>
        <w:tc>
          <w:tcPr/>
          <w:p>
            <w:pPr>
              <w:pStyle w:val="Compact"/>
              <w:spacing w:after="0" w:before="0"/>
            </w:pPr>
            <w:r>
              <w:rPr>
                <w:sz w:val="16"/>
              </w:rPr>
              <w:t xml:space="preserve">543 (414 to 773)</w:t>
            </w:r>
          </w:p>
        </w:tc>
        <w:tc>
          <w:tcPr/>
          <w:p>
            <w:pPr>
              <w:pStyle w:val="Compact"/>
              <w:spacing w:after="0" w:before="0"/>
            </w:pPr>
            <w:r>
              <w:rPr>
                <w:sz w:val="16"/>
              </w:rPr>
              <w:t xml:space="preserve">439 (332 to 628)</w:t>
            </w:r>
          </w:p>
        </w:tc>
        <w:tc>
          <w:tcPr/>
          <w:p>
            <w:pPr>
              <w:pStyle w:val="Compact"/>
              <w:spacing w:after="0" w:before="0"/>
            </w:pPr>
            <w:r>
              <w:rPr>
                <w:sz w:val="16"/>
              </w:rPr>
              <w:t xml:space="preserve">14 (10 to 20)</w:t>
            </w:r>
          </w:p>
        </w:tc>
        <w:tc>
          <w:tcPr/>
          <w:p>
            <w:pPr>
              <w:pStyle w:val="Compact"/>
              <w:spacing w:after="0" w:before="0"/>
            </w:pPr>
            <w:r>
              <w:rPr>
                <w:sz w:val="16"/>
              </w:rPr>
              <w:t xml:space="preserve">38 (23 to 75)</w:t>
            </w:r>
          </w:p>
        </w:tc>
        <w:tc>
          <w:tcPr/>
          <w:p>
            <w:pPr>
              <w:pStyle w:val="Compact"/>
              <w:spacing w:after="0" w:before="0"/>
            </w:pPr>
            <w:r>
              <w:rPr>
                <w:sz w:val="16"/>
              </w:rPr>
              <w:t xml:space="preserve">78 (54 to 154)</w:t>
            </w:r>
          </w:p>
        </w:tc>
        <w:tc>
          <w:tcPr/>
          <w:p>
            <w:pPr>
              <w:pStyle w:val="Compact"/>
              <w:spacing w:after="0" w:before="0"/>
            </w:pPr>
            <w:r>
              <w:rPr>
                <w:sz w:val="16"/>
              </w:rPr>
              <w:t xml:space="preserve">1449 (993 to 2412)</w:t>
            </w:r>
          </w:p>
        </w:tc>
        <w:tc>
          <w:tcPr/>
          <w:p>
            <w:pPr>
              <w:pStyle w:val="Compact"/>
              <w:spacing w:after="0" w:before="0"/>
            </w:pPr>
            <w:r>
              <w:rPr>
                <w:sz w:val="16"/>
              </w:rPr>
              <w:t xml:space="preserve">20</w:t>
            </w:r>
          </w:p>
        </w:tc>
      </w:tr>
      <w:tr>
        <w:tc>
          <w:tcPr/>
          <w:p>
            <w:pPr>
              <w:pStyle w:val="Compact"/>
              <w:spacing w:after="0" w:before="0"/>
            </w:pPr>
            <w:r>
              <w:rPr>
                <w:sz w:val="16"/>
              </w:rPr>
              <w:t xml:space="preserve">S5 RDF + AD</w:t>
            </w:r>
          </w:p>
        </w:tc>
        <w:tc>
          <w:tcPr/>
          <w:p>
            <w:pPr>
              <w:pStyle w:val="Compact"/>
              <w:spacing w:after="0" w:before="0"/>
            </w:pPr>
            <w:r>
              <w:rPr>
                <w:sz w:val="16"/>
              </w:rPr>
              <w:t xml:space="preserve">153 (23 to 304)</w:t>
            </w:r>
          </w:p>
        </w:tc>
        <w:tc>
          <w:tcPr/>
          <w:p>
            <w:pPr>
              <w:pStyle w:val="Compact"/>
              <w:spacing w:after="0" w:before="0"/>
            </w:pPr>
            <w:r>
              <w:rPr>
                <w:sz w:val="16"/>
              </w:rPr>
              <w:t xml:space="preserve">810 (639 to 1098)</w:t>
            </w:r>
          </w:p>
        </w:tc>
        <w:tc>
          <w:tcPr/>
          <w:p>
            <w:pPr>
              <w:pStyle w:val="Compact"/>
              <w:spacing w:after="0" w:before="0"/>
            </w:pPr>
            <w:r>
              <w:rPr>
                <w:sz w:val="16"/>
              </w:rPr>
              <w:t xml:space="preserve">408 (294 to 509)</w:t>
            </w:r>
          </w:p>
        </w:tc>
        <w:tc>
          <w:tcPr/>
          <w:p>
            <w:pPr>
              <w:pStyle w:val="Compact"/>
              <w:spacing w:after="0" w:before="0"/>
            </w:pPr>
            <w:r>
              <w:rPr>
                <w:sz w:val="16"/>
              </w:rPr>
              <w:t xml:space="preserve">47 (37 to 78)</w:t>
            </w:r>
          </w:p>
        </w:tc>
        <w:tc>
          <w:tcPr/>
          <w:p>
            <w:pPr>
              <w:pStyle w:val="Compact"/>
              <w:spacing w:after="0" w:before="0"/>
            </w:pPr>
            <w:r>
              <w:rPr>
                <w:sz w:val="16"/>
              </w:rPr>
              <w:t xml:space="preserve">50 (39 to 84)</w:t>
            </w:r>
          </w:p>
        </w:tc>
        <w:tc>
          <w:tcPr/>
          <w:p>
            <w:pPr>
              <w:pStyle w:val="Compact"/>
              <w:spacing w:after="0" w:before="0"/>
            </w:pPr>
            <w:r>
              <w:rPr>
                <w:sz w:val="16"/>
              </w:rPr>
              <w:t xml:space="preserve">73 (53 to 99)</w:t>
            </w:r>
          </w:p>
        </w:tc>
        <w:tc>
          <w:tcPr/>
          <w:p>
            <w:pPr>
              <w:pStyle w:val="Compact"/>
              <w:spacing w:after="0" w:before="0"/>
            </w:pPr>
            <w:r>
              <w:rPr>
                <w:sz w:val="16"/>
              </w:rPr>
              <w:t xml:space="preserve">20</w:t>
            </w:r>
          </w:p>
        </w:tc>
      </w:tr>
    </w:tbl>
    <w:p>
      <w:pPr>
        <w:pStyle w:val="Caption"/>
      </w:pPr>
      <w:r>
        <w:t xml:space="preserve">Table 6: Pathway results per tonne of MSW, central values, market case: median (minimum to maximum) over the 21 locations, including those failing a gate (last column: number that pass). G, ΔG in kg CO</w:t>
      </w:r>
      <w:r>
        <w:rPr>
          <w:vertAlign w:val="subscript"/>
        </w:rPr>
        <w:t xml:space="preserve">2</w:t>
      </w:r>
      <w:r>
        <w:t xml:space="preserve">e/t; C in USD/t; MAC in USD/t CO</w:t>
      </w:r>
      <w:r>
        <w:rPr>
          <w:vertAlign w:val="subscript"/>
        </w:rPr>
        <w:t xml:space="preserve">2</w:t>
      </w:r>
      <w:r>
        <w:t xml:space="preserve">e.</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28"/>
        <w:gridCol w:w="389"/>
        <w:gridCol w:w="1168"/>
        <w:gridCol w:w="779"/>
        <w:gridCol w:w="779"/>
        <w:gridCol w:w="779"/>
        <w:gridCol w:w="779"/>
        <w:gridCol w:w="779"/>
        <w:gridCol w:w="1038"/>
      </w:tblGrid>
      <w:tr>
        <w:trPr>
          <w:tblHeader w:val="on"/>
        </w:trPr>
        <w:tc>
          <w:tcPr>
            <w:shd w:val="clear" w:color="auto" w:fill="DCE6F0"/>
          </w:tcPr>
          <w:p>
            <w:pPr>
              <w:pStyle w:val="Compact"/>
              <w:spacing w:after="0" w:before="0"/>
            </w:pPr>
            <w:r>
              <w:rPr>
                <w:b/>
                <w:sz w:val="16"/>
              </w:rPr>
              <w:t xml:space="preserve">Location</w:t>
            </w:r>
          </w:p>
        </w:tc>
        <w:tc>
          <w:tcPr>
            <w:shd w:val="clear" w:color="auto" w:fill="DCE6F0"/>
          </w:tcPr>
          <w:p>
            <w:pPr>
              <w:pStyle w:val="Compact"/>
              <w:spacing w:after="0" w:before="0"/>
            </w:pPr>
            <w:r>
              <w:rPr>
                <w:b/>
                <w:sz w:val="16"/>
              </w:rPr>
              <w:t xml:space="preserve">Flags</w:t>
            </w:r>
          </w:p>
        </w:tc>
        <w:tc>
          <w:tcPr>
            <w:shd w:val="clear" w:color="auto" w:fill="DCE6F0"/>
          </w:tcPr>
          <w:p>
            <w:pPr>
              <w:pStyle w:val="Compact"/>
              <w:spacing w:after="0" w:before="0"/>
            </w:pPr>
            <w:r>
              <w:rPr>
                <w:b/>
                <w:sz w:val="16"/>
              </w:rPr>
              <w:t xml:space="preserve">Central best: 0 / 25 / 50 / 100</w:t>
            </w:r>
          </w:p>
        </w:tc>
        <w:tc>
          <w:tcPr>
            <w:shd w:val="clear" w:color="auto" w:fill="DCE6F0"/>
          </w:tcPr>
          <w:p>
            <w:pPr>
              <w:pStyle w:val="Compact"/>
              <w:spacing w:after="0" w:before="0"/>
            </w:pPr>
            <w:r>
              <w:rPr>
                <w:b/>
                <w:sz w:val="16"/>
              </w:rPr>
              <w:t xml:space="preserve">P(SL) at 50</w:t>
            </w:r>
          </w:p>
        </w:tc>
        <w:tc>
          <w:tcPr>
            <w:shd w:val="clear" w:color="auto" w:fill="DCE6F0"/>
          </w:tcPr>
          <w:p>
            <w:pPr>
              <w:pStyle w:val="Compact"/>
              <w:spacing w:after="0" w:before="0"/>
            </w:pPr>
            <w:r>
              <w:rPr>
                <w:b/>
                <w:sz w:val="16"/>
              </w:rPr>
              <w:t xml:space="preserve">P(S5) at 50</w:t>
            </w:r>
          </w:p>
        </w:tc>
        <w:tc>
          <w:tcPr>
            <w:shd w:val="clear" w:color="auto" w:fill="DCE6F0"/>
          </w:tcPr>
          <w:p>
            <w:pPr>
              <w:pStyle w:val="Compact"/>
              <w:spacing w:after="0" w:before="0"/>
            </w:pPr>
            <w:r>
              <w:rPr>
                <w:b/>
                <w:sz w:val="16"/>
              </w:rPr>
              <w:t xml:space="preserve">P(SL) at 100</w:t>
            </w:r>
          </w:p>
        </w:tc>
        <w:tc>
          <w:tcPr>
            <w:shd w:val="clear" w:color="auto" w:fill="DCE6F0"/>
          </w:tcPr>
          <w:p>
            <w:pPr>
              <w:pStyle w:val="Compact"/>
              <w:spacing w:after="0" w:before="0"/>
            </w:pPr>
            <w:r>
              <w:rPr>
                <w:b/>
                <w:sz w:val="16"/>
              </w:rPr>
              <w:t xml:space="preserve">P(S5) at 100</w:t>
            </w:r>
          </w:p>
        </w:tc>
        <w:tc>
          <w:tcPr>
            <w:shd w:val="clear" w:color="auto" w:fill="DCE6F0"/>
          </w:tcPr>
          <w:p>
            <w:pPr>
              <w:pStyle w:val="Compact"/>
              <w:spacing w:after="0" w:before="0"/>
            </w:pPr>
            <w:r>
              <w:rPr>
                <w:b/>
                <w:sz w:val="16"/>
              </w:rPr>
              <w:t xml:space="preserve">P(S1) at 100</w:t>
            </w:r>
          </w:p>
        </w:tc>
        <w:tc>
          <w:tcPr>
            <w:shd w:val="clear" w:color="auto" w:fill="DCE6F0"/>
          </w:tcPr>
          <w:p>
            <w:pPr>
              <w:pStyle w:val="Compact"/>
              <w:spacing w:after="0" w:before="0"/>
            </w:pPr>
            <w:r>
              <w:rPr>
                <w:b/>
                <w:sz w:val="16"/>
              </w:rPr>
              <w:t xml:space="preserve">Most probable at 100</w:t>
            </w:r>
          </w:p>
        </w:tc>
      </w:tr>
      <w:tr>
        <w:tc>
          <w:tcPr/>
          <w:p>
            <w:pPr>
              <w:pStyle w:val="Compact"/>
              <w:spacing w:after="0" w:before="0"/>
            </w:pPr>
            <w:r>
              <w:rPr>
                <w:sz w:val="16"/>
              </w:rPr>
              <w:t xml:space="preserve">Kota Padang</w:t>
            </w:r>
          </w:p>
        </w:tc>
        <w:tc>
          <w:tcPr/>
          <w:p>
            <w:pPr>
              <w:pStyle w:val="Compact"/>
              <w:spacing w:after="0" w:before="0"/>
            </w:pPr>
            <w:r>
              <w:rPr>
                <w:sz w:val="16"/>
              </w:rPr>
              <w:t xml:space="preserve">N</w:t>
            </w:r>
          </w:p>
        </w:tc>
        <w:tc>
          <w:tcPr/>
          <w:p>
            <w:pPr>
              <w:pStyle w:val="Compact"/>
              <w:spacing w:after="0" w:before="0"/>
            </w:pPr>
            <w:r>
              <w:rPr>
                <w:sz w:val="16"/>
              </w:rPr>
              <w:t xml:space="preserve">SL / SL / SL / S5</w:t>
            </w:r>
          </w:p>
        </w:tc>
        <w:tc>
          <w:tcPr/>
          <w:p>
            <w:pPr>
              <w:pStyle w:val="Compact"/>
              <w:spacing w:after="0" w:before="0"/>
            </w:pPr>
            <w:r>
              <w:rPr>
                <w:sz w:val="16"/>
              </w:rPr>
              <w:t xml:space="preserve">0.80 ± 0.01</w:t>
            </w:r>
          </w:p>
        </w:tc>
        <w:tc>
          <w:tcPr/>
          <w:p>
            <w:pPr>
              <w:pStyle w:val="Compact"/>
              <w:spacing w:after="0" w:before="0"/>
            </w:pPr>
            <w:r>
              <w:rPr>
                <w:sz w:val="16"/>
              </w:rPr>
              <w:t xml:space="preserve">0.10 ± 0.01</w:t>
            </w:r>
          </w:p>
        </w:tc>
        <w:tc>
          <w:tcPr/>
          <w:p>
            <w:pPr>
              <w:pStyle w:val="Compact"/>
              <w:spacing w:after="0" w:before="0"/>
            </w:pPr>
            <w:r>
              <w:rPr>
                <w:sz w:val="16"/>
              </w:rPr>
              <w:t xml:space="preserve">0.21 ± 0.01</w:t>
            </w:r>
          </w:p>
        </w:tc>
        <w:tc>
          <w:tcPr/>
          <w:p>
            <w:pPr>
              <w:pStyle w:val="Compact"/>
              <w:spacing w:after="0" w:before="0"/>
            </w:pPr>
            <w:r>
              <w:rPr>
                <w:sz w:val="16"/>
              </w:rPr>
              <w:t xml:space="preserve">0.65 ± 0.01</w:t>
            </w:r>
          </w:p>
        </w:tc>
        <w:tc>
          <w:tcPr/>
          <w:p>
            <w:pPr>
              <w:pStyle w:val="Compact"/>
              <w:spacing w:after="0" w:before="0"/>
            </w:pPr>
            <w:r>
              <w:rPr>
                <w:sz w:val="16"/>
              </w:rPr>
              <w:t xml:space="preserve">0.11 ± 0.01</w:t>
            </w:r>
          </w:p>
        </w:tc>
        <w:tc>
          <w:tcPr/>
          <w:p>
            <w:pPr>
              <w:pStyle w:val="Compact"/>
              <w:spacing w:after="0" w:before="0"/>
            </w:pPr>
            <w:r>
              <w:rPr>
                <w:sz w:val="16"/>
              </w:rPr>
              <w:t xml:space="preserve">S5 (0.65)</w:t>
            </w:r>
          </w:p>
        </w:tc>
      </w:tr>
      <w:tr>
        <w:tc>
          <w:tcPr/>
          <w:p>
            <w:pPr>
              <w:pStyle w:val="Compact"/>
              <w:spacing w:after="0" w:before="0"/>
            </w:pPr>
            <w:r>
              <w:rPr>
                <w:sz w:val="16"/>
              </w:rPr>
              <w:t xml:space="preserve">Kab. Bogor</w:t>
            </w:r>
          </w:p>
        </w:tc>
        <w:tc>
          <w:tcPr/>
          <w:p>
            <w:pPr>
              <w:pStyle w:val="Compact"/>
              <w:spacing w:after="0" w:before="0"/>
            </w:pPr>
            <w:r>
              <w:rPr>
                <w:sz w:val="16"/>
              </w:rPr>
              <w:t xml:space="preserve">G</w:t>
            </w:r>
          </w:p>
        </w:tc>
        <w:tc>
          <w:tcPr/>
          <w:p>
            <w:pPr>
              <w:pStyle w:val="Compact"/>
              <w:spacing w:after="0" w:before="0"/>
            </w:pPr>
            <w:r>
              <w:rPr>
                <w:sz w:val="16"/>
              </w:rPr>
              <w:t xml:space="preserve">SL / SL / SL / S5</w:t>
            </w:r>
          </w:p>
        </w:tc>
        <w:tc>
          <w:tcPr/>
          <w:p>
            <w:pPr>
              <w:pStyle w:val="Compact"/>
              <w:spacing w:after="0" w:before="0"/>
            </w:pPr>
            <w:r>
              <w:rPr>
                <w:sz w:val="16"/>
              </w:rPr>
              <w:t xml:space="preserve">0.75 ± 0.01</w:t>
            </w:r>
          </w:p>
        </w:tc>
        <w:tc>
          <w:tcPr/>
          <w:p>
            <w:pPr>
              <w:pStyle w:val="Compact"/>
              <w:spacing w:after="0" w:before="0"/>
            </w:pPr>
            <w:r>
              <w:rPr>
                <w:sz w:val="16"/>
              </w:rPr>
              <w:t xml:space="preserve">0.05 ± 0.01</w:t>
            </w:r>
          </w:p>
        </w:tc>
        <w:tc>
          <w:tcPr/>
          <w:p>
            <w:pPr>
              <w:pStyle w:val="Compact"/>
              <w:spacing w:after="0" w:before="0"/>
            </w:pPr>
            <w:r>
              <w:rPr>
                <w:sz w:val="16"/>
              </w:rPr>
              <w:t xml:space="preserve">0.21 ± 0.01</w:t>
            </w:r>
          </w:p>
        </w:tc>
        <w:tc>
          <w:tcPr/>
          <w:p>
            <w:pPr>
              <w:pStyle w:val="Compact"/>
              <w:spacing w:after="0" w:before="0"/>
            </w:pPr>
            <w:r>
              <w:rPr>
                <w:sz w:val="16"/>
              </w:rPr>
              <w:t xml:space="preserve">0.50 ± 0.02</w:t>
            </w:r>
          </w:p>
        </w:tc>
        <w:tc>
          <w:tcPr/>
          <w:p>
            <w:pPr>
              <w:pStyle w:val="Compact"/>
              <w:spacing w:after="0" w:before="0"/>
            </w:pPr>
            <w:r>
              <w:rPr>
                <w:sz w:val="16"/>
              </w:rPr>
              <w:t xml:space="preserve">0.04 ± 0.01</w:t>
            </w:r>
          </w:p>
        </w:tc>
        <w:tc>
          <w:tcPr/>
          <w:p>
            <w:pPr>
              <w:pStyle w:val="Compact"/>
              <w:spacing w:after="0" w:before="0"/>
            </w:pPr>
            <w:r>
              <w:rPr>
                <w:sz w:val="16"/>
              </w:rPr>
              <w:t xml:space="preserve">S5 (0.50)</w:t>
            </w:r>
          </w:p>
        </w:tc>
      </w:tr>
      <w:tr>
        <w:tc>
          <w:tcPr/>
          <w:p>
            <w:pPr>
              <w:pStyle w:val="Compact"/>
              <w:spacing w:after="0" w:before="0"/>
            </w:pPr>
            <w:r>
              <w:rPr>
                <w:sz w:val="16"/>
              </w:rPr>
              <w:t xml:space="preserve">Kab. Serang</w:t>
            </w:r>
          </w:p>
        </w:tc>
        <w:tc>
          <w:tcPr/>
          <w:p>
            <w:pPr>
              <w:pStyle w:val="Compact"/>
              <w:spacing w:after="0" w:before="0"/>
            </w:pPr>
            <w:r>
              <w:rPr>
                <w:sz w:val="16"/>
              </w:rPr>
              <w:t xml:space="preserve">G</w:t>
            </w:r>
          </w:p>
        </w:tc>
        <w:tc>
          <w:tcPr/>
          <w:p>
            <w:pPr>
              <w:pStyle w:val="Compact"/>
              <w:spacing w:after="0" w:before="0"/>
            </w:pPr>
            <w:r>
              <w:rPr>
                <w:sz w:val="16"/>
              </w:rPr>
              <w:t xml:space="preserve">SL / SL / SL / S5</w:t>
            </w:r>
          </w:p>
        </w:tc>
        <w:tc>
          <w:tcPr/>
          <w:p>
            <w:pPr>
              <w:pStyle w:val="Compact"/>
              <w:spacing w:after="0" w:before="0"/>
            </w:pPr>
            <w:r>
              <w:rPr>
                <w:sz w:val="16"/>
              </w:rPr>
              <w:t xml:space="preserve">0.85 ± 0.01</w:t>
            </w:r>
          </w:p>
        </w:tc>
        <w:tc>
          <w:tcPr/>
          <w:p>
            <w:pPr>
              <w:pStyle w:val="Compact"/>
              <w:spacing w:after="0" w:before="0"/>
            </w:pPr>
            <w:r>
              <w:rPr>
                <w:sz w:val="16"/>
              </w:rPr>
              <w:t xml:space="preserve">0.02 ± 0.00</w:t>
            </w:r>
          </w:p>
        </w:tc>
        <w:tc>
          <w:tcPr/>
          <w:p>
            <w:pPr>
              <w:pStyle w:val="Compact"/>
              <w:spacing w:after="0" w:before="0"/>
            </w:pPr>
            <w:r>
              <w:rPr>
                <w:sz w:val="16"/>
              </w:rPr>
              <w:t xml:space="preserve">0.37 ± 0.01</w:t>
            </w:r>
          </w:p>
        </w:tc>
        <w:tc>
          <w:tcPr/>
          <w:p>
            <w:pPr>
              <w:pStyle w:val="Compact"/>
              <w:spacing w:after="0" w:before="0"/>
            </w:pPr>
            <w:r>
              <w:rPr>
                <w:sz w:val="16"/>
              </w:rPr>
              <w:t xml:space="preserve">0.32 ± 0.01</w:t>
            </w:r>
          </w:p>
        </w:tc>
        <w:tc>
          <w:tcPr/>
          <w:p>
            <w:pPr>
              <w:pStyle w:val="Compact"/>
              <w:spacing w:after="0" w:before="0"/>
            </w:pPr>
            <w:r>
              <w:rPr>
                <w:sz w:val="16"/>
              </w:rPr>
              <w:t xml:space="preserve">0.11 ± 0.01</w:t>
            </w:r>
          </w:p>
        </w:tc>
        <w:tc>
          <w:tcPr/>
          <w:p>
            <w:pPr>
              <w:pStyle w:val="Compact"/>
              <w:spacing w:after="0" w:before="0"/>
            </w:pPr>
            <w:r>
              <w:rPr>
                <w:sz w:val="16"/>
              </w:rPr>
              <w:t xml:space="preserve">SL (0.37)</w:t>
            </w:r>
          </w:p>
        </w:tc>
      </w:tr>
      <w:tr>
        <w:tc>
          <w:tcPr/>
          <w:p>
            <w:pPr>
              <w:pStyle w:val="Compact"/>
              <w:spacing w:after="0" w:before="0"/>
            </w:pPr>
            <w:r>
              <w:rPr>
                <w:sz w:val="16"/>
              </w:rPr>
              <w:t xml:space="preserve">Kota Denpasar</w:t>
            </w:r>
          </w:p>
        </w:tc>
        <w:tc>
          <w:tcPr/>
          <w:p>
            <w:pPr>
              <w:pStyle w:val="Compact"/>
              <w:spacing w:after="0" w:before="0"/>
            </w:pPr>
            <w:r>
              <w:rPr>
                <w:sz w:val="16"/>
              </w:rPr>
              <w:t xml:space="preserve">G</w:t>
            </w:r>
          </w:p>
        </w:tc>
        <w:tc>
          <w:tcPr/>
          <w:p>
            <w:pPr>
              <w:pStyle w:val="Compact"/>
              <w:spacing w:after="0" w:before="0"/>
            </w:pPr>
            <w:r>
              <w:rPr>
                <w:sz w:val="16"/>
              </w:rPr>
              <w:t xml:space="preserve">SL / SL / SL / S5</w:t>
            </w:r>
          </w:p>
        </w:tc>
        <w:tc>
          <w:tcPr/>
          <w:p>
            <w:pPr>
              <w:pStyle w:val="Compact"/>
              <w:spacing w:after="0" w:before="0"/>
            </w:pPr>
            <w:r>
              <w:rPr>
                <w:sz w:val="16"/>
              </w:rPr>
              <w:t xml:space="preserve">0.57 ± 0.02</w:t>
            </w:r>
          </w:p>
        </w:tc>
        <w:tc>
          <w:tcPr/>
          <w:p>
            <w:pPr>
              <w:pStyle w:val="Compact"/>
              <w:spacing w:after="0" w:before="0"/>
            </w:pPr>
            <w:r>
              <w:rPr>
                <w:sz w:val="16"/>
              </w:rPr>
              <w:t xml:space="preserve">0.07 ± 0.01</w:t>
            </w:r>
          </w:p>
        </w:tc>
        <w:tc>
          <w:tcPr/>
          <w:p>
            <w:pPr>
              <w:pStyle w:val="Compact"/>
              <w:spacing w:after="0" w:before="0"/>
            </w:pPr>
            <w:r>
              <w:rPr>
                <w:sz w:val="16"/>
              </w:rPr>
              <w:t xml:space="preserve">0.07 ± 0.01</w:t>
            </w:r>
          </w:p>
        </w:tc>
        <w:tc>
          <w:tcPr/>
          <w:p>
            <w:pPr>
              <w:pStyle w:val="Compact"/>
              <w:spacing w:after="0" w:before="0"/>
            </w:pPr>
            <w:r>
              <w:rPr>
                <w:sz w:val="16"/>
              </w:rPr>
              <w:t xml:space="preserve">0.47 ± 0.02</w:t>
            </w:r>
          </w:p>
        </w:tc>
        <w:tc>
          <w:tcPr/>
          <w:p>
            <w:pPr>
              <w:pStyle w:val="Compact"/>
              <w:spacing w:after="0" w:before="0"/>
            </w:pPr>
            <w:r>
              <w:rPr>
                <w:sz w:val="16"/>
              </w:rPr>
              <w:t xml:space="preserve">0.41 ± 0.02</w:t>
            </w:r>
          </w:p>
        </w:tc>
        <w:tc>
          <w:tcPr/>
          <w:p>
            <w:pPr>
              <w:pStyle w:val="Compact"/>
              <w:spacing w:after="0" w:before="0"/>
            </w:pPr>
            <w:r>
              <w:rPr>
                <w:sz w:val="16"/>
              </w:rPr>
              <w:t xml:space="preserve">S5 (0.47)</w:t>
            </w:r>
          </w:p>
        </w:tc>
      </w:tr>
      <w:tr>
        <w:tc>
          <w:tcPr/>
          <w:p>
            <w:pPr>
              <w:pStyle w:val="Compact"/>
              <w:spacing w:after="0" w:before="0"/>
            </w:pPr>
            <w:r>
              <w:rPr>
                <w:sz w:val="16"/>
              </w:rPr>
              <w:t xml:space="preserve">Kab. Cianjur</w:t>
            </w:r>
          </w:p>
        </w:tc>
        <w:tc>
          <w:tcPr/>
          <w:p>
            <w:pPr>
              <w:pStyle w:val="Compact"/>
              <w:spacing w:after="0" w:before="0"/>
            </w:pPr>
            <w:r>
              <w:rPr>
                <w:sz w:val="16"/>
              </w:rPr>
              <w:t xml:space="preserve">LG</w:t>
            </w:r>
          </w:p>
        </w:tc>
        <w:tc>
          <w:tcPr/>
          <w:p>
            <w:pPr>
              <w:pStyle w:val="Compact"/>
              <w:spacing w:after="0" w:before="0"/>
            </w:pPr>
            <w:r>
              <w:rPr>
                <w:sz w:val="16"/>
              </w:rPr>
              <w:t xml:space="preserve">SL / SL / SL / S5</w:t>
            </w:r>
          </w:p>
        </w:tc>
        <w:tc>
          <w:tcPr/>
          <w:p>
            <w:pPr>
              <w:pStyle w:val="Compact"/>
              <w:spacing w:after="0" w:before="0"/>
            </w:pPr>
            <w:r>
              <w:rPr>
                <w:sz w:val="16"/>
              </w:rPr>
              <w:t xml:space="preserve">0.76 ± 0.01</w:t>
            </w:r>
          </w:p>
        </w:tc>
        <w:tc>
          <w:tcPr/>
          <w:p>
            <w:pPr>
              <w:pStyle w:val="Compact"/>
              <w:spacing w:after="0" w:before="0"/>
            </w:pPr>
            <w:r>
              <w:rPr>
                <w:sz w:val="16"/>
              </w:rPr>
              <w:t xml:space="preserve">0.09 ± 0.01</w:t>
            </w:r>
          </w:p>
        </w:tc>
        <w:tc>
          <w:tcPr/>
          <w:p>
            <w:pPr>
              <w:pStyle w:val="Compact"/>
              <w:spacing w:after="0" w:before="0"/>
            </w:pPr>
            <w:r>
              <w:rPr>
                <w:sz w:val="16"/>
              </w:rPr>
              <w:t xml:space="preserve">0.20 ± 0.01</w:t>
            </w:r>
          </w:p>
        </w:tc>
        <w:tc>
          <w:tcPr/>
          <w:p>
            <w:pPr>
              <w:pStyle w:val="Compact"/>
              <w:spacing w:after="0" w:before="0"/>
            </w:pPr>
            <w:r>
              <w:rPr>
                <w:sz w:val="16"/>
              </w:rPr>
              <w:t xml:space="preserve">0.59 ± 0.02</w:t>
            </w:r>
          </w:p>
        </w:tc>
        <w:tc>
          <w:tcPr/>
          <w:p>
            <w:pPr>
              <w:pStyle w:val="Compact"/>
              <w:spacing w:after="0" w:before="0"/>
            </w:pPr>
            <w:r>
              <w:rPr>
                <w:sz w:val="16"/>
              </w:rPr>
              <w:t xml:space="preserve">0.12 ± 0.01</w:t>
            </w:r>
          </w:p>
        </w:tc>
        <w:tc>
          <w:tcPr/>
          <w:p>
            <w:pPr>
              <w:pStyle w:val="Compact"/>
              <w:spacing w:after="0" w:before="0"/>
            </w:pPr>
            <w:r>
              <w:rPr>
                <w:sz w:val="16"/>
              </w:rPr>
              <w:t xml:space="preserve">S5 (0.59)</w:t>
            </w:r>
          </w:p>
        </w:tc>
      </w:tr>
      <w:tr>
        <w:tc>
          <w:tcPr/>
          <w:p>
            <w:pPr>
              <w:pStyle w:val="Compact"/>
              <w:spacing w:after="0" w:before="0"/>
            </w:pPr>
            <w:r>
              <w:rPr>
                <w:sz w:val="16"/>
              </w:rPr>
              <w:t xml:space="preserve">Kab. Indramayu</w:t>
            </w:r>
          </w:p>
        </w:tc>
        <w:tc>
          <w:tcPr/>
          <w:p>
            <w:pPr>
              <w:pStyle w:val="Compact"/>
              <w:spacing w:after="0" w:before="0"/>
            </w:pPr>
            <w:r>
              <w:rPr>
                <w:sz w:val="16"/>
              </w:rPr>
              <w:t xml:space="preserve">LG</w:t>
            </w:r>
          </w:p>
        </w:tc>
        <w:tc>
          <w:tcPr/>
          <w:p>
            <w:pPr>
              <w:pStyle w:val="Compact"/>
              <w:spacing w:after="0" w:before="0"/>
            </w:pPr>
            <w:r>
              <w:rPr>
                <w:sz w:val="16"/>
              </w:rPr>
              <w:t xml:space="preserve">SL / SL / SL / S5</w:t>
            </w:r>
          </w:p>
        </w:tc>
        <w:tc>
          <w:tcPr/>
          <w:p>
            <w:pPr>
              <w:pStyle w:val="Compact"/>
              <w:spacing w:after="0" w:before="0"/>
            </w:pPr>
            <w:r>
              <w:rPr>
                <w:sz w:val="16"/>
              </w:rPr>
              <w:t xml:space="preserve">0.78 ± 0.01</w:t>
            </w:r>
          </w:p>
        </w:tc>
        <w:tc>
          <w:tcPr/>
          <w:p>
            <w:pPr>
              <w:pStyle w:val="Compact"/>
              <w:spacing w:after="0" w:before="0"/>
            </w:pPr>
            <w:r>
              <w:rPr>
                <w:sz w:val="16"/>
              </w:rPr>
              <w:t xml:space="preserve">0.09 ± 0.01</w:t>
            </w:r>
          </w:p>
        </w:tc>
        <w:tc>
          <w:tcPr/>
          <w:p>
            <w:pPr>
              <w:pStyle w:val="Compact"/>
              <w:spacing w:after="0" w:before="0"/>
            </w:pPr>
            <w:r>
              <w:rPr>
                <w:sz w:val="16"/>
              </w:rPr>
              <w:t xml:space="preserve">0.21 ± 0.01</w:t>
            </w:r>
          </w:p>
        </w:tc>
        <w:tc>
          <w:tcPr/>
          <w:p>
            <w:pPr>
              <w:pStyle w:val="Compact"/>
              <w:spacing w:after="0" w:before="0"/>
            </w:pPr>
            <w:r>
              <w:rPr>
                <w:sz w:val="16"/>
              </w:rPr>
              <w:t xml:space="preserve">0.62 ± 0.02</w:t>
            </w:r>
          </w:p>
        </w:tc>
        <w:tc>
          <w:tcPr/>
          <w:p>
            <w:pPr>
              <w:pStyle w:val="Compact"/>
              <w:spacing w:after="0" w:before="0"/>
            </w:pPr>
            <w:r>
              <w:rPr>
                <w:sz w:val="16"/>
              </w:rPr>
              <w:t xml:space="preserve">0.09 ± 0.01</w:t>
            </w:r>
          </w:p>
        </w:tc>
        <w:tc>
          <w:tcPr/>
          <w:p>
            <w:pPr>
              <w:pStyle w:val="Compact"/>
              <w:spacing w:after="0" w:before="0"/>
            </w:pPr>
            <w:r>
              <w:rPr>
                <w:sz w:val="16"/>
              </w:rPr>
              <w:t xml:space="preserve">S5 (0.62)</w:t>
            </w:r>
          </w:p>
        </w:tc>
      </w:tr>
      <w:tr>
        <w:tc>
          <w:tcPr/>
          <w:p>
            <w:pPr>
              <w:pStyle w:val="Compact"/>
              <w:spacing w:after="0" w:before="0"/>
            </w:pPr>
            <w:r>
              <w:rPr>
                <w:sz w:val="16"/>
              </w:rPr>
              <w:t xml:space="preserve">Kota Semarang</w:t>
            </w:r>
          </w:p>
        </w:tc>
        <w:tc>
          <w:tcPr/>
          <w:p>
            <w:pPr>
              <w:pStyle w:val="Compact"/>
              <w:spacing w:after="0" w:before="0"/>
            </w:pPr>
            <w:r>
              <w:rPr>
                <w:sz w:val="16"/>
              </w:rPr>
              <w:t xml:space="preserve">LT</w:t>
            </w:r>
          </w:p>
        </w:tc>
        <w:tc>
          <w:tcPr/>
          <w:p>
            <w:pPr>
              <w:pStyle w:val="Compact"/>
              <w:spacing w:after="0" w:before="0"/>
            </w:pPr>
            <w:r>
              <w:rPr>
                <w:sz w:val="16"/>
              </w:rPr>
              <w:t xml:space="preserve">SL / SL / SL / S5</w:t>
            </w:r>
          </w:p>
        </w:tc>
        <w:tc>
          <w:tcPr/>
          <w:p>
            <w:pPr>
              <w:pStyle w:val="Compact"/>
              <w:spacing w:after="0" w:before="0"/>
            </w:pPr>
            <w:r>
              <w:rPr>
                <w:sz w:val="16"/>
              </w:rPr>
              <w:t xml:space="preserve">0.75 ± 0.01</w:t>
            </w:r>
          </w:p>
        </w:tc>
        <w:tc>
          <w:tcPr/>
          <w:p>
            <w:pPr>
              <w:pStyle w:val="Compact"/>
              <w:spacing w:after="0" w:before="0"/>
            </w:pPr>
            <w:r>
              <w:rPr>
                <w:sz w:val="16"/>
              </w:rPr>
              <w:t xml:space="preserve">0.06 ± 0.01</w:t>
            </w:r>
          </w:p>
        </w:tc>
        <w:tc>
          <w:tcPr/>
          <w:p>
            <w:pPr>
              <w:pStyle w:val="Compact"/>
              <w:spacing w:after="0" w:before="0"/>
            </w:pPr>
            <w:r>
              <w:rPr>
                <w:sz w:val="16"/>
              </w:rPr>
              <w:t xml:space="preserve">0.20 ± 0.01</w:t>
            </w:r>
          </w:p>
        </w:tc>
        <w:tc>
          <w:tcPr/>
          <w:p>
            <w:pPr>
              <w:pStyle w:val="Compact"/>
              <w:spacing w:after="0" w:before="0"/>
            </w:pPr>
            <w:r>
              <w:rPr>
                <w:sz w:val="16"/>
              </w:rPr>
              <w:t xml:space="preserve">0.54 ± 0.02</w:t>
            </w:r>
          </w:p>
        </w:tc>
        <w:tc>
          <w:tcPr/>
          <w:p>
            <w:pPr>
              <w:pStyle w:val="Compact"/>
              <w:spacing w:after="0" w:before="0"/>
            </w:pPr>
            <w:r>
              <w:rPr>
                <w:sz w:val="16"/>
              </w:rPr>
              <w:t xml:space="preserve">0.19 ± 0.01</w:t>
            </w:r>
          </w:p>
        </w:tc>
        <w:tc>
          <w:tcPr/>
          <w:p>
            <w:pPr>
              <w:pStyle w:val="Compact"/>
              <w:spacing w:after="0" w:before="0"/>
            </w:pPr>
            <w:r>
              <w:rPr>
                <w:sz w:val="16"/>
              </w:rPr>
              <w:t xml:space="preserve">S5 (0.54)</w:t>
            </w:r>
          </w:p>
        </w:tc>
      </w:tr>
      <w:tr>
        <w:tc>
          <w:tcPr/>
          <w:p>
            <w:pPr>
              <w:pStyle w:val="Compact"/>
              <w:spacing w:after="0" w:before="0"/>
            </w:pPr>
            <w:r>
              <w:rPr>
                <w:sz w:val="16"/>
              </w:rPr>
              <w:t xml:space="preserve">Kab. Brebes</w:t>
            </w:r>
          </w:p>
        </w:tc>
        <w:tc>
          <w:tcPr/>
          <w:p>
            <w:pPr>
              <w:pStyle w:val="Compact"/>
              <w:spacing w:after="0" w:before="0"/>
            </w:pPr>
            <w:r>
              <w:rPr>
                <w:sz w:val="16"/>
              </w:rPr>
              <w:t xml:space="preserve">T</w:t>
            </w:r>
          </w:p>
        </w:tc>
        <w:tc>
          <w:tcPr/>
          <w:p>
            <w:pPr>
              <w:pStyle w:val="Compact"/>
              <w:spacing w:after="0" w:before="0"/>
            </w:pPr>
            <w:r>
              <w:rPr>
                <w:sz w:val="16"/>
              </w:rPr>
              <w:t xml:space="preserve">SL / SL / SL / S5</w:t>
            </w:r>
          </w:p>
        </w:tc>
        <w:tc>
          <w:tcPr/>
          <w:p>
            <w:pPr>
              <w:pStyle w:val="Compact"/>
              <w:spacing w:after="0" w:before="0"/>
            </w:pPr>
            <w:r>
              <w:rPr>
                <w:sz w:val="16"/>
              </w:rPr>
              <w:t xml:space="preserve">0.82 ± 0.01</w:t>
            </w:r>
          </w:p>
        </w:tc>
        <w:tc>
          <w:tcPr/>
          <w:p>
            <w:pPr>
              <w:pStyle w:val="Compact"/>
              <w:spacing w:after="0" w:before="0"/>
            </w:pPr>
            <w:r>
              <w:rPr>
                <w:sz w:val="16"/>
              </w:rPr>
              <w:t xml:space="preserve">0.08 ± 0.01</w:t>
            </w:r>
          </w:p>
        </w:tc>
        <w:tc>
          <w:tcPr/>
          <w:p>
            <w:pPr>
              <w:pStyle w:val="Compact"/>
              <w:spacing w:after="0" w:before="0"/>
            </w:pPr>
            <w:r>
              <w:rPr>
                <w:sz w:val="16"/>
              </w:rPr>
              <w:t xml:space="preserve">0.29 ± 0.01</w:t>
            </w:r>
          </w:p>
        </w:tc>
        <w:tc>
          <w:tcPr/>
          <w:p>
            <w:pPr>
              <w:pStyle w:val="Compact"/>
              <w:spacing w:after="0" w:before="0"/>
            </w:pPr>
            <w:r>
              <w:rPr>
                <w:sz w:val="16"/>
              </w:rPr>
              <w:t xml:space="preserve">0.60 ± 0.02</w:t>
            </w:r>
          </w:p>
        </w:tc>
        <w:tc>
          <w:tcPr/>
          <w:p>
            <w:pPr>
              <w:pStyle w:val="Compact"/>
              <w:spacing w:after="0" w:before="0"/>
            </w:pPr>
            <w:r>
              <w:rPr>
                <w:sz w:val="16"/>
              </w:rPr>
              <w:t xml:space="preserve">0.07 ± 0.01</w:t>
            </w:r>
          </w:p>
        </w:tc>
        <w:tc>
          <w:tcPr/>
          <w:p>
            <w:pPr>
              <w:pStyle w:val="Compact"/>
              <w:spacing w:after="0" w:before="0"/>
            </w:pPr>
            <w:r>
              <w:rPr>
                <w:sz w:val="16"/>
              </w:rPr>
              <w:t xml:space="preserve">S5 (0.60)</w:t>
            </w:r>
          </w:p>
        </w:tc>
      </w:tr>
      <w:tr>
        <w:tc>
          <w:tcPr/>
          <w:p>
            <w:pPr>
              <w:pStyle w:val="Compact"/>
              <w:spacing w:after="0" w:before="0"/>
            </w:pPr>
            <w:r>
              <w:rPr>
                <w:sz w:val="16"/>
              </w:rPr>
              <w:t xml:space="preserve">Kab. Nganjuk</w:t>
            </w:r>
          </w:p>
        </w:tc>
        <w:tc>
          <w:tcPr/>
          <w:p>
            <w:pPr>
              <w:pStyle w:val="Compact"/>
              <w:spacing w:after="0" w:before="0"/>
            </w:pPr>
            <w:r>
              <w:rPr>
                <w:sz w:val="16"/>
              </w:rPr>
              <w:t xml:space="preserve">T</w:t>
            </w:r>
          </w:p>
        </w:tc>
        <w:tc>
          <w:tcPr/>
          <w:p>
            <w:pPr>
              <w:pStyle w:val="Compact"/>
              <w:spacing w:after="0" w:before="0"/>
            </w:pPr>
            <w:r>
              <w:rPr>
                <w:sz w:val="16"/>
              </w:rPr>
              <w:t xml:space="preserve">SL / SL / SL / S5</w:t>
            </w:r>
          </w:p>
        </w:tc>
        <w:tc>
          <w:tcPr/>
          <w:p>
            <w:pPr>
              <w:pStyle w:val="Compact"/>
              <w:spacing w:after="0" w:before="0"/>
            </w:pPr>
            <w:r>
              <w:rPr>
                <w:sz w:val="16"/>
              </w:rPr>
              <w:t xml:space="preserve">0.80 ± 0.01</w:t>
            </w:r>
          </w:p>
        </w:tc>
        <w:tc>
          <w:tcPr/>
          <w:p>
            <w:pPr>
              <w:pStyle w:val="Compact"/>
              <w:spacing w:after="0" w:before="0"/>
            </w:pPr>
            <w:r>
              <w:rPr>
                <w:sz w:val="16"/>
              </w:rPr>
              <w:t xml:space="preserve">0.06 ± 0.01</w:t>
            </w:r>
          </w:p>
        </w:tc>
        <w:tc>
          <w:tcPr/>
          <w:p>
            <w:pPr>
              <w:pStyle w:val="Compact"/>
              <w:spacing w:after="0" w:before="0"/>
            </w:pPr>
            <w:r>
              <w:rPr>
                <w:sz w:val="16"/>
              </w:rPr>
              <w:t xml:space="preserve">0.20 ± 0.01</w:t>
            </w:r>
          </w:p>
        </w:tc>
        <w:tc>
          <w:tcPr/>
          <w:p>
            <w:pPr>
              <w:pStyle w:val="Compact"/>
              <w:spacing w:after="0" w:before="0"/>
            </w:pPr>
            <w:r>
              <w:rPr>
                <w:sz w:val="16"/>
              </w:rPr>
              <w:t xml:space="preserve">0.60 ± 0.02</w:t>
            </w:r>
          </w:p>
        </w:tc>
        <w:tc>
          <w:tcPr/>
          <w:p>
            <w:pPr>
              <w:pStyle w:val="Compact"/>
              <w:spacing w:after="0" w:before="0"/>
            </w:pPr>
            <w:r>
              <w:rPr>
                <w:sz w:val="16"/>
              </w:rPr>
              <w:t xml:space="preserve">0.17 ± 0.01</w:t>
            </w:r>
          </w:p>
        </w:tc>
        <w:tc>
          <w:tcPr/>
          <w:p>
            <w:pPr>
              <w:pStyle w:val="Compact"/>
              <w:spacing w:after="0" w:before="0"/>
            </w:pPr>
            <w:r>
              <w:rPr>
                <w:sz w:val="16"/>
              </w:rPr>
              <w:t xml:space="preserve">S5 (0.60)</w:t>
            </w:r>
          </w:p>
        </w:tc>
      </w:tr>
      <w:tr>
        <w:tc>
          <w:tcPr/>
          <w:p>
            <w:pPr>
              <w:pStyle w:val="Compact"/>
              <w:spacing w:after="0" w:before="0"/>
            </w:pPr>
            <w:r>
              <w:rPr>
                <w:sz w:val="16"/>
              </w:rPr>
              <w:t xml:space="preserve">Kab. Pati</w:t>
            </w:r>
          </w:p>
        </w:tc>
        <w:tc>
          <w:tcPr/>
          <w:p>
            <w:pPr>
              <w:pStyle w:val="Compact"/>
              <w:spacing w:after="0" w:before="0"/>
            </w:pPr>
            <w:r>
              <w:rPr>
                <w:sz w:val="16"/>
              </w:rPr>
              <w:t xml:space="preserve">R</w:t>
            </w:r>
          </w:p>
        </w:tc>
        <w:tc>
          <w:tcPr/>
          <w:p>
            <w:pPr>
              <w:pStyle w:val="Compact"/>
              <w:spacing w:after="0" w:before="0"/>
            </w:pPr>
            <w:r>
              <w:rPr>
                <w:sz w:val="16"/>
              </w:rPr>
              <w:t xml:space="preserve">SL / SL / SL / S5</w:t>
            </w:r>
          </w:p>
        </w:tc>
        <w:tc>
          <w:tcPr/>
          <w:p>
            <w:pPr>
              <w:pStyle w:val="Compact"/>
              <w:spacing w:after="0" w:before="0"/>
            </w:pPr>
            <w:r>
              <w:rPr>
                <w:sz w:val="16"/>
              </w:rPr>
              <w:t xml:space="preserve">0.56 ± 0.02</w:t>
            </w:r>
          </w:p>
        </w:tc>
        <w:tc>
          <w:tcPr/>
          <w:p>
            <w:pPr>
              <w:pStyle w:val="Compact"/>
              <w:spacing w:after="0" w:before="0"/>
            </w:pPr>
            <w:r>
              <w:rPr>
                <w:sz w:val="16"/>
              </w:rPr>
              <w:t xml:space="preserve">0.23 ± 0.01</w:t>
            </w:r>
          </w:p>
        </w:tc>
        <w:tc>
          <w:tcPr/>
          <w:p>
            <w:pPr>
              <w:pStyle w:val="Compact"/>
              <w:spacing w:after="0" w:before="0"/>
            </w:pPr>
            <w:r>
              <w:rPr>
                <w:sz w:val="16"/>
              </w:rPr>
              <w:t xml:space="preserve">0.08 ± 0.01</w:t>
            </w:r>
          </w:p>
        </w:tc>
        <w:tc>
          <w:tcPr/>
          <w:p>
            <w:pPr>
              <w:pStyle w:val="Compact"/>
              <w:spacing w:after="0" w:before="0"/>
            </w:pPr>
            <w:r>
              <w:rPr>
                <w:sz w:val="16"/>
              </w:rPr>
              <w:t xml:space="preserve">0.83 ± 0.01</w:t>
            </w:r>
          </w:p>
        </w:tc>
        <w:tc>
          <w:tcPr/>
          <w:p>
            <w:pPr>
              <w:pStyle w:val="Compact"/>
              <w:spacing w:after="0" w:before="0"/>
            </w:pPr>
            <w:r>
              <w:rPr>
                <w:sz w:val="16"/>
              </w:rPr>
              <w:t xml:space="preserve">0.04 ± 0.01</w:t>
            </w:r>
          </w:p>
        </w:tc>
        <w:tc>
          <w:tcPr/>
          <w:p>
            <w:pPr>
              <w:pStyle w:val="Compact"/>
              <w:spacing w:after="0" w:before="0"/>
            </w:pPr>
            <w:r>
              <w:rPr>
                <w:sz w:val="16"/>
              </w:rPr>
              <w:t xml:space="preserve">S5 (0.83)</w:t>
            </w:r>
          </w:p>
        </w:tc>
      </w:tr>
      <w:tr>
        <w:tc>
          <w:tcPr/>
          <w:p>
            <w:pPr>
              <w:pStyle w:val="Compact"/>
              <w:spacing w:after="0" w:before="0"/>
            </w:pPr>
            <w:r>
              <w:rPr>
                <w:sz w:val="16"/>
              </w:rPr>
              <w:t xml:space="preserve">Kab. Magelang</w:t>
            </w:r>
          </w:p>
        </w:tc>
        <w:tc>
          <w:tcPr/>
          <w:p>
            <w:pPr>
              <w:pStyle w:val="Compact"/>
              <w:spacing w:after="0" w:before="0"/>
            </w:pPr>
            <w:r>
              <w:rPr>
                <w:sz w:val="16"/>
              </w:rPr>
              <w:t xml:space="preserve">T</w:t>
            </w:r>
          </w:p>
        </w:tc>
        <w:tc>
          <w:tcPr/>
          <w:p>
            <w:pPr>
              <w:pStyle w:val="Compact"/>
              <w:spacing w:after="0" w:before="0"/>
            </w:pPr>
            <w:r>
              <w:rPr>
                <w:sz w:val="16"/>
              </w:rPr>
              <w:t xml:space="preserve">SL / SL / SL / S5</w:t>
            </w:r>
          </w:p>
        </w:tc>
        <w:tc>
          <w:tcPr/>
          <w:p>
            <w:pPr>
              <w:pStyle w:val="Compact"/>
              <w:spacing w:after="0" w:before="0"/>
            </w:pPr>
            <w:r>
              <w:rPr>
                <w:sz w:val="16"/>
              </w:rPr>
              <w:t xml:space="preserve">0.80 ± 0.01</w:t>
            </w:r>
          </w:p>
        </w:tc>
        <w:tc>
          <w:tcPr/>
          <w:p>
            <w:pPr>
              <w:pStyle w:val="Compact"/>
              <w:spacing w:after="0" w:before="0"/>
            </w:pPr>
            <w:r>
              <w:rPr>
                <w:sz w:val="16"/>
              </w:rPr>
              <w:t xml:space="preserve">0.07 ± 0.01</w:t>
            </w:r>
          </w:p>
        </w:tc>
        <w:tc>
          <w:tcPr/>
          <w:p>
            <w:pPr>
              <w:pStyle w:val="Compact"/>
              <w:spacing w:after="0" w:before="0"/>
            </w:pPr>
            <w:r>
              <w:rPr>
                <w:sz w:val="16"/>
              </w:rPr>
              <w:t xml:space="preserve">0.19 ± 0.01</w:t>
            </w:r>
          </w:p>
        </w:tc>
        <w:tc>
          <w:tcPr/>
          <w:p>
            <w:pPr>
              <w:pStyle w:val="Compact"/>
              <w:spacing w:after="0" w:before="0"/>
            </w:pPr>
            <w:r>
              <w:rPr>
                <w:sz w:val="16"/>
              </w:rPr>
              <w:t xml:space="preserve">0.62 ± 0.02</w:t>
            </w:r>
          </w:p>
        </w:tc>
        <w:tc>
          <w:tcPr/>
          <w:p>
            <w:pPr>
              <w:pStyle w:val="Compact"/>
              <w:spacing w:after="0" w:before="0"/>
            </w:pPr>
            <w:r>
              <w:rPr>
                <w:sz w:val="16"/>
              </w:rPr>
              <w:t xml:space="preserve">0.15 ± 0.01</w:t>
            </w:r>
          </w:p>
        </w:tc>
        <w:tc>
          <w:tcPr/>
          <w:p>
            <w:pPr>
              <w:pStyle w:val="Compact"/>
              <w:spacing w:after="0" w:before="0"/>
            </w:pPr>
            <w:r>
              <w:rPr>
                <w:sz w:val="16"/>
              </w:rPr>
              <w:t xml:space="preserve">S5 (0.62)</w:t>
            </w:r>
          </w:p>
        </w:tc>
      </w:tr>
      <w:tr>
        <w:tc>
          <w:tcPr/>
          <w:p>
            <w:pPr>
              <w:pStyle w:val="Compact"/>
              <w:spacing w:after="0" w:before="0"/>
            </w:pPr>
            <w:r>
              <w:rPr>
                <w:sz w:val="16"/>
              </w:rPr>
              <w:t xml:space="preserve">Kab. Pandeglang</w:t>
            </w:r>
          </w:p>
        </w:tc>
        <w:tc>
          <w:tcPr/>
          <w:p>
            <w:pPr>
              <w:pStyle w:val="Compact"/>
              <w:spacing w:after="0" w:before="0"/>
            </w:pPr>
          </w:p>
        </w:tc>
        <w:tc>
          <w:tcPr/>
          <w:p>
            <w:pPr>
              <w:pStyle w:val="Compact"/>
              <w:spacing w:after="0" w:before="0"/>
            </w:pPr>
            <w:r>
              <w:rPr>
                <w:sz w:val="16"/>
              </w:rPr>
              <w:t xml:space="preserve">SL / SL / SL / S5</w:t>
            </w:r>
          </w:p>
        </w:tc>
        <w:tc>
          <w:tcPr/>
          <w:p>
            <w:pPr>
              <w:pStyle w:val="Compact"/>
              <w:spacing w:after="0" w:before="0"/>
            </w:pPr>
            <w:r>
              <w:rPr>
                <w:sz w:val="16"/>
              </w:rPr>
              <w:t xml:space="preserve">0.92 ± 0.01</w:t>
            </w:r>
          </w:p>
        </w:tc>
        <w:tc>
          <w:tcPr/>
          <w:p>
            <w:pPr>
              <w:pStyle w:val="Compact"/>
              <w:spacing w:after="0" w:before="0"/>
            </w:pPr>
            <w:r>
              <w:rPr>
                <w:sz w:val="16"/>
              </w:rPr>
              <w:t xml:space="preserve">0.02 ± 0.00</w:t>
            </w:r>
          </w:p>
        </w:tc>
        <w:tc>
          <w:tcPr/>
          <w:p>
            <w:pPr>
              <w:pStyle w:val="Compact"/>
              <w:spacing w:after="0" w:before="0"/>
            </w:pPr>
            <w:r>
              <w:rPr>
                <w:sz w:val="16"/>
              </w:rPr>
              <w:t xml:space="preserve">0.36 ± 0.01</w:t>
            </w:r>
          </w:p>
        </w:tc>
        <w:tc>
          <w:tcPr/>
          <w:p>
            <w:pPr>
              <w:pStyle w:val="Compact"/>
              <w:spacing w:after="0" w:before="0"/>
            </w:pPr>
            <w:r>
              <w:rPr>
                <w:sz w:val="16"/>
              </w:rPr>
              <w:t xml:space="preserve">0.41 ± 0.02</w:t>
            </w:r>
          </w:p>
        </w:tc>
        <w:tc>
          <w:tcPr/>
          <w:p>
            <w:pPr>
              <w:pStyle w:val="Compact"/>
              <w:spacing w:after="0" w:before="0"/>
            </w:pPr>
            <w:r>
              <w:rPr>
                <w:sz w:val="16"/>
              </w:rPr>
              <w:t xml:space="preserve">0.03 ± 0.01</w:t>
            </w:r>
          </w:p>
        </w:tc>
        <w:tc>
          <w:tcPr/>
          <w:p>
            <w:pPr>
              <w:pStyle w:val="Compact"/>
              <w:spacing w:after="0" w:before="0"/>
            </w:pPr>
            <w:r>
              <w:rPr>
                <w:sz w:val="16"/>
              </w:rPr>
              <w:t xml:space="preserve">S5 (0.41)</w:t>
            </w:r>
          </w:p>
        </w:tc>
      </w:tr>
      <w:tr>
        <w:tc>
          <w:tcPr/>
          <w:p>
            <w:pPr>
              <w:pStyle w:val="Compact"/>
              <w:spacing w:after="0" w:before="0"/>
            </w:pPr>
            <w:r>
              <w:rPr>
                <w:sz w:val="16"/>
              </w:rPr>
              <w:t xml:space="preserve">Kab. Pemalang</w:t>
            </w:r>
          </w:p>
        </w:tc>
        <w:tc>
          <w:tcPr/>
          <w:p>
            <w:pPr>
              <w:pStyle w:val="Compact"/>
              <w:spacing w:after="0" w:before="0"/>
            </w:pPr>
          </w:p>
        </w:tc>
        <w:tc>
          <w:tcPr/>
          <w:p>
            <w:pPr>
              <w:pStyle w:val="Compact"/>
              <w:spacing w:after="0" w:before="0"/>
            </w:pPr>
            <w:r>
              <w:rPr>
                <w:sz w:val="16"/>
              </w:rPr>
              <w:t xml:space="preserve">SL / SL / SL / S5</w:t>
            </w:r>
          </w:p>
        </w:tc>
        <w:tc>
          <w:tcPr/>
          <w:p>
            <w:pPr>
              <w:pStyle w:val="Compact"/>
              <w:spacing w:after="0" w:before="0"/>
            </w:pPr>
            <w:r>
              <w:rPr>
                <w:sz w:val="16"/>
              </w:rPr>
              <w:t xml:space="preserve">0.91 ± 0.01</w:t>
            </w:r>
          </w:p>
        </w:tc>
        <w:tc>
          <w:tcPr/>
          <w:p>
            <w:pPr>
              <w:pStyle w:val="Compact"/>
              <w:spacing w:after="0" w:before="0"/>
            </w:pPr>
            <w:r>
              <w:rPr>
                <w:sz w:val="16"/>
              </w:rPr>
              <w:t xml:space="preserve">0.05 ± 0.01</w:t>
            </w:r>
          </w:p>
        </w:tc>
        <w:tc>
          <w:tcPr/>
          <w:p>
            <w:pPr>
              <w:pStyle w:val="Compact"/>
              <w:spacing w:after="0" w:before="0"/>
            </w:pPr>
            <w:r>
              <w:rPr>
                <w:sz w:val="16"/>
              </w:rPr>
              <w:t xml:space="preserve">0.31 ± 0.01</w:t>
            </w:r>
          </w:p>
        </w:tc>
        <w:tc>
          <w:tcPr/>
          <w:p>
            <w:pPr>
              <w:pStyle w:val="Compact"/>
              <w:spacing w:after="0" w:before="0"/>
            </w:pPr>
            <w:r>
              <w:rPr>
                <w:sz w:val="16"/>
              </w:rPr>
              <w:t xml:space="preserve">0.62 ± 0.02</w:t>
            </w:r>
          </w:p>
        </w:tc>
        <w:tc>
          <w:tcPr/>
          <w:p>
            <w:pPr>
              <w:pStyle w:val="Compact"/>
              <w:spacing w:after="0" w:before="0"/>
            </w:pPr>
            <w:r>
              <w:rPr>
                <w:sz w:val="16"/>
              </w:rPr>
              <w:t xml:space="preserve">0.03 ± 0.01</w:t>
            </w:r>
          </w:p>
        </w:tc>
        <w:tc>
          <w:tcPr/>
          <w:p>
            <w:pPr>
              <w:pStyle w:val="Compact"/>
              <w:spacing w:after="0" w:before="0"/>
            </w:pPr>
            <w:r>
              <w:rPr>
                <w:sz w:val="16"/>
              </w:rPr>
              <w:t xml:space="preserve">S5 (0.62)</w:t>
            </w:r>
          </w:p>
        </w:tc>
      </w:tr>
      <w:tr>
        <w:tc>
          <w:tcPr/>
          <w:p>
            <w:pPr>
              <w:pStyle w:val="Compact"/>
              <w:spacing w:after="0" w:before="0"/>
            </w:pPr>
            <w:r>
              <w:rPr>
                <w:sz w:val="16"/>
              </w:rPr>
              <w:t xml:space="preserve">Kab. Temanggung</w:t>
            </w:r>
          </w:p>
        </w:tc>
        <w:tc>
          <w:tcPr/>
          <w:p>
            <w:pPr>
              <w:pStyle w:val="Compact"/>
              <w:spacing w:after="0" w:before="0"/>
            </w:pPr>
          </w:p>
        </w:tc>
        <w:tc>
          <w:tcPr/>
          <w:p>
            <w:pPr>
              <w:pStyle w:val="Compact"/>
              <w:spacing w:after="0" w:before="0"/>
            </w:pPr>
            <w:r>
              <w:rPr>
                <w:sz w:val="16"/>
              </w:rPr>
              <w:t xml:space="preserve">SL / SL / SL / S5</w:t>
            </w:r>
          </w:p>
        </w:tc>
        <w:tc>
          <w:tcPr/>
          <w:p>
            <w:pPr>
              <w:pStyle w:val="Compact"/>
              <w:spacing w:after="0" w:before="0"/>
            </w:pPr>
            <w:r>
              <w:rPr>
                <w:sz w:val="16"/>
              </w:rPr>
              <w:t xml:space="preserve">0.94 ± 0.01</w:t>
            </w:r>
          </w:p>
        </w:tc>
        <w:tc>
          <w:tcPr/>
          <w:p>
            <w:pPr>
              <w:pStyle w:val="Compact"/>
              <w:spacing w:after="0" w:before="0"/>
            </w:pPr>
            <w:r>
              <w:rPr>
                <w:sz w:val="16"/>
              </w:rPr>
              <w:t xml:space="preserve">0.02 ± 0.00</w:t>
            </w:r>
          </w:p>
        </w:tc>
        <w:tc>
          <w:tcPr/>
          <w:p>
            <w:pPr>
              <w:pStyle w:val="Compact"/>
              <w:spacing w:after="0" w:before="0"/>
            </w:pPr>
            <w:r>
              <w:rPr>
                <w:sz w:val="16"/>
              </w:rPr>
              <w:t xml:space="preserve">0.48 ± 0.02</w:t>
            </w:r>
          </w:p>
        </w:tc>
        <w:tc>
          <w:tcPr/>
          <w:p>
            <w:pPr>
              <w:pStyle w:val="Compact"/>
              <w:spacing w:after="0" w:before="0"/>
            </w:pPr>
            <w:r>
              <w:rPr>
                <w:sz w:val="16"/>
              </w:rPr>
              <w:t xml:space="preserve">0.41 ± 0.02</w:t>
            </w:r>
          </w:p>
        </w:tc>
        <w:tc>
          <w:tcPr/>
          <w:p>
            <w:pPr>
              <w:pStyle w:val="Compact"/>
              <w:spacing w:after="0" w:before="0"/>
            </w:pPr>
            <w:r>
              <w:rPr>
                <w:sz w:val="16"/>
              </w:rPr>
              <w:t xml:space="preserve">0.07 ± 0.01</w:t>
            </w:r>
          </w:p>
        </w:tc>
        <w:tc>
          <w:tcPr/>
          <w:p>
            <w:pPr>
              <w:pStyle w:val="Compact"/>
              <w:spacing w:after="0" w:before="0"/>
            </w:pPr>
            <w:r>
              <w:rPr>
                <w:sz w:val="16"/>
              </w:rPr>
              <w:t xml:space="preserve">SL (0.48)</w:t>
            </w:r>
          </w:p>
        </w:tc>
      </w:tr>
      <w:tr>
        <w:tc>
          <w:tcPr/>
          <w:p>
            <w:pPr>
              <w:pStyle w:val="Compact"/>
              <w:spacing w:after="0" w:before="0"/>
            </w:pPr>
            <w:r>
              <w:rPr>
                <w:sz w:val="16"/>
              </w:rPr>
              <w:t xml:space="preserve">Kab. Pekalongan</w:t>
            </w:r>
          </w:p>
        </w:tc>
        <w:tc>
          <w:tcPr/>
          <w:p>
            <w:pPr>
              <w:pStyle w:val="Compact"/>
              <w:spacing w:after="0" w:before="0"/>
            </w:pPr>
            <w:r>
              <w:rPr>
                <w:sz w:val="16"/>
              </w:rPr>
              <w:t xml:space="preserve">L</w:t>
            </w:r>
          </w:p>
        </w:tc>
        <w:tc>
          <w:tcPr/>
          <w:p>
            <w:pPr>
              <w:pStyle w:val="Compact"/>
              <w:spacing w:after="0" w:before="0"/>
            </w:pPr>
            <w:r>
              <w:rPr>
                <w:sz w:val="16"/>
              </w:rPr>
              <w:t xml:space="preserve">SL / SL / SL / S5</w:t>
            </w:r>
          </w:p>
        </w:tc>
        <w:tc>
          <w:tcPr/>
          <w:p>
            <w:pPr>
              <w:pStyle w:val="Compact"/>
              <w:spacing w:after="0" w:before="0"/>
            </w:pPr>
            <w:r>
              <w:rPr>
                <w:sz w:val="16"/>
              </w:rPr>
              <w:t xml:space="preserve">0.66 ± 0.01</w:t>
            </w:r>
          </w:p>
        </w:tc>
        <w:tc>
          <w:tcPr/>
          <w:p>
            <w:pPr>
              <w:pStyle w:val="Compact"/>
              <w:spacing w:after="0" w:before="0"/>
            </w:pPr>
            <w:r>
              <w:rPr>
                <w:sz w:val="16"/>
              </w:rPr>
              <w:t xml:space="preserve">0.15 ± 0.01</w:t>
            </w:r>
          </w:p>
        </w:tc>
        <w:tc>
          <w:tcPr/>
          <w:p>
            <w:pPr>
              <w:pStyle w:val="Compact"/>
              <w:spacing w:after="0" w:before="0"/>
            </w:pPr>
            <w:r>
              <w:rPr>
                <w:sz w:val="16"/>
              </w:rPr>
              <w:t xml:space="preserve">0.12 ± 0.01</w:t>
            </w:r>
          </w:p>
        </w:tc>
        <w:tc>
          <w:tcPr/>
          <w:p>
            <w:pPr>
              <w:pStyle w:val="Compact"/>
              <w:spacing w:after="0" w:before="0"/>
            </w:pPr>
            <w:r>
              <w:rPr>
                <w:sz w:val="16"/>
              </w:rPr>
              <w:t xml:space="preserve">0.66 ± 0.01</w:t>
            </w:r>
          </w:p>
        </w:tc>
        <w:tc>
          <w:tcPr/>
          <w:p>
            <w:pPr>
              <w:pStyle w:val="Compact"/>
              <w:spacing w:after="0" w:before="0"/>
            </w:pPr>
            <w:r>
              <w:rPr>
                <w:sz w:val="16"/>
              </w:rPr>
              <w:t xml:space="preserve">0.18 ± 0.01</w:t>
            </w:r>
          </w:p>
        </w:tc>
        <w:tc>
          <w:tcPr/>
          <w:p>
            <w:pPr>
              <w:pStyle w:val="Compact"/>
              <w:spacing w:after="0" w:before="0"/>
            </w:pPr>
            <w:r>
              <w:rPr>
                <w:sz w:val="16"/>
              </w:rPr>
              <w:t xml:space="preserve">S5 (0.66)</w:t>
            </w:r>
          </w:p>
        </w:tc>
      </w:tr>
      <w:tr>
        <w:tc>
          <w:tcPr/>
          <w:p>
            <w:pPr>
              <w:pStyle w:val="Compact"/>
              <w:spacing w:after="0" w:before="0"/>
            </w:pPr>
            <w:r>
              <w:rPr>
                <w:sz w:val="16"/>
              </w:rPr>
              <w:t xml:space="preserve">Kab. Sragen</w:t>
            </w:r>
          </w:p>
        </w:tc>
        <w:tc>
          <w:tcPr/>
          <w:p>
            <w:pPr>
              <w:pStyle w:val="Compact"/>
              <w:spacing w:after="0" w:before="0"/>
            </w:pPr>
            <w:r>
              <w:rPr>
                <w:sz w:val="16"/>
              </w:rPr>
              <w:t xml:space="preserve">LT</w:t>
            </w:r>
          </w:p>
        </w:tc>
        <w:tc>
          <w:tcPr/>
          <w:p>
            <w:pPr>
              <w:pStyle w:val="Compact"/>
              <w:spacing w:after="0" w:before="0"/>
            </w:pPr>
            <w:r>
              <w:rPr>
                <w:sz w:val="16"/>
              </w:rPr>
              <w:t xml:space="preserve">SL / SL / SL / S5</w:t>
            </w:r>
          </w:p>
        </w:tc>
        <w:tc>
          <w:tcPr/>
          <w:p>
            <w:pPr>
              <w:pStyle w:val="Compact"/>
              <w:spacing w:after="0" w:before="0"/>
            </w:pPr>
            <w:r>
              <w:rPr>
                <w:sz w:val="16"/>
              </w:rPr>
              <w:t xml:space="preserve">0.81 ± 0.01</w:t>
            </w:r>
          </w:p>
        </w:tc>
        <w:tc>
          <w:tcPr/>
          <w:p>
            <w:pPr>
              <w:pStyle w:val="Compact"/>
              <w:spacing w:after="0" w:before="0"/>
            </w:pPr>
            <w:r>
              <w:rPr>
                <w:sz w:val="16"/>
              </w:rPr>
              <w:t xml:space="preserve">0.09 ± 0.01</w:t>
            </w:r>
          </w:p>
        </w:tc>
        <w:tc>
          <w:tcPr/>
          <w:p>
            <w:pPr>
              <w:pStyle w:val="Compact"/>
              <w:spacing w:after="0" w:before="0"/>
            </w:pPr>
            <w:r>
              <w:rPr>
                <w:sz w:val="16"/>
              </w:rPr>
              <w:t xml:space="preserve">0.20 ± 0.01</w:t>
            </w:r>
          </w:p>
        </w:tc>
        <w:tc>
          <w:tcPr/>
          <w:p>
            <w:pPr>
              <w:pStyle w:val="Compact"/>
              <w:spacing w:after="0" w:before="0"/>
            </w:pPr>
            <w:r>
              <w:rPr>
                <w:sz w:val="16"/>
              </w:rPr>
              <w:t xml:space="preserve">0.62 ± 0.02</w:t>
            </w:r>
          </w:p>
        </w:tc>
        <w:tc>
          <w:tcPr/>
          <w:p>
            <w:pPr>
              <w:pStyle w:val="Compact"/>
              <w:spacing w:after="0" w:before="0"/>
            </w:pPr>
            <w:r>
              <w:rPr>
                <w:sz w:val="16"/>
              </w:rPr>
              <w:t xml:space="preserve">0.12 ± 0.01</w:t>
            </w:r>
          </w:p>
        </w:tc>
        <w:tc>
          <w:tcPr/>
          <w:p>
            <w:pPr>
              <w:pStyle w:val="Compact"/>
              <w:spacing w:after="0" w:before="0"/>
            </w:pPr>
            <w:r>
              <w:rPr>
                <w:sz w:val="16"/>
              </w:rPr>
              <w:t xml:space="preserve">S5 (0.62)</w:t>
            </w:r>
          </w:p>
        </w:tc>
      </w:tr>
      <w:tr>
        <w:tc>
          <w:tcPr/>
          <w:p>
            <w:pPr>
              <w:pStyle w:val="Compact"/>
              <w:spacing w:after="0" w:before="0"/>
            </w:pPr>
            <w:r>
              <w:rPr>
                <w:sz w:val="16"/>
              </w:rPr>
              <w:t xml:space="preserve">Kab. Kutai Kartanegara</w:t>
            </w:r>
          </w:p>
        </w:tc>
        <w:tc>
          <w:tcPr/>
          <w:p>
            <w:pPr>
              <w:pStyle w:val="Compact"/>
              <w:spacing w:after="0" w:before="0"/>
            </w:pPr>
            <w:r>
              <w:rPr>
                <w:sz w:val="16"/>
              </w:rPr>
              <w:t xml:space="preserve">WT</w:t>
            </w:r>
          </w:p>
        </w:tc>
        <w:tc>
          <w:tcPr/>
          <w:p>
            <w:pPr>
              <w:pStyle w:val="Compact"/>
              <w:spacing w:after="0" w:before="0"/>
            </w:pPr>
            <w:r>
              <w:rPr>
                <w:sz w:val="16"/>
              </w:rPr>
              <w:t xml:space="preserve">SL / SL / SL / S1</w:t>
            </w:r>
          </w:p>
        </w:tc>
        <w:tc>
          <w:tcPr/>
          <w:p>
            <w:pPr>
              <w:pStyle w:val="Compact"/>
              <w:spacing w:after="0" w:before="0"/>
            </w:pPr>
            <w:r>
              <w:rPr>
                <w:sz w:val="16"/>
              </w:rPr>
              <w:t xml:space="preserve">0.82 ± 0.01</w:t>
            </w:r>
          </w:p>
        </w:tc>
        <w:tc>
          <w:tcPr/>
          <w:p>
            <w:pPr>
              <w:pStyle w:val="Compact"/>
              <w:spacing w:after="0" w:before="0"/>
            </w:pPr>
            <w:r>
              <w:rPr>
                <w:sz w:val="16"/>
              </w:rPr>
              <w:t xml:space="preserve">0.00 ± 0.00</w:t>
            </w:r>
          </w:p>
        </w:tc>
        <w:tc>
          <w:tcPr/>
          <w:p>
            <w:pPr>
              <w:pStyle w:val="Compact"/>
              <w:spacing w:after="0" w:before="0"/>
            </w:pPr>
            <w:r>
              <w:rPr>
                <w:sz w:val="16"/>
              </w:rPr>
              <w:t xml:space="preserve">0.45 ± 0.02</w:t>
            </w:r>
          </w:p>
        </w:tc>
        <w:tc>
          <w:tcPr/>
          <w:p>
            <w:pPr>
              <w:pStyle w:val="Compact"/>
              <w:spacing w:after="0" w:before="0"/>
            </w:pPr>
            <w:r>
              <w:rPr>
                <w:sz w:val="16"/>
              </w:rPr>
              <w:t xml:space="preserve">0.00 ± 0.00</w:t>
            </w:r>
          </w:p>
        </w:tc>
        <w:tc>
          <w:tcPr/>
          <w:p>
            <w:pPr>
              <w:pStyle w:val="Compact"/>
              <w:spacing w:after="0" w:before="0"/>
            </w:pPr>
            <w:r>
              <w:rPr>
                <w:sz w:val="16"/>
              </w:rPr>
              <w:t xml:space="preserve">0.48 ± 0.02</w:t>
            </w:r>
          </w:p>
        </w:tc>
        <w:tc>
          <w:tcPr/>
          <w:p>
            <w:pPr>
              <w:pStyle w:val="Compact"/>
              <w:spacing w:after="0" w:before="0"/>
            </w:pPr>
            <w:r>
              <w:rPr>
                <w:sz w:val="16"/>
              </w:rPr>
              <w:t xml:space="preserve">S1 (0.48)</w:t>
            </w:r>
          </w:p>
        </w:tc>
      </w:tr>
      <w:tr>
        <w:tc>
          <w:tcPr/>
          <w:p>
            <w:pPr>
              <w:pStyle w:val="Compact"/>
              <w:spacing w:after="0" w:before="0"/>
            </w:pPr>
            <w:r>
              <w:rPr>
                <w:sz w:val="16"/>
              </w:rPr>
              <w:t xml:space="preserve">Kab. Kendal</w:t>
            </w:r>
          </w:p>
        </w:tc>
        <w:tc>
          <w:tcPr/>
          <w:p>
            <w:pPr>
              <w:pStyle w:val="Compact"/>
              <w:spacing w:after="0" w:before="0"/>
            </w:pPr>
            <w:r>
              <w:rPr>
                <w:sz w:val="16"/>
              </w:rPr>
              <w:t xml:space="preserve">WT</w:t>
            </w:r>
          </w:p>
        </w:tc>
        <w:tc>
          <w:tcPr/>
          <w:p>
            <w:pPr>
              <w:pStyle w:val="Compact"/>
              <w:spacing w:after="0" w:before="0"/>
            </w:pPr>
            <w:r>
              <w:rPr>
                <w:sz w:val="16"/>
              </w:rPr>
              <w:t xml:space="preserve">SL / SL / SL / S5</w:t>
            </w:r>
          </w:p>
        </w:tc>
        <w:tc>
          <w:tcPr/>
          <w:p>
            <w:pPr>
              <w:pStyle w:val="Compact"/>
              <w:spacing w:after="0" w:before="0"/>
            </w:pPr>
            <w:r>
              <w:rPr>
                <w:sz w:val="16"/>
              </w:rPr>
              <w:t xml:space="preserve">0.86 ± 0.01</w:t>
            </w:r>
          </w:p>
        </w:tc>
        <w:tc>
          <w:tcPr/>
          <w:p>
            <w:pPr>
              <w:pStyle w:val="Compact"/>
              <w:spacing w:after="0" w:before="0"/>
            </w:pPr>
            <w:r>
              <w:rPr>
                <w:sz w:val="16"/>
              </w:rPr>
              <w:t xml:space="preserve">0.07 ± 0.01</w:t>
            </w:r>
          </w:p>
        </w:tc>
        <w:tc>
          <w:tcPr/>
          <w:p>
            <w:pPr>
              <w:pStyle w:val="Compact"/>
              <w:spacing w:after="0" w:before="0"/>
            </w:pPr>
            <w:r>
              <w:rPr>
                <w:sz w:val="16"/>
              </w:rPr>
              <w:t xml:space="preserve">0.20 ± 0.01</w:t>
            </w:r>
          </w:p>
        </w:tc>
        <w:tc>
          <w:tcPr/>
          <w:p>
            <w:pPr>
              <w:pStyle w:val="Compact"/>
              <w:spacing w:after="0" w:before="0"/>
            </w:pPr>
            <w:r>
              <w:rPr>
                <w:sz w:val="16"/>
              </w:rPr>
              <w:t xml:space="preserve">0.67 ± 0.01</w:t>
            </w:r>
          </w:p>
        </w:tc>
        <w:tc>
          <w:tcPr/>
          <w:p>
            <w:pPr>
              <w:pStyle w:val="Compact"/>
              <w:spacing w:after="0" w:before="0"/>
            </w:pPr>
            <w:r>
              <w:rPr>
                <w:sz w:val="16"/>
              </w:rPr>
              <w:t xml:space="preserve">0.06 ± 0.01</w:t>
            </w:r>
          </w:p>
        </w:tc>
        <w:tc>
          <w:tcPr/>
          <w:p>
            <w:pPr>
              <w:pStyle w:val="Compact"/>
              <w:spacing w:after="0" w:before="0"/>
            </w:pPr>
            <w:r>
              <w:rPr>
                <w:sz w:val="16"/>
              </w:rPr>
              <w:t xml:space="preserve">S5 (0.67)</w:t>
            </w:r>
          </w:p>
        </w:tc>
      </w:tr>
      <w:tr>
        <w:tc>
          <w:tcPr/>
          <w:p>
            <w:pPr>
              <w:pStyle w:val="Compact"/>
              <w:spacing w:after="0" w:before="0"/>
            </w:pPr>
            <w:r>
              <w:rPr>
                <w:sz w:val="16"/>
              </w:rPr>
              <w:t xml:space="preserve">Kab. Wonogiri</w:t>
            </w:r>
          </w:p>
        </w:tc>
        <w:tc>
          <w:tcPr/>
          <w:p>
            <w:pPr>
              <w:pStyle w:val="Compact"/>
              <w:spacing w:after="0" w:before="0"/>
            </w:pPr>
            <w:r>
              <w:rPr>
                <w:sz w:val="16"/>
              </w:rPr>
              <w:t xml:space="preserve">WRT</w:t>
            </w:r>
          </w:p>
        </w:tc>
        <w:tc>
          <w:tcPr/>
          <w:p>
            <w:pPr>
              <w:pStyle w:val="Compact"/>
              <w:spacing w:after="0" w:before="0"/>
            </w:pPr>
            <w:r>
              <w:rPr>
                <w:sz w:val="16"/>
              </w:rPr>
              <w:t xml:space="preserve">SL / SL / SL / S5</w:t>
            </w:r>
          </w:p>
        </w:tc>
        <w:tc>
          <w:tcPr/>
          <w:p>
            <w:pPr>
              <w:pStyle w:val="Compact"/>
              <w:spacing w:after="0" w:before="0"/>
            </w:pPr>
            <w:r>
              <w:rPr>
                <w:sz w:val="16"/>
              </w:rPr>
              <w:t xml:space="preserve">0.80 ± 0.01</w:t>
            </w:r>
          </w:p>
        </w:tc>
        <w:tc>
          <w:tcPr/>
          <w:p>
            <w:pPr>
              <w:pStyle w:val="Compact"/>
              <w:spacing w:after="0" w:before="0"/>
            </w:pPr>
            <w:r>
              <w:rPr>
                <w:sz w:val="16"/>
              </w:rPr>
              <w:t xml:space="preserve">0.11 ± 0.01</w:t>
            </w:r>
          </w:p>
        </w:tc>
        <w:tc>
          <w:tcPr/>
          <w:p>
            <w:pPr>
              <w:pStyle w:val="Compact"/>
              <w:spacing w:after="0" w:before="0"/>
            </w:pPr>
            <w:r>
              <w:rPr>
                <w:sz w:val="16"/>
              </w:rPr>
              <w:t xml:space="preserve">0.15 ± 0.01</w:t>
            </w:r>
          </w:p>
        </w:tc>
        <w:tc>
          <w:tcPr/>
          <w:p>
            <w:pPr>
              <w:pStyle w:val="Compact"/>
              <w:spacing w:after="0" w:before="0"/>
            </w:pPr>
            <w:r>
              <w:rPr>
                <w:sz w:val="16"/>
              </w:rPr>
              <w:t xml:space="preserve">0.70 ± 0.01</w:t>
            </w:r>
          </w:p>
        </w:tc>
        <w:tc>
          <w:tcPr/>
          <w:p>
            <w:pPr>
              <w:pStyle w:val="Compact"/>
              <w:spacing w:after="0" w:before="0"/>
            </w:pPr>
            <w:r>
              <w:rPr>
                <w:sz w:val="16"/>
              </w:rPr>
              <w:t xml:space="preserve">0.10 ± 0.01</w:t>
            </w:r>
          </w:p>
        </w:tc>
        <w:tc>
          <w:tcPr/>
          <w:p>
            <w:pPr>
              <w:pStyle w:val="Compact"/>
              <w:spacing w:after="0" w:before="0"/>
            </w:pPr>
            <w:r>
              <w:rPr>
                <w:sz w:val="16"/>
              </w:rPr>
              <w:t xml:space="preserve">S5 (0.70)</w:t>
            </w:r>
          </w:p>
        </w:tc>
      </w:tr>
      <w:tr>
        <w:tc>
          <w:tcPr/>
          <w:p>
            <w:pPr>
              <w:pStyle w:val="Compact"/>
              <w:spacing w:after="0" w:before="0"/>
            </w:pPr>
            <w:r>
              <w:rPr>
                <w:sz w:val="16"/>
              </w:rPr>
              <w:t xml:space="preserve">Kota Pekalongan</w:t>
            </w:r>
          </w:p>
        </w:tc>
        <w:tc>
          <w:tcPr/>
          <w:p>
            <w:pPr>
              <w:pStyle w:val="Compact"/>
              <w:spacing w:after="0" w:before="0"/>
            </w:pPr>
            <w:r>
              <w:rPr>
                <w:sz w:val="16"/>
              </w:rPr>
              <w:t xml:space="preserve">L</w:t>
            </w:r>
          </w:p>
        </w:tc>
        <w:tc>
          <w:tcPr/>
          <w:p>
            <w:pPr>
              <w:pStyle w:val="Compact"/>
              <w:spacing w:after="0" w:before="0"/>
            </w:pPr>
            <w:r>
              <w:rPr>
                <w:sz w:val="16"/>
              </w:rPr>
              <w:t xml:space="preserve">SL / SL / SL / S5</w:t>
            </w:r>
          </w:p>
        </w:tc>
        <w:tc>
          <w:tcPr/>
          <w:p>
            <w:pPr>
              <w:pStyle w:val="Compact"/>
              <w:spacing w:after="0" w:before="0"/>
            </w:pPr>
            <w:r>
              <w:rPr>
                <w:sz w:val="16"/>
              </w:rPr>
              <w:t xml:space="preserve">0.87 ± 0.01</w:t>
            </w:r>
          </w:p>
        </w:tc>
        <w:tc>
          <w:tcPr/>
          <w:p>
            <w:pPr>
              <w:pStyle w:val="Compact"/>
              <w:spacing w:after="0" w:before="0"/>
            </w:pPr>
            <w:r>
              <w:rPr>
                <w:sz w:val="16"/>
              </w:rPr>
              <w:t xml:space="preserve">0.07 ± 0.01</w:t>
            </w:r>
          </w:p>
        </w:tc>
        <w:tc>
          <w:tcPr/>
          <w:p>
            <w:pPr>
              <w:pStyle w:val="Compact"/>
              <w:spacing w:after="0" w:before="0"/>
            </w:pPr>
            <w:r>
              <w:rPr>
                <w:sz w:val="16"/>
              </w:rPr>
              <w:t xml:space="preserve">0.27 ± 0.01</w:t>
            </w:r>
          </w:p>
        </w:tc>
        <w:tc>
          <w:tcPr/>
          <w:p>
            <w:pPr>
              <w:pStyle w:val="Compact"/>
              <w:spacing w:after="0" w:before="0"/>
            </w:pPr>
            <w:r>
              <w:rPr>
                <w:sz w:val="16"/>
              </w:rPr>
              <w:t xml:space="preserve">0.59 ± 0.02</w:t>
            </w:r>
          </w:p>
        </w:tc>
        <w:tc>
          <w:tcPr/>
          <w:p>
            <w:pPr>
              <w:pStyle w:val="Compact"/>
              <w:spacing w:after="0" w:before="0"/>
            </w:pPr>
            <w:r>
              <w:rPr>
                <w:sz w:val="16"/>
              </w:rPr>
              <w:t xml:space="preserve">0.09 ± 0.01</w:t>
            </w:r>
          </w:p>
        </w:tc>
        <w:tc>
          <w:tcPr/>
          <w:p>
            <w:pPr>
              <w:pStyle w:val="Compact"/>
              <w:spacing w:after="0" w:before="0"/>
            </w:pPr>
            <w:r>
              <w:rPr>
                <w:sz w:val="16"/>
              </w:rPr>
              <w:t xml:space="preserve">S5 (0.59)</w:t>
            </w:r>
          </w:p>
        </w:tc>
      </w:tr>
      <w:tr>
        <w:tc>
          <w:tcPr/>
          <w:p>
            <w:pPr>
              <w:pStyle w:val="Compact"/>
              <w:spacing w:after="0" w:before="0"/>
            </w:pPr>
            <w:r>
              <w:rPr>
                <w:sz w:val="16"/>
              </w:rPr>
              <w:t xml:space="preserve">Kota Magelang</w:t>
            </w:r>
          </w:p>
        </w:tc>
        <w:tc>
          <w:tcPr/>
          <w:p>
            <w:pPr>
              <w:pStyle w:val="Compact"/>
              <w:spacing w:after="0" w:before="0"/>
            </w:pPr>
            <w:r>
              <w:rPr>
                <w:sz w:val="16"/>
              </w:rPr>
              <w:t xml:space="preserve">W</w:t>
            </w:r>
          </w:p>
        </w:tc>
        <w:tc>
          <w:tcPr/>
          <w:p>
            <w:pPr>
              <w:pStyle w:val="Compact"/>
              <w:spacing w:after="0" w:before="0"/>
            </w:pPr>
            <w:r>
              <w:rPr>
                <w:sz w:val="16"/>
              </w:rPr>
              <w:t xml:space="preserve">SL / SL / SL / S5</w:t>
            </w:r>
          </w:p>
        </w:tc>
        <w:tc>
          <w:tcPr/>
          <w:p>
            <w:pPr>
              <w:pStyle w:val="Compact"/>
              <w:spacing w:after="0" w:before="0"/>
            </w:pPr>
            <w:r>
              <w:rPr>
                <w:sz w:val="16"/>
              </w:rPr>
              <w:t xml:space="preserve">0.92 ± 0.01</w:t>
            </w:r>
          </w:p>
        </w:tc>
        <w:tc>
          <w:tcPr/>
          <w:p>
            <w:pPr>
              <w:pStyle w:val="Compact"/>
              <w:spacing w:after="0" w:before="0"/>
            </w:pPr>
            <w:r>
              <w:rPr>
                <w:sz w:val="16"/>
              </w:rPr>
              <w:t xml:space="preserve">0.05 ± 0.01</w:t>
            </w:r>
          </w:p>
        </w:tc>
        <w:tc>
          <w:tcPr/>
          <w:p>
            <w:pPr>
              <w:pStyle w:val="Compact"/>
              <w:spacing w:after="0" w:before="0"/>
            </w:pPr>
            <w:r>
              <w:rPr>
                <w:sz w:val="16"/>
              </w:rPr>
              <w:t xml:space="preserve">0.37 ± 0.01</w:t>
            </w:r>
          </w:p>
        </w:tc>
        <w:tc>
          <w:tcPr/>
          <w:p>
            <w:pPr>
              <w:pStyle w:val="Compact"/>
              <w:spacing w:after="0" w:before="0"/>
            </w:pPr>
            <w:r>
              <w:rPr>
                <w:sz w:val="16"/>
              </w:rPr>
              <w:t xml:space="preserve">0.50 ± 0.02</w:t>
            </w:r>
          </w:p>
        </w:tc>
        <w:tc>
          <w:tcPr/>
          <w:p>
            <w:pPr>
              <w:pStyle w:val="Compact"/>
              <w:spacing w:after="0" w:before="0"/>
            </w:pPr>
            <w:r>
              <w:rPr>
                <w:sz w:val="16"/>
              </w:rPr>
              <w:t xml:space="preserve">0.00 ± 0.00</w:t>
            </w:r>
          </w:p>
        </w:tc>
        <w:tc>
          <w:tcPr/>
          <w:p>
            <w:pPr>
              <w:pStyle w:val="Compact"/>
              <w:spacing w:after="0" w:before="0"/>
            </w:pPr>
            <w:r>
              <w:rPr>
                <w:sz w:val="16"/>
              </w:rPr>
              <w:t xml:space="preserve">S5 (0.50)</w:t>
            </w:r>
          </w:p>
        </w:tc>
      </w:tr>
    </w:tbl>
    <w:p>
      <w:pPr>
        <w:pStyle w:val="Caption"/>
      </w:pPr>
      <w:r>
        <w:t xml:space="preserve">Table 7: Decision results per location, market case. Central best: lowest carbon-inclusive cost at central values for carbon values of 0, 25, 50 and 100 USD/t CO</w:t>
      </w:r>
      <w:r>
        <w:rPr>
          <w:vertAlign w:val="subscript"/>
        </w:rPr>
        <w:t xml:space="preserve">2</w:t>
      </w:r>
      <w:r>
        <w:t xml:space="preserve">e. P(k) at p: probability that option k has the lowest carbon-inclusive cost at the fixed carbon value p, ± the 95% Monte Carlo interval (4,000 draws). At 0, 2 and 25 USD/t the landfill is most probable everywhere (</w:t>
      </w:r>
      <w:r>
        <w:rPr>
          <w:i/>
          <w:iCs/>
        </w:rPr>
        <w:t xml:space="preserve">outputs/15_p_best_fixed_carbon_value.csv</w:t>
      </w:r>
      <w:r>
        <w:t xml:space="preserve">). Flags: L lumped organics, W kayu as garden, R rounded percentages, G glass in lain-lain, N glass not reported, T tonnage year unverified.</w:t>
      </w:r>
    </w:p>
    <w:p>
      <w:pPr>
        <w:pStyle w:val="CaptionedFigure"/>
      </w:pPr>
      <w:r>
        <w:drawing>
          <wp:inline>
            <wp:extent cx="5939999" cy="4751999"/>
            <wp:effectExtent b="0" l="0" r="0" t="0"/>
            <wp:docPr descr="Figure 7: Probability of being the best feasible option at fixed carbon values (top) and in three scenarios at 50 USD/t (bottom)." title="" id="39" name="Picture"/>
            <a:graphic>
              <a:graphicData uri="http://schemas.openxmlformats.org/drawingml/2006/picture">
                <pic:pic>
                  <pic:nvPicPr>
                    <pic:cNvPr descr="/home/user/claude/MSW_pathway_model_v3/outputs/fig_probability_best.png" id="40" name="Picture"/>
                    <pic:cNvPicPr>
                      <a:picLocks noChangeArrowheads="1" noChangeAspect="1"/>
                    </pic:cNvPicPr>
                  </pic:nvPicPr>
                  <pic:blipFill>
                    <a:blip r:embed="rId38"/>
                    <a:stretch>
                      <a:fillRect/>
                    </a:stretch>
                  </pic:blipFill>
                  <pic:spPr bwMode="auto">
                    <a:xfrm>
                      <a:off x="0" y="0"/>
                      <a:ext cx="5939999" cy="4751999"/>
                    </a:xfrm>
                    <a:prstGeom prst="rect">
                      <a:avLst/>
                    </a:prstGeom>
                    <a:noFill/>
                    <a:ln w="9525">
                      <a:noFill/>
                      <a:headEnd/>
                      <a:tailEnd/>
                    </a:ln>
                  </pic:spPr>
                </pic:pic>
              </a:graphicData>
            </a:graphic>
          </wp:inline>
        </w:drawing>
      </w:r>
    </w:p>
    <w:p>
      <w:pPr>
        <w:pStyle w:val="ImageCaption"/>
      </w:pPr>
      <w:r>
        <w:t xml:space="preserve">Figure 7: Probability of being the best feasible option at fixed carbon values (top) and in three scenarios at 50 USD/t (bottom).</w:t>
      </w:r>
    </w:p>
    <w:p>
      <w:pPr>
        <w:pStyle w:val="CaptionedFigure"/>
      </w:pPr>
      <w:r>
        <w:drawing>
          <wp:inline>
            <wp:extent cx="5759999" cy="3455999"/>
            <wp:effectExtent b="0" l="0" r="0" t="0"/>
            <wp:docPr descr="Figure 8: Most probable option per location in each scenario at 100 USD/t CO2e (colour) and its probability (number)." title="" id="42" name="Picture"/>
            <a:graphic>
              <a:graphicData uri="http://schemas.openxmlformats.org/drawingml/2006/picture">
                <pic:pic>
                  <pic:nvPicPr>
                    <pic:cNvPr descr="/home/user/claude/MSW_pathway_model_v3/docs/figures/fig_robust_100.png" id="43" name="Picture"/>
                    <pic:cNvPicPr>
                      <a:picLocks noChangeArrowheads="1" noChangeAspect="1"/>
                    </pic:cNvPicPr>
                  </pic:nvPicPr>
                  <pic:blipFill>
                    <a:blip r:embed="rId41"/>
                    <a:stretch>
                      <a:fillRect/>
                    </a:stretch>
                  </pic:blipFill>
                  <pic:spPr bwMode="auto">
                    <a:xfrm>
                      <a:off x="0" y="0"/>
                      <a:ext cx="5759999" cy="3455999"/>
                    </a:xfrm>
                    <a:prstGeom prst="rect">
                      <a:avLst/>
                    </a:prstGeom>
                    <a:noFill/>
                    <a:ln w="9525">
                      <a:noFill/>
                      <a:headEnd/>
                      <a:tailEnd/>
                    </a:ln>
                  </pic:spPr>
                </pic:pic>
              </a:graphicData>
            </a:graphic>
          </wp:inline>
        </w:drawing>
      </w:r>
    </w:p>
    <w:p>
      <w:pPr>
        <w:pStyle w:val="ImageCaption"/>
      </w:pPr>
      <w:r>
        <w:t xml:space="preserve">Figure 8: Most probable option per location in each scenario at 100 USD/t CO</w:t>
      </w:r>
      <w:r>
        <w:rPr>
          <w:vertAlign w:val="subscript"/>
        </w:rPr>
        <w:t xml:space="preserve">2</w:t>
      </w:r>
      <w:r>
        <w:t xml:space="preserve">e (colour) and its probability (number).</w:t>
      </w:r>
    </w:p>
    <w:p>
      <w:pPr>
        <w:pStyle w:val="BodyText"/>
        <w:jc w:val="both"/>
      </w:pPr>
      <w:r>
        <w:rPr>
          <w:b/>
          <w:bCs/>
        </w:rPr>
        <w:t xml:space="preserve">What the numbers say.</w:t>
      </w:r>
    </w:p>
    <w:p>
      <w:pPr>
        <w:pStyle w:val="Compact"/>
        <w:numPr>
          <w:ilvl w:val="0"/>
          <w:numId w:val="1002"/>
        </w:numPr>
      </w:pPr>
      <w:r>
        <w:rPr>
          <w:b/>
          <w:bCs/>
        </w:rPr>
        <w:t xml:space="preserve">Landfill first.</w:t>
      </w:r>
      <w:r>
        <w:t xml:space="preserve"> </w:t>
      </w:r>
      <w:r>
        <w:t xml:space="preserve">Sanitary landfill with flare has the lowest carbon-inclusive cost at central values in all 21 locations at 0, 25 and 50 USD/t, and is the most probable option everywhere up to 50 USD/t (median P = 0.80 at 50 USD/t). At the current carbon tax (about 2 USD/t) no recovery option is preferred.</w:t>
      </w:r>
    </w:p>
    <w:p>
      <w:pPr>
        <w:pStyle w:val="Compact"/>
        <w:numPr>
          <w:ilvl w:val="0"/>
          <w:numId w:val="1002"/>
        </w:numPr>
      </w:pPr>
      <w:r>
        <w:rPr>
          <w:b/>
          <w:bCs/>
        </w:rPr>
        <w:t xml:space="preserve">RDF + AD at a high carbon value.</w:t>
      </w:r>
      <w:r>
        <w:t xml:space="preserve"> </w:t>
      </w:r>
      <w:r>
        <w:t xml:space="preserve">At 100 USD/t RDF + AD is best at central values in 20 locations and most probable in 18 (median P = 0.60, range 0.00 to 0.83). Its abatement cost against the landfill is 73 (53 to 99) USD/t CO</w:t>
      </w:r>
      <w:r>
        <w:rPr>
          <w:vertAlign w:val="subscript"/>
        </w:rPr>
        <w:t xml:space="preserve">2</w:t>
      </w:r>
      <w:r>
        <w:t xml:space="preserve">e, so it becomes preferable only above that carbon value.</w:t>
      </w:r>
    </w:p>
    <w:p>
      <w:pPr>
        <w:pStyle w:val="Compact"/>
        <w:numPr>
          <w:ilvl w:val="0"/>
          <w:numId w:val="1002"/>
        </w:numPr>
      </w:pPr>
      <w:r>
        <w:rPr>
          <w:b/>
          <w:bCs/>
        </w:rPr>
        <w:t xml:space="preserve">WtE</w:t>
      </w:r>
      <w:r>
        <w:t xml:space="preserve"> </w:t>
      </w:r>
      <w:r>
        <w:t xml:space="preserve">needs a heating value of at least 7 MJ/kg, 1,000 t/day and the Perpres 109/2025 tariff together; with the tariff it is most probable at 50 USD/t in 3 locations. Without the tariff it wins only where the grid is coal-heavy and the waste dry (Kab. Kutai Kartanegara at 100 USD/t).</w:t>
      </w:r>
    </w:p>
    <w:p>
      <w:pPr>
        <w:pStyle w:val="Compact"/>
        <w:numPr>
          <w:ilvl w:val="0"/>
          <w:numId w:val="1002"/>
        </w:numPr>
      </w:pPr>
      <w:r>
        <w:rPr>
          <w:b/>
          <w:bCs/>
        </w:rPr>
        <w:t xml:space="preserve">AD alone</w:t>
      </w:r>
      <w:r>
        <w:t xml:space="preserve"> </w:t>
      </w:r>
      <w:r>
        <w:t xml:space="preserve">becomes most probable in 20 locations at 50 USD/t if food arrives separated at source. For mixed waste it never does, even when the mixed-waste penalty is removed (</w:t>
      </w:r>
      <w:r>
        <w:rPr>
          <w:i/>
          <w:iCs/>
        </w:rPr>
        <w:t xml:space="preserve">AD_feed_optimistic</w:t>
      </w:r>
      <w:r>
        <w:t xml:space="preserve">: landfill most probable in 21 locations at 50 USD/t). Source separation, not digester technology, is the condition for AD.</w:t>
      </w:r>
    </w:p>
    <w:p>
      <w:pPr>
        <w:pStyle w:val="Compact"/>
        <w:numPr>
          <w:ilvl w:val="0"/>
          <w:numId w:val="1002"/>
        </w:numPr>
      </w:pPr>
      <w:r>
        <w:rPr>
          <w:b/>
          <w:bCs/>
        </w:rPr>
        <w:t xml:space="preserve">PHB</w:t>
      </w:r>
      <w:r>
        <w:t xml:space="preserve"> </w:t>
      </w:r>
      <w:r>
        <w:t xml:space="preserve">is not preferred at the cost assumed for a first plant. Only the aspirational large-scale cost (1.3 USD/kg) would make it most probable in 20 locations; that is a research target, not a planning value.</w:t>
      </w:r>
    </w:p>
    <w:p>
      <w:pPr>
        <w:pStyle w:val="Compact"/>
        <w:numPr>
          <w:ilvl w:val="0"/>
          <w:numId w:val="1002"/>
        </w:numPr>
      </w:pPr>
      <w:r>
        <w:rPr>
          <w:b/>
          <w:bCs/>
        </w:rPr>
        <w:t xml:space="preserve">Managed tonnage.</w:t>
      </w:r>
      <w:r>
        <w:t xml:space="preserve"> </w:t>
      </w:r>
      <w:r>
        <w:t xml:space="preserve">On the status-index series (M1) the landfill is most probable at 50 USD/t in 19 of 19 locations, on the local-first series (M2) in 21 of 21.</w:t>
      </w:r>
    </w:p>
    <w:p>
      <w:pPr>
        <w:pStyle w:val="Compact"/>
        <w:numPr>
          <w:ilvl w:val="0"/>
          <w:numId w:val="1002"/>
        </w:numPr>
      </w:pPr>
      <w:r>
        <w:rPr>
          <w:b/>
          <w:bCs/>
        </w:rPr>
        <w:t xml:space="preserve">Climate metric.</w:t>
      </w:r>
      <w:r>
        <w:t xml:space="preserve"> </w:t>
      </w:r>
      <w:r>
        <w:t xml:space="preserve">With GWP20 the landfill loses its lead at 50 USD/t everywhere (RDF + AD 15, WtE 6): the choice of time horizon is as consequential as the carbon value.</w:t>
      </w:r>
    </w:p>
    <w:p>
      <w:pPr>
        <w:pStyle w:val="CaptionedFigure"/>
      </w:pPr>
      <w:r>
        <w:drawing>
          <wp:inline>
            <wp:extent cx="5759999" cy="2215384"/>
            <wp:effectExtent b="0" l="0" r="0" t="0"/>
            <wp:docPr descr="Figure 9: GHG avoided against extra cost, Monte Carlo medians, one dot per location and option." title="" id="45" name="Picture"/>
            <a:graphic>
              <a:graphicData uri="http://schemas.openxmlformats.org/drawingml/2006/picture">
                <pic:pic>
                  <pic:nvPicPr>
                    <pic:cNvPr descr="/home/user/claude/MSW_pathway_model_v3/outputs/fig_tradeoff.png" id="46" name="Picture"/>
                    <pic:cNvPicPr>
                      <a:picLocks noChangeArrowheads="1" noChangeAspect="1"/>
                    </pic:cNvPicPr>
                  </pic:nvPicPr>
                  <pic:blipFill>
                    <a:blip r:embed="rId44"/>
                    <a:stretch>
                      <a:fillRect/>
                    </a:stretch>
                  </pic:blipFill>
                  <pic:spPr bwMode="auto">
                    <a:xfrm>
                      <a:off x="0" y="0"/>
                      <a:ext cx="5759999" cy="2215384"/>
                    </a:xfrm>
                    <a:prstGeom prst="rect">
                      <a:avLst/>
                    </a:prstGeom>
                    <a:noFill/>
                    <a:ln w="9525">
                      <a:noFill/>
                      <a:headEnd/>
                      <a:tailEnd/>
                    </a:ln>
                  </pic:spPr>
                </pic:pic>
              </a:graphicData>
            </a:graphic>
          </wp:inline>
        </w:drawing>
      </w:r>
    </w:p>
    <w:p>
      <w:pPr>
        <w:pStyle w:val="ImageCaption"/>
      </w:pPr>
      <w:r>
        <w:t xml:space="preserve">Figure 9: GHG avoided against extra cost, Monte Carlo medians, one dot per location and option.</w:t>
      </w:r>
    </w:p>
    <w:p>
      <w:pPr>
        <w:pStyle w:val="CaptionedFigure"/>
      </w:pPr>
      <w:r>
        <w:drawing>
          <wp:inline>
            <wp:extent cx="5759999" cy="2436923"/>
            <wp:effectExtent b="0" l="0" r="0" t="0"/>
            <wp:docPr descr="Figure 10: Inputs that drive the results: mean absolute Spearman rank correlation over the locations." title="" id="48" name="Picture"/>
            <a:graphic>
              <a:graphicData uri="http://schemas.openxmlformats.org/drawingml/2006/picture">
                <pic:pic>
                  <pic:nvPicPr>
                    <pic:cNvPr descr="/home/user/claude/MSW_pathway_model_v3/outputs/fig_sensitivity.png" id="49" name="Picture"/>
                    <pic:cNvPicPr>
                      <a:picLocks noChangeArrowheads="1" noChangeAspect="1"/>
                    </pic:cNvPicPr>
                  </pic:nvPicPr>
                  <pic:blipFill>
                    <a:blip r:embed="rId47"/>
                    <a:stretch>
                      <a:fillRect/>
                    </a:stretch>
                  </pic:blipFill>
                  <pic:spPr bwMode="auto">
                    <a:xfrm>
                      <a:off x="0" y="0"/>
                      <a:ext cx="5759999" cy="2436923"/>
                    </a:xfrm>
                    <a:prstGeom prst="rect">
                      <a:avLst/>
                    </a:prstGeom>
                    <a:noFill/>
                    <a:ln w="9525">
                      <a:noFill/>
                      <a:headEnd/>
                      <a:tailEnd/>
                    </a:ln>
                  </pic:spPr>
                </pic:pic>
              </a:graphicData>
            </a:graphic>
          </wp:inline>
        </w:drawing>
      </w:r>
    </w:p>
    <w:p>
      <w:pPr>
        <w:pStyle w:val="ImageCaption"/>
      </w:pPr>
      <w:r>
        <w:t xml:space="preserve">Figure 10: Inputs that drive the results: mean absolute Spearman rank correlation over the locations.</w:t>
      </w:r>
    </w:p>
    <w:p>
      <w:pPr>
        <w:pStyle w:val="BodyText"/>
        <w:jc w:val="both"/>
      </w:pPr>
      <w:r>
        <w:t xml:space="preserve">For climate the landfill-gas collection efficiency dominates every option that landfills residues, followed by the plastic share (fossil CO</w:t>
      </w:r>
      <w:r>
        <w:rPr>
          <w:vertAlign w:val="subscript"/>
        </w:rPr>
        <w:t xml:space="preserve">2</w:t>
      </w:r>
      <w:r>
        <w:t xml:space="preserve"> </w:t>
      </w:r>
      <w:r>
        <w:t xml:space="preserve">from WtE), the garden share and moisture. For cost: landfill cost, WtE and AD CAPEX, RDF O&amp;M, the AD front-end share and PHB cost and price. These are the values to verify first.</w:t>
      </w:r>
    </w:p>
    <w:p>
      <w:r>
        <w:br w:type="page"/>
      </w:r>
    </w:p>
    <w:bookmarkEnd w:id="50"/>
    <w:bookmarkStart w:id="54" w:name="X7c9c65d1adcc35862db01b05b306755875b269f"/>
    <w:p>
      <w:pPr>
        <w:pStyle w:val="Heading1"/>
      </w:pPr>
      <w:r>
        <w:t xml:space="preserve">9 Break-even targets and the value of information</w:t>
      </w:r>
    </w:p>
    <w:p>
      <w:pPr>
        <w:pStyle w:val="FirstParagraph"/>
        <w:jc w:val="both"/>
      </w:pPr>
      <w:r>
        <w:t xml:space="preserve">Facilities do not yet exist, so their performance is uncertain. Two analyses turn that uncertainty into guidance for stakeholders.</w:t>
      </w:r>
      <w:r>
        <w:t xml:space="preserve"> </w:t>
      </w:r>
      <w:r>
        <w:rPr>
          <w:b/>
          <w:bCs/>
        </w:rPr>
        <w:t xml:space="preserve">Break-even targets</w:t>
      </w:r>
      <w:r>
        <w:t xml:space="preserve">: with all other inputs central, one input is swept and the value at which an option’s carbon-inclusive cost equals the landfill’s is found (</w:t>
      </w:r>
      <w:r>
        <w:rPr>
          <w:i/>
          <w:iCs/>
        </w:rPr>
        <w:t xml:space="preserve">mswpath.thresholds</w:t>
      </w:r>
      <w:r>
        <w:t xml:space="preserve">). These are targets a tender, a pilot or an offtake contract must reach.</w:t>
      </w:r>
      <w:r>
        <w:t xml:space="preserve"> </w:t>
      </w:r>
      <w:r>
        <w:rPr>
          <w:b/>
          <w:bCs/>
        </w:rPr>
        <w:t xml:space="preserve">Value of information</w:t>
      </w:r>
      <w:r>
        <w:t xml:space="preserve">: for a fixed carbon value the net benefit of option k in draw i is NB</w:t>
      </w:r>
      <w:r>
        <w:rPr>
          <w:vertAlign w:val="subscript"/>
        </w:rPr>
        <w:t xml:space="preserve">ik</w:t>
      </w:r>
      <w:r>
        <w:t xml:space="preserve"> </w:t>
      </w:r>
      <w:r>
        <w:t xml:space="preserve">= −CIC</w:t>
      </w:r>
      <w:r>
        <w:rPr>
          <w:vertAlign w:val="subscript"/>
        </w:rPr>
        <w:t xml:space="preserve">ik</w:t>
      </w:r>
      <w:r>
        <w:t xml:space="preserve">. The expected value of perfect information,</w:t>
      </w:r>
    </w:p>
    <w:p>
      <w:pPr>
        <w:pStyle w:val="BodyText"/>
      </w:pPr>
      <m:oMathPara>
        <m:oMathParaPr>
          <m:jc m:val="center"/>
        </m:oMathParaPr>
        <m:oMath>
          <m:r>
            <m:t>E</m:t>
          </m:r>
          <m:r>
            <m:t>V</m:t>
          </m:r>
          <m:r>
            <m:t>P</m:t>
          </m:r>
          <m:r>
            <m:t>I</m:t>
          </m:r>
          <m:r>
            <m:rPr>
              <m:sty m:val="p"/>
            </m:rPr>
            <m:t>=</m:t>
          </m:r>
          <m:sSub>
            <m:e>
              <m:r>
                <m:rPr>
                  <m:sty m:val="p"/>
                </m:rPr>
                <m:t>E</m:t>
              </m:r>
            </m:e>
            <m:sub>
              <m:r>
                <m:t>i</m:t>
              </m:r>
            </m:sub>
          </m:sSub>
          <m:d>
            <m:dPr>
              <m:begChr m:val="["/>
              <m:sepChr m:val=""/>
              <m:endChr m:val="]"/>
              <m:grow/>
            </m:dPr>
            <m:e>
              <m:limLow>
                <m:e>
                  <m:r>
                    <m:rPr>
                      <m:sty m:val="p"/>
                    </m:rPr>
                    <m:t>max</m:t>
                  </m:r>
                </m:e>
                <m:lim>
                  <m:r>
                    <m:t>k</m:t>
                  </m:r>
                </m:lim>
              </m:limLow>
              <m:r>
                <m:t>N</m:t>
              </m:r>
              <m:sSub>
                <m:e>
                  <m:r>
                    <m:t>B</m:t>
                  </m:r>
                </m:e>
                <m:sub>
                  <m:r>
                    <m:t>i</m:t>
                  </m:r>
                  <m:r>
                    <m:t>k</m:t>
                  </m:r>
                </m:sub>
              </m:sSub>
            </m:e>
          </m:d>
          <m:r>
            <m:rPr>
              <m:sty m:val="p"/>
            </m:rPr>
            <m:t>−</m:t>
          </m:r>
          <m:limLow>
            <m:e>
              <m:r>
                <m:rPr>
                  <m:sty m:val="p"/>
                </m:rPr>
                <m:t>max</m:t>
              </m:r>
            </m:e>
            <m:lim>
              <m:r>
                <m:t>k</m:t>
              </m:r>
            </m:lim>
          </m:limLow>
          <m:sSub>
            <m:e>
              <m:r>
                <m:rPr>
                  <m:sty m:val="p"/>
                </m:rPr>
                <m:t>E</m:t>
              </m:r>
            </m:e>
            <m:sub>
              <m:r>
                <m:t>i</m:t>
              </m:r>
            </m:sub>
          </m:sSub>
          <m:d>
            <m:dPr>
              <m:begChr m:val="["/>
              <m:sepChr m:val=""/>
              <m:endChr m:val="]"/>
              <m:grow/>
            </m:dPr>
            <m:e>
              <m:r>
                <m:t>N</m:t>
              </m:r>
              <m:sSub>
                <m:e>
                  <m:r>
                    <m:t>B</m:t>
                  </m:r>
                </m:e>
                <m:sub>
                  <m:r>
                    <m:t>i</m:t>
                  </m:r>
                  <m:r>
                    <m:t>k</m:t>
                  </m:r>
                </m:sub>
              </m:sSub>
            </m:e>
          </m:d>
          <m:r>
            <m:rPr>
              <m:sty m:val="p"/>
            </m:rPr>
            <m:t>,</m:t>
          </m:r>
          <m:r>
            <m:t>  </m:t>
          </m:r>
          <m:r>
            <m:t>E</m:t>
          </m:r>
          <m:r>
            <m:t>V</m:t>
          </m:r>
          <m:r>
            <m:t>P</m:t>
          </m:r>
          <m:r>
            <m:t>P</m:t>
          </m:r>
          <m:r>
            <m:t>I</m:t>
          </m:r>
          <m:r>
            <m:rPr>
              <m:sty m:val="p"/>
            </m:rPr>
            <m:t>(</m:t>
          </m:r>
          <m:r>
            <m:t>X</m:t>
          </m:r>
          <m:r>
            <m:rPr>
              <m:sty m:val="p"/>
            </m:rPr>
            <m:t>)</m:t>
          </m:r>
          <m:r>
            <m:rPr>
              <m:sty m:val="p"/>
            </m:rPr>
            <m:t>=</m:t>
          </m:r>
          <m:sSub>
            <m:e>
              <m:r>
                <m:rPr>
                  <m:sty m:val="p"/>
                </m:rPr>
                <m:t>E</m:t>
              </m:r>
            </m:e>
            <m:sub>
              <m:r>
                <m:t>X</m:t>
              </m:r>
            </m:sub>
          </m:sSub>
          <m:d>
            <m:dPr>
              <m:begChr m:val="["/>
              <m:sepChr m:val=""/>
              <m:endChr m:val="]"/>
              <m:grow/>
            </m:dPr>
            <m:e>
              <m:limLow>
                <m:e>
                  <m:r>
                    <m:rPr>
                      <m:sty m:val="p"/>
                    </m:rPr>
                    <m:t>max</m:t>
                  </m:r>
                </m:e>
                <m:lim>
                  <m:r>
                    <m:t>k</m:t>
                  </m:r>
                </m:lim>
              </m:limLow>
              <m:r>
                <m:rPr>
                  <m:sty m:val="p"/>
                </m:rPr>
                <m:t>E</m:t>
              </m:r>
              <m:r>
                <m:rPr>
                  <m:sty m:val="p"/>
                </m:rPr>
                <m:t>(</m:t>
              </m:r>
              <m:r>
                <m:t>N</m:t>
              </m:r>
              <m:sSub>
                <m:e>
                  <m:r>
                    <m:t>B</m:t>
                  </m:r>
                </m:e>
                <m:sub>
                  <m:r>
                    <m:t>k</m:t>
                  </m:r>
                </m:sub>
              </m:sSub>
              <m:r>
                <m:t> </m:t>
              </m:r>
              <m:r>
                <m:rPr>
                  <m:sty m:val="p"/>
                </m:rPr>
                <m:t>|</m:t>
              </m:r>
              <m:r>
                <m:t> </m:t>
              </m:r>
              <m:r>
                <m:t>X</m:t>
              </m:r>
              <m:r>
                <m:rPr>
                  <m:sty m:val="p"/>
                </m:rPr>
                <m:t>)</m:t>
              </m:r>
            </m:e>
          </m:d>
          <m:r>
            <m:rPr>
              <m:sty m:val="p"/>
            </m:rPr>
            <m:t>−</m:t>
          </m:r>
          <m:limLow>
            <m:e>
              <m:r>
                <m:rPr>
                  <m:sty m:val="p"/>
                </m:rPr>
                <m:t>max</m:t>
              </m:r>
            </m:e>
            <m:lim>
              <m:r>
                <m:t>k</m:t>
              </m:r>
            </m:lim>
          </m:limLow>
          <m:r>
            <m:rPr>
              <m:sty m:val="p"/>
            </m:rPr>
            <m:t>E</m:t>
          </m:r>
          <m:d>
            <m:dPr>
              <m:begChr m:val="["/>
              <m:sepChr m:val=""/>
              <m:endChr m:val="]"/>
              <m:grow/>
            </m:dPr>
            <m:e>
              <m:r>
                <m:t>N</m:t>
              </m:r>
              <m:sSub>
                <m:e>
                  <m:r>
                    <m:t>B</m:t>
                  </m:r>
                </m:e>
                <m:sub>
                  <m:r>
                    <m:t>k</m:t>
                  </m:r>
                </m:sub>
              </m:sSub>
            </m:e>
          </m:d>
          <m:r>
            <m:t>  </m:t>
          </m:r>
          <m:r>
            <m:rPr>
              <m:sty m:val="p"/>
            </m:rPr>
            <m:t>(</m:t>
          </m:r>
          <m:r>
            <m:t>12</m:t>
          </m:r>
          <m:r>
            <m:rPr>
              <m:sty m:val="p"/>
            </m:rPr>
            <m:t>)</m:t>
          </m:r>
        </m:oMath>
      </m:oMathPara>
    </w:p>
    <w:p>
      <w:pPr>
        <w:pStyle w:val="FirstParagraph"/>
        <w:jc w:val="both"/>
      </w:pPr>
      <w:r>
        <w:t xml:space="preserve">is the most a city should pay, per tonne, to remove all uncertainty before choosing; EVPPI is the same for one group of inputs X that one measurement campaign would resolve. E(NB</w:t>
      </w:r>
      <w:r>
        <w:rPr>
          <w:vertAlign w:val="subscript"/>
        </w:rPr>
        <w:t xml:space="preserve">k</w:t>
      </w:r>
      <w:r>
        <w:t xml:space="preserve"> </w:t>
      </w:r>
      <w:r>
        <w:t xml:space="preserve">| X) is estimated by regression on X (Strong et al. 2014; quadratic, additive in the inputs of a group), and the EVPPI of random noise is subtracted as a bias floor. Multiplied by the 2025 tonnage, the values are in USD per year.</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2282"/>
        <w:gridCol w:w="671"/>
        <w:gridCol w:w="671"/>
        <w:gridCol w:w="2013"/>
        <w:gridCol w:w="805"/>
        <w:gridCol w:w="671"/>
        <w:gridCol w:w="805"/>
      </w:tblGrid>
      <w:tr>
        <w:trPr>
          <w:tblHeader w:val="on"/>
        </w:trPr>
        <w:tc>
          <w:tcPr>
            <w:shd w:val="clear" w:color="auto" w:fill="DCE6F0"/>
          </w:tcPr>
          <w:p>
            <w:pPr>
              <w:pStyle w:val="Compact"/>
              <w:spacing w:after="0" w:before="0"/>
            </w:pPr>
            <w:r>
              <w:rPr>
                <w:b/>
                <w:sz w:val="16"/>
              </w:rPr>
              <w:t xml:space="preserve">Input (S5 RDF + AD vs SL, 100 USD/t)</w:t>
            </w:r>
          </w:p>
        </w:tc>
        <w:tc>
          <w:tcPr>
            <w:shd w:val="clear" w:color="auto" w:fill="DCE6F0"/>
          </w:tcPr>
          <w:p>
            <w:pPr>
              <w:pStyle w:val="Compact"/>
              <w:spacing w:after="0" w:before="0"/>
            </w:pPr>
            <w:r>
              <w:rPr>
                <w:b/>
                <w:sz w:val="16"/>
              </w:rPr>
              <w:t xml:space="preserve">Central</w:t>
            </w:r>
          </w:p>
        </w:tc>
        <w:tc>
          <w:tcPr>
            <w:shd w:val="clear" w:color="auto" w:fill="DCE6F0"/>
          </w:tcPr>
          <w:p>
            <w:pPr>
              <w:pStyle w:val="Compact"/>
              <w:spacing w:after="0" w:before="0"/>
            </w:pPr>
            <w:r>
              <w:rPr>
                <w:b/>
                <w:sz w:val="16"/>
              </w:rPr>
              <w:t xml:space="preserve">Better if</w:t>
            </w:r>
          </w:p>
        </w:tc>
        <w:tc>
          <w:tcPr>
            <w:shd w:val="clear" w:color="auto" w:fill="DCE6F0"/>
          </w:tcPr>
          <w:p>
            <w:pPr>
              <w:pStyle w:val="Compact"/>
              <w:spacing w:after="0" w:before="0"/>
            </w:pPr>
            <w:r>
              <w:rPr>
                <w:b/>
                <w:sz w:val="16"/>
              </w:rPr>
              <w:t xml:space="preserve">Break-even: median (range)</w:t>
            </w:r>
          </w:p>
        </w:tc>
        <w:tc>
          <w:tcPr>
            <w:shd w:val="clear" w:color="auto" w:fill="DCE6F0"/>
          </w:tcPr>
          <w:p>
            <w:pPr>
              <w:pStyle w:val="Compact"/>
              <w:spacing w:after="0" w:before="0"/>
            </w:pPr>
            <w:r>
              <w:rPr>
                <w:b/>
                <w:sz w:val="16"/>
              </w:rPr>
              <w:t xml:space="preserve">n crossing</w:t>
            </w:r>
          </w:p>
        </w:tc>
        <w:tc>
          <w:tcPr>
            <w:shd w:val="clear" w:color="auto" w:fill="DCE6F0"/>
          </w:tcPr>
          <w:p>
            <w:pPr>
              <w:pStyle w:val="Compact"/>
              <w:spacing w:after="0" w:before="0"/>
            </w:pPr>
            <w:r>
              <w:rPr>
                <w:b/>
                <w:sz w:val="16"/>
              </w:rPr>
              <w:t xml:space="preserve">never</w:t>
            </w:r>
          </w:p>
        </w:tc>
        <w:tc>
          <w:tcPr>
            <w:shd w:val="clear" w:color="auto" w:fill="DCE6F0"/>
          </w:tcPr>
          <w:p>
            <w:pPr>
              <w:pStyle w:val="Compact"/>
              <w:spacing w:after="0" w:before="0"/>
            </w:pPr>
            <w:r>
              <w:rPr>
                <w:b/>
                <w:sz w:val="16"/>
              </w:rPr>
              <w:t xml:space="preserve">already</w:t>
            </w:r>
          </w:p>
        </w:tc>
      </w:tr>
      <w:tr>
        <w:tc>
          <w:tcPr/>
          <w:p>
            <w:pPr>
              <w:pStyle w:val="Compact"/>
              <w:spacing w:after="0" w:before="0"/>
            </w:pPr>
            <w:r>
              <w:rPr>
                <w:sz w:val="16"/>
              </w:rPr>
              <w:t xml:space="preserve">y_pen_mech</w:t>
            </w:r>
          </w:p>
        </w:tc>
        <w:tc>
          <w:tcPr/>
          <w:p>
            <w:pPr>
              <w:pStyle w:val="Compact"/>
              <w:spacing w:after="0" w:before="0"/>
            </w:pPr>
            <w:r>
              <w:rPr>
                <w:sz w:val="16"/>
              </w:rPr>
              <w:t xml:space="preserve">0.6</w:t>
            </w:r>
          </w:p>
        </w:tc>
        <w:tc>
          <w:tcPr/>
          <w:p>
            <w:pPr>
              <w:pStyle w:val="Compact"/>
              <w:spacing w:after="0" w:before="0"/>
            </w:pPr>
            <w:r>
              <w:rPr>
                <w:sz w:val="16"/>
              </w:rPr>
              <w:t xml:space="preserve">higher</w:t>
            </w:r>
          </w:p>
        </w:tc>
        <w:tc>
          <w:tcPr/>
          <w:p>
            <w:pPr>
              <w:pStyle w:val="Compact"/>
              <w:spacing w:after="0" w:before="0"/>
            </w:pPr>
            <w:r>
              <w:rPr>
                <w:sz w:val="16"/>
              </w:rPr>
              <w:t xml:space="preserve">0.436 (0.346 to 0.526)</w:t>
            </w:r>
          </w:p>
        </w:tc>
        <w:tc>
          <w:tcPr/>
          <w:p>
            <w:pPr>
              <w:pStyle w:val="Compact"/>
              <w:spacing w:after="0" w:before="0"/>
            </w:pPr>
            <w:r>
              <w:rPr>
                <w:sz w:val="16"/>
              </w:rPr>
              <w:t xml:space="preserve">2</w:t>
            </w:r>
          </w:p>
        </w:tc>
        <w:tc>
          <w:tcPr/>
          <w:p>
            <w:pPr>
              <w:pStyle w:val="Compact"/>
              <w:spacing w:after="0" w:before="0"/>
            </w:pPr>
            <w:r>
              <w:rPr>
                <w:sz w:val="16"/>
              </w:rPr>
              <w:t xml:space="preserve">0</w:t>
            </w:r>
          </w:p>
        </w:tc>
        <w:tc>
          <w:tcPr/>
          <w:p>
            <w:pPr>
              <w:pStyle w:val="Compact"/>
              <w:spacing w:after="0" w:before="0"/>
            </w:pPr>
            <w:r>
              <w:rPr>
                <w:sz w:val="16"/>
              </w:rPr>
              <w:t xml:space="preserve">19</w:t>
            </w:r>
          </w:p>
        </w:tc>
      </w:tr>
      <w:tr>
        <w:tc>
          <w:tcPr/>
          <w:p>
            <w:pPr>
              <w:pStyle w:val="Compact"/>
              <w:spacing w:after="0" w:before="0"/>
            </w:pPr>
            <w:r>
              <w:rPr>
                <w:sz w:val="16"/>
              </w:rPr>
              <w:t xml:space="preserve">pre_ofmsw</w:t>
            </w:r>
          </w:p>
        </w:tc>
        <w:tc>
          <w:tcPr/>
          <w:p>
            <w:pPr>
              <w:pStyle w:val="Compact"/>
              <w:spacing w:after="0" w:before="0"/>
            </w:pPr>
            <w:r>
              <w:rPr>
                <w:sz w:val="16"/>
              </w:rPr>
              <w:t xml:space="preserve">5</w:t>
            </w:r>
          </w:p>
        </w:tc>
        <w:tc>
          <w:tcPr/>
          <w:p>
            <w:pPr>
              <w:pStyle w:val="Compact"/>
              <w:spacing w:after="0" w:before="0"/>
            </w:pPr>
            <w:r>
              <w:rPr>
                <w:sz w:val="16"/>
              </w:rPr>
              <w:t xml:space="preserve">lower</w:t>
            </w:r>
          </w:p>
        </w:tc>
        <w:tc>
          <w:tcPr/>
          <w:p>
            <w:pPr>
              <w:pStyle w:val="Compact"/>
              <w:spacing w:after="0" w:before="0"/>
            </w:pPr>
            <w:r>
              <w:rPr>
                <w:sz w:val="16"/>
              </w:rPr>
              <w:t xml:space="preserve">20.1 (6.94 to 29.5)</w:t>
            </w:r>
          </w:p>
        </w:tc>
        <w:tc>
          <w:tcPr/>
          <w:p>
            <w:pPr>
              <w:pStyle w:val="Compact"/>
              <w:spacing w:after="0" w:before="0"/>
            </w:pPr>
            <w:r>
              <w:rPr>
                <w:sz w:val="16"/>
              </w:rPr>
              <w:t xml:space="preserve">6</w:t>
            </w:r>
          </w:p>
        </w:tc>
        <w:tc>
          <w:tcPr/>
          <w:p>
            <w:pPr>
              <w:pStyle w:val="Compact"/>
              <w:spacing w:after="0" w:before="0"/>
            </w:pPr>
            <w:r>
              <w:rPr>
                <w:sz w:val="16"/>
              </w:rPr>
              <w:t xml:space="preserve">0</w:t>
            </w:r>
          </w:p>
        </w:tc>
        <w:tc>
          <w:tcPr/>
          <w:p>
            <w:pPr>
              <w:pStyle w:val="Compact"/>
              <w:spacing w:after="0" w:before="0"/>
            </w:pPr>
            <w:r>
              <w:rPr>
                <w:sz w:val="16"/>
              </w:rPr>
              <w:t xml:space="preserve">15</w:t>
            </w:r>
          </w:p>
        </w:tc>
      </w:tr>
      <w:tr>
        <w:tc>
          <w:tcPr/>
          <w:p>
            <w:pPr>
              <w:pStyle w:val="Compact"/>
              <w:spacing w:after="0" w:before="0"/>
            </w:pPr>
            <w:r>
              <w:rPr>
                <w:sz w:val="16"/>
              </w:rPr>
              <w:t xml:space="preserve">p_rdf</w:t>
            </w:r>
          </w:p>
        </w:tc>
        <w:tc>
          <w:tcPr/>
          <w:p>
            <w:pPr>
              <w:pStyle w:val="Compact"/>
              <w:spacing w:after="0" w:before="0"/>
            </w:pPr>
            <w:r>
              <w:rPr>
                <w:sz w:val="16"/>
              </w:rPr>
              <w:t xml:space="preserve">1.15</w:t>
            </w:r>
          </w:p>
        </w:tc>
        <w:tc>
          <w:tcPr/>
          <w:p>
            <w:pPr>
              <w:pStyle w:val="Compact"/>
              <w:spacing w:after="0" w:before="0"/>
            </w:pPr>
            <w:r>
              <w:rPr>
                <w:sz w:val="16"/>
              </w:rPr>
              <w:t xml:space="preserve">higher</w:t>
            </w:r>
          </w:p>
        </w:tc>
        <w:tc>
          <w:tcPr/>
          <w:p>
            <w:pPr>
              <w:pStyle w:val="Compact"/>
              <w:spacing w:after="0" w:before="0"/>
            </w:pPr>
            <w:r>
              <w:rPr>
                <w:sz w:val="16"/>
              </w:rPr>
              <w:t xml:space="preserve">0.137 (0.0211 to 1.05)</w:t>
            </w:r>
          </w:p>
        </w:tc>
        <w:tc>
          <w:tcPr/>
          <w:p>
            <w:pPr>
              <w:pStyle w:val="Compact"/>
              <w:spacing w:after="0" w:before="0"/>
            </w:pPr>
            <w:r>
              <w:rPr>
                <w:sz w:val="16"/>
              </w:rPr>
              <w:t xml:space="preserve">5</w:t>
            </w:r>
          </w:p>
        </w:tc>
        <w:tc>
          <w:tcPr/>
          <w:p>
            <w:pPr>
              <w:pStyle w:val="Compact"/>
              <w:spacing w:after="0" w:before="0"/>
            </w:pPr>
            <w:r>
              <w:rPr>
                <w:sz w:val="16"/>
              </w:rPr>
              <w:t xml:space="preserve">0</w:t>
            </w:r>
          </w:p>
        </w:tc>
        <w:tc>
          <w:tcPr/>
          <w:p>
            <w:pPr>
              <w:pStyle w:val="Compact"/>
              <w:spacing w:after="0" w:before="0"/>
            </w:pPr>
            <w:r>
              <w:rPr>
                <w:sz w:val="16"/>
              </w:rPr>
              <w:t xml:space="preserve">16</w:t>
            </w:r>
          </w:p>
        </w:tc>
      </w:tr>
      <w:tr>
        <w:tc>
          <w:tcPr/>
          <w:p>
            <w:pPr>
              <w:pStyle w:val="Compact"/>
              <w:spacing w:after="0" w:before="0"/>
            </w:pPr>
            <w:r>
              <w:rPr>
                <w:sz w:val="16"/>
              </w:rPr>
              <w:t xml:space="preserve">o_rdf</w:t>
            </w:r>
          </w:p>
        </w:tc>
        <w:tc>
          <w:tcPr/>
          <w:p>
            <w:pPr>
              <w:pStyle w:val="Compact"/>
              <w:spacing w:after="0" w:before="0"/>
            </w:pPr>
            <w:r>
              <w:rPr>
                <w:sz w:val="16"/>
              </w:rPr>
              <w:t xml:space="preserve">18.4</w:t>
            </w:r>
          </w:p>
        </w:tc>
        <w:tc>
          <w:tcPr/>
          <w:p>
            <w:pPr>
              <w:pStyle w:val="Compact"/>
              <w:spacing w:after="0" w:before="0"/>
            </w:pPr>
            <w:r>
              <w:rPr>
                <w:sz w:val="16"/>
              </w:rPr>
              <w:t xml:space="preserve">lower</w:t>
            </w:r>
          </w:p>
        </w:tc>
        <w:tc>
          <w:tcPr/>
          <w:p>
            <w:pPr>
              <w:pStyle w:val="Compact"/>
              <w:spacing w:after="0" w:before="0"/>
            </w:pPr>
            <w:r>
              <w:rPr>
                <w:sz w:val="16"/>
              </w:rPr>
              <w:t xml:space="preserve">28.8 (18.8 to 38.6)</w:t>
            </w:r>
          </w:p>
        </w:tc>
        <w:tc>
          <w:tcPr/>
          <w:p>
            <w:pPr>
              <w:pStyle w:val="Compact"/>
              <w:spacing w:after="0" w:before="0"/>
            </w:pPr>
            <w:r>
              <w:rPr>
                <w:sz w:val="16"/>
              </w:rPr>
              <w:t xml:space="preserve">21</w:t>
            </w:r>
          </w:p>
        </w:tc>
        <w:tc>
          <w:tcPr/>
          <w:p>
            <w:pPr>
              <w:pStyle w:val="Compact"/>
              <w:spacing w:after="0" w:before="0"/>
            </w:pPr>
            <w:r>
              <w:rPr>
                <w:sz w:val="16"/>
              </w:rPr>
              <w:t xml:space="preserve">0</w:t>
            </w:r>
          </w:p>
        </w:tc>
        <w:tc>
          <w:tcPr/>
          <w:p>
            <w:pPr>
              <w:pStyle w:val="Compact"/>
              <w:spacing w:after="0" w:before="0"/>
            </w:pPr>
            <w:r>
              <w:rPr>
                <w:sz w:val="16"/>
              </w:rPr>
              <w:t xml:space="preserve">0</w:t>
            </w:r>
          </w:p>
        </w:tc>
      </w:tr>
      <w:tr>
        <w:tc>
          <w:tcPr/>
          <w:p>
            <w:pPr>
              <w:pStyle w:val="Compact"/>
              <w:spacing w:after="0" w:before="0"/>
            </w:pPr>
            <w:r>
              <w:rPr>
                <w:sz w:val="16"/>
              </w:rPr>
              <w:t xml:space="preserve">cap</w:t>
            </w:r>
          </w:p>
        </w:tc>
        <w:tc>
          <w:tcPr/>
          <w:p>
            <w:pPr>
              <w:pStyle w:val="Compact"/>
              <w:spacing w:after="0" w:before="0"/>
            </w:pPr>
            <w:r>
              <w:rPr>
                <w:sz w:val="16"/>
              </w:rPr>
              <w:t xml:space="preserve">0.5</w:t>
            </w:r>
          </w:p>
        </w:tc>
        <w:tc>
          <w:tcPr/>
          <w:p>
            <w:pPr>
              <w:pStyle w:val="Compact"/>
              <w:spacing w:after="0" w:before="0"/>
            </w:pPr>
            <w:r>
              <w:rPr>
                <w:sz w:val="16"/>
              </w:rPr>
              <w:t xml:space="preserve">lower</w:t>
            </w:r>
          </w:p>
        </w:tc>
        <w:tc>
          <w:tcPr/>
          <w:p>
            <w:pPr>
              <w:pStyle w:val="Compact"/>
              <w:spacing w:after="0" w:before="0"/>
            </w:pPr>
            <w:r>
              <w:rPr>
                <w:sz w:val="16"/>
              </w:rPr>
              <w:t xml:space="preserve">0.656 (0.508 to 0.818)</w:t>
            </w:r>
          </w:p>
        </w:tc>
        <w:tc>
          <w:tcPr/>
          <w:p>
            <w:pPr>
              <w:pStyle w:val="Compact"/>
              <w:spacing w:after="0" w:before="0"/>
            </w:pPr>
            <w:r>
              <w:rPr>
                <w:sz w:val="16"/>
              </w:rPr>
              <w:t xml:space="preserve">21</w:t>
            </w:r>
          </w:p>
        </w:tc>
        <w:tc>
          <w:tcPr/>
          <w:p>
            <w:pPr>
              <w:pStyle w:val="Compact"/>
              <w:spacing w:after="0" w:before="0"/>
            </w:pPr>
            <w:r>
              <w:rPr>
                <w:sz w:val="16"/>
              </w:rPr>
              <w:t xml:space="preserve">0</w:t>
            </w:r>
          </w:p>
        </w:tc>
        <w:tc>
          <w:tcPr/>
          <w:p>
            <w:pPr>
              <w:pStyle w:val="Compact"/>
              <w:spacing w:after="0" w:before="0"/>
            </w:pPr>
            <w:r>
              <w:rPr>
                <w:sz w:val="16"/>
              </w:rPr>
              <w:t xml:space="preserve">0</w:t>
            </w:r>
          </w:p>
        </w:tc>
      </w:tr>
    </w:tbl>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2282"/>
        <w:gridCol w:w="671"/>
        <w:gridCol w:w="671"/>
        <w:gridCol w:w="2013"/>
        <w:gridCol w:w="805"/>
        <w:gridCol w:w="671"/>
        <w:gridCol w:w="805"/>
      </w:tblGrid>
      <w:tr>
        <w:trPr>
          <w:tblHeader w:val="on"/>
        </w:trPr>
        <w:tc>
          <w:tcPr>
            <w:shd w:val="clear" w:color="auto" w:fill="DCE6F0"/>
          </w:tcPr>
          <w:p>
            <w:pPr>
              <w:pStyle w:val="Compact"/>
              <w:spacing w:after="0" w:before="0"/>
            </w:pPr>
            <w:r>
              <w:rPr>
                <w:b/>
                <w:sz w:val="16"/>
              </w:rPr>
              <w:t xml:space="preserve">Input (S5 RDF + AD vs SL, 50 USD/t)</w:t>
            </w:r>
          </w:p>
        </w:tc>
        <w:tc>
          <w:tcPr>
            <w:shd w:val="clear" w:color="auto" w:fill="DCE6F0"/>
          </w:tcPr>
          <w:p>
            <w:pPr>
              <w:pStyle w:val="Compact"/>
              <w:spacing w:after="0" w:before="0"/>
            </w:pPr>
            <w:r>
              <w:rPr>
                <w:b/>
                <w:sz w:val="16"/>
              </w:rPr>
              <w:t xml:space="preserve">Central</w:t>
            </w:r>
          </w:p>
        </w:tc>
        <w:tc>
          <w:tcPr>
            <w:shd w:val="clear" w:color="auto" w:fill="DCE6F0"/>
          </w:tcPr>
          <w:p>
            <w:pPr>
              <w:pStyle w:val="Compact"/>
              <w:spacing w:after="0" w:before="0"/>
            </w:pPr>
            <w:r>
              <w:rPr>
                <w:b/>
                <w:sz w:val="16"/>
              </w:rPr>
              <w:t xml:space="preserve">Better if</w:t>
            </w:r>
          </w:p>
        </w:tc>
        <w:tc>
          <w:tcPr>
            <w:shd w:val="clear" w:color="auto" w:fill="DCE6F0"/>
          </w:tcPr>
          <w:p>
            <w:pPr>
              <w:pStyle w:val="Compact"/>
              <w:spacing w:after="0" w:before="0"/>
            </w:pPr>
            <w:r>
              <w:rPr>
                <w:b/>
                <w:sz w:val="16"/>
              </w:rPr>
              <w:t xml:space="preserve">Break-even: median (range)</w:t>
            </w:r>
          </w:p>
        </w:tc>
        <w:tc>
          <w:tcPr>
            <w:shd w:val="clear" w:color="auto" w:fill="DCE6F0"/>
          </w:tcPr>
          <w:p>
            <w:pPr>
              <w:pStyle w:val="Compact"/>
              <w:spacing w:after="0" w:before="0"/>
            </w:pPr>
            <w:r>
              <w:rPr>
                <w:b/>
                <w:sz w:val="16"/>
              </w:rPr>
              <w:t xml:space="preserve">n crossing</w:t>
            </w:r>
          </w:p>
        </w:tc>
        <w:tc>
          <w:tcPr>
            <w:shd w:val="clear" w:color="auto" w:fill="DCE6F0"/>
          </w:tcPr>
          <w:p>
            <w:pPr>
              <w:pStyle w:val="Compact"/>
              <w:spacing w:after="0" w:before="0"/>
            </w:pPr>
            <w:r>
              <w:rPr>
                <w:b/>
                <w:sz w:val="16"/>
              </w:rPr>
              <w:t xml:space="preserve">never</w:t>
            </w:r>
          </w:p>
        </w:tc>
        <w:tc>
          <w:tcPr>
            <w:shd w:val="clear" w:color="auto" w:fill="DCE6F0"/>
          </w:tcPr>
          <w:p>
            <w:pPr>
              <w:pStyle w:val="Compact"/>
              <w:spacing w:after="0" w:before="0"/>
            </w:pPr>
            <w:r>
              <w:rPr>
                <w:b/>
                <w:sz w:val="16"/>
              </w:rPr>
              <w:t xml:space="preserve">already</w:t>
            </w:r>
          </w:p>
        </w:tc>
      </w:tr>
      <w:tr>
        <w:tc>
          <w:tcPr/>
          <w:p>
            <w:pPr>
              <w:pStyle w:val="Compact"/>
              <w:spacing w:after="0" w:before="0"/>
            </w:pPr>
            <w:r>
              <w:rPr>
                <w:sz w:val="16"/>
              </w:rPr>
              <w:t xml:space="preserve">y_pen_mech</w:t>
            </w:r>
          </w:p>
        </w:tc>
        <w:tc>
          <w:tcPr/>
          <w:p>
            <w:pPr>
              <w:pStyle w:val="Compact"/>
              <w:spacing w:after="0" w:before="0"/>
            </w:pPr>
            <w:r>
              <w:rPr>
                <w:sz w:val="16"/>
              </w:rPr>
              <w:t xml:space="preserve">0.6</w:t>
            </w:r>
          </w:p>
        </w:tc>
        <w:tc>
          <w:tcPr/>
          <w:p>
            <w:pPr>
              <w:pStyle w:val="Compact"/>
              <w:spacing w:after="0" w:before="0"/>
            </w:pPr>
            <w:r>
              <w:rPr>
                <w:sz w:val="16"/>
              </w:rPr>
              <w:t xml:space="preserve">higher</w:t>
            </w:r>
          </w:p>
        </w:tc>
        <w:tc>
          <w:tcPr/>
          <w:p>
            <w:pPr>
              <w:pStyle w:val="Compact"/>
              <w:spacing w:after="0" w:before="0"/>
            </w:pPr>
            <w:r>
              <w:rPr>
                <w:sz w:val="16"/>
              </w:rPr>
              <w:t xml:space="preserve">0.916 (0.916 to 0.916)</w:t>
            </w:r>
          </w:p>
        </w:tc>
        <w:tc>
          <w:tcPr/>
          <w:p>
            <w:pPr>
              <w:pStyle w:val="Compact"/>
              <w:spacing w:after="0" w:before="0"/>
            </w:pPr>
            <w:r>
              <w:rPr>
                <w:sz w:val="16"/>
              </w:rPr>
              <w:t xml:space="preserve">1</w:t>
            </w:r>
          </w:p>
        </w:tc>
        <w:tc>
          <w:tcPr/>
          <w:p>
            <w:pPr>
              <w:pStyle w:val="Compact"/>
              <w:spacing w:after="0" w:before="0"/>
            </w:pPr>
            <w:r>
              <w:rPr>
                <w:sz w:val="16"/>
              </w:rPr>
              <w:t xml:space="preserve">20</w:t>
            </w:r>
          </w:p>
        </w:tc>
        <w:tc>
          <w:tcPr/>
          <w:p>
            <w:pPr>
              <w:pStyle w:val="Compact"/>
              <w:spacing w:after="0" w:before="0"/>
            </w:pPr>
            <w:r>
              <w:rPr>
                <w:sz w:val="16"/>
              </w:rPr>
              <w:t xml:space="preserve">0</w:t>
            </w:r>
          </w:p>
        </w:tc>
      </w:tr>
      <w:tr>
        <w:tc>
          <w:tcPr/>
          <w:p>
            <w:pPr>
              <w:pStyle w:val="Compact"/>
              <w:spacing w:after="0" w:before="0"/>
            </w:pPr>
            <w:r>
              <w:rPr>
                <w:sz w:val="16"/>
              </w:rPr>
              <w:t xml:space="preserve">pre_ofmsw</w:t>
            </w:r>
          </w:p>
        </w:tc>
        <w:tc>
          <w:tcPr/>
          <w:p>
            <w:pPr>
              <w:pStyle w:val="Compact"/>
              <w:spacing w:after="0" w:before="0"/>
            </w:pPr>
            <w:r>
              <w:rPr>
                <w:sz w:val="16"/>
              </w:rPr>
              <w:t xml:space="preserve">5</w:t>
            </w:r>
          </w:p>
        </w:tc>
        <w:tc>
          <w:tcPr/>
          <w:p>
            <w:pPr>
              <w:pStyle w:val="Compact"/>
              <w:spacing w:after="0" w:before="0"/>
            </w:pPr>
            <w:r>
              <w:rPr>
                <w:sz w:val="16"/>
              </w:rPr>
              <w:t xml:space="preserve">lower</w:t>
            </w:r>
          </w:p>
        </w:tc>
        <w:tc>
          <w:tcPr/>
          <w:p>
            <w:pPr>
              <w:pStyle w:val="Compact"/>
              <w:spacing w:after="0" w:before="0"/>
            </w:pPr>
            <w:r>
              <w:rPr>
                <w:sz w:val="16"/>
              </w:rPr>
              <w:t xml:space="preserve">-</w:t>
            </w:r>
          </w:p>
        </w:tc>
        <w:tc>
          <w:tcPr/>
          <w:p>
            <w:pPr>
              <w:pStyle w:val="Compact"/>
              <w:spacing w:after="0" w:before="0"/>
            </w:pPr>
            <w:r>
              <w:rPr>
                <w:sz w:val="16"/>
              </w:rPr>
              <w:t xml:space="preserve">0</w:t>
            </w:r>
          </w:p>
        </w:tc>
        <w:tc>
          <w:tcPr/>
          <w:p>
            <w:pPr>
              <w:pStyle w:val="Compact"/>
              <w:spacing w:after="0" w:before="0"/>
            </w:pPr>
            <w:r>
              <w:rPr>
                <w:sz w:val="16"/>
              </w:rPr>
              <w:t xml:space="preserve">21</w:t>
            </w:r>
          </w:p>
        </w:tc>
        <w:tc>
          <w:tcPr/>
          <w:p>
            <w:pPr>
              <w:pStyle w:val="Compact"/>
              <w:spacing w:after="0" w:before="0"/>
            </w:pPr>
            <w:r>
              <w:rPr>
                <w:sz w:val="16"/>
              </w:rPr>
              <w:t xml:space="preserve">0</w:t>
            </w:r>
          </w:p>
        </w:tc>
      </w:tr>
      <w:tr>
        <w:tc>
          <w:tcPr/>
          <w:p>
            <w:pPr>
              <w:pStyle w:val="Compact"/>
              <w:spacing w:after="0" w:before="0"/>
            </w:pPr>
            <w:r>
              <w:rPr>
                <w:sz w:val="16"/>
              </w:rPr>
              <w:t xml:space="preserve">p_rdf</w:t>
            </w:r>
          </w:p>
        </w:tc>
        <w:tc>
          <w:tcPr/>
          <w:p>
            <w:pPr>
              <w:pStyle w:val="Compact"/>
              <w:spacing w:after="0" w:before="0"/>
            </w:pPr>
            <w:r>
              <w:rPr>
                <w:sz w:val="16"/>
              </w:rPr>
              <w:t xml:space="preserve">1.15</w:t>
            </w:r>
          </w:p>
        </w:tc>
        <w:tc>
          <w:tcPr/>
          <w:p>
            <w:pPr>
              <w:pStyle w:val="Compact"/>
              <w:spacing w:after="0" w:before="0"/>
            </w:pPr>
            <w:r>
              <w:rPr>
                <w:sz w:val="16"/>
              </w:rPr>
              <w:t xml:space="preserve">higher</w:t>
            </w:r>
          </w:p>
        </w:tc>
        <w:tc>
          <w:tcPr/>
          <w:p>
            <w:pPr>
              <w:pStyle w:val="Compact"/>
              <w:spacing w:after="0" w:before="0"/>
            </w:pPr>
            <w:r>
              <w:rPr>
                <w:sz w:val="16"/>
              </w:rPr>
              <w:t xml:space="preserve">3.42 (1.35 to 5.22)</w:t>
            </w:r>
          </w:p>
        </w:tc>
        <w:tc>
          <w:tcPr/>
          <w:p>
            <w:pPr>
              <w:pStyle w:val="Compact"/>
              <w:spacing w:after="0" w:before="0"/>
            </w:pPr>
            <w:r>
              <w:rPr>
                <w:sz w:val="16"/>
              </w:rPr>
              <w:t xml:space="preserve">21</w:t>
            </w:r>
          </w:p>
        </w:tc>
        <w:tc>
          <w:tcPr/>
          <w:p>
            <w:pPr>
              <w:pStyle w:val="Compact"/>
              <w:spacing w:after="0" w:before="0"/>
            </w:pPr>
            <w:r>
              <w:rPr>
                <w:sz w:val="16"/>
              </w:rPr>
              <w:t xml:space="preserve">0</w:t>
            </w:r>
          </w:p>
        </w:tc>
        <w:tc>
          <w:tcPr/>
          <w:p>
            <w:pPr>
              <w:pStyle w:val="Compact"/>
              <w:spacing w:after="0" w:before="0"/>
            </w:pPr>
            <w:r>
              <w:rPr>
                <w:sz w:val="16"/>
              </w:rPr>
              <w:t xml:space="preserve">0</w:t>
            </w:r>
          </w:p>
        </w:tc>
      </w:tr>
      <w:tr>
        <w:tc>
          <w:tcPr/>
          <w:p>
            <w:pPr>
              <w:pStyle w:val="Compact"/>
              <w:spacing w:after="0" w:before="0"/>
            </w:pPr>
            <w:r>
              <w:rPr>
                <w:sz w:val="16"/>
              </w:rPr>
              <w:t xml:space="preserve">o_rdf</w:t>
            </w:r>
          </w:p>
        </w:tc>
        <w:tc>
          <w:tcPr/>
          <w:p>
            <w:pPr>
              <w:pStyle w:val="Compact"/>
              <w:spacing w:after="0" w:before="0"/>
            </w:pPr>
            <w:r>
              <w:rPr>
                <w:sz w:val="16"/>
              </w:rPr>
              <w:t xml:space="preserve">18.4</w:t>
            </w:r>
          </w:p>
        </w:tc>
        <w:tc>
          <w:tcPr/>
          <w:p>
            <w:pPr>
              <w:pStyle w:val="Compact"/>
              <w:spacing w:after="0" w:before="0"/>
            </w:pPr>
            <w:r>
              <w:rPr>
                <w:sz w:val="16"/>
              </w:rPr>
              <w:t xml:space="preserve">lower</w:t>
            </w:r>
          </w:p>
        </w:tc>
        <w:tc>
          <w:tcPr/>
          <w:p>
            <w:pPr>
              <w:pStyle w:val="Compact"/>
              <w:spacing w:after="0" w:before="0"/>
            </w:pPr>
            <w:r>
              <w:rPr>
                <w:sz w:val="16"/>
              </w:rPr>
              <w:t xml:space="preserve">9.46 (2.19 to 17)</w:t>
            </w:r>
          </w:p>
        </w:tc>
        <w:tc>
          <w:tcPr/>
          <w:p>
            <w:pPr>
              <w:pStyle w:val="Compact"/>
              <w:spacing w:after="0" w:before="0"/>
            </w:pPr>
            <w:r>
              <w:rPr>
                <w:sz w:val="16"/>
              </w:rPr>
              <w:t xml:space="preserve">21</w:t>
            </w:r>
          </w:p>
        </w:tc>
        <w:tc>
          <w:tcPr/>
          <w:p>
            <w:pPr>
              <w:pStyle w:val="Compact"/>
              <w:spacing w:after="0" w:before="0"/>
            </w:pPr>
            <w:r>
              <w:rPr>
                <w:sz w:val="16"/>
              </w:rPr>
              <w:t xml:space="preserve">0</w:t>
            </w:r>
          </w:p>
        </w:tc>
        <w:tc>
          <w:tcPr/>
          <w:p>
            <w:pPr>
              <w:pStyle w:val="Compact"/>
              <w:spacing w:after="0" w:before="0"/>
            </w:pPr>
            <w:r>
              <w:rPr>
                <w:sz w:val="16"/>
              </w:rPr>
              <w:t xml:space="preserve">0</w:t>
            </w:r>
          </w:p>
        </w:tc>
      </w:tr>
      <w:tr>
        <w:tc>
          <w:tcPr/>
          <w:p>
            <w:pPr>
              <w:pStyle w:val="Compact"/>
              <w:spacing w:after="0" w:before="0"/>
            </w:pPr>
            <w:r>
              <w:rPr>
                <w:sz w:val="16"/>
              </w:rPr>
              <w:t xml:space="preserve">cap</w:t>
            </w:r>
          </w:p>
        </w:tc>
        <w:tc>
          <w:tcPr/>
          <w:p>
            <w:pPr>
              <w:pStyle w:val="Compact"/>
              <w:spacing w:after="0" w:before="0"/>
            </w:pPr>
            <w:r>
              <w:rPr>
                <w:sz w:val="16"/>
              </w:rPr>
              <w:t xml:space="preserve">0.5</w:t>
            </w:r>
          </w:p>
        </w:tc>
        <w:tc>
          <w:tcPr/>
          <w:p>
            <w:pPr>
              <w:pStyle w:val="Compact"/>
              <w:spacing w:after="0" w:before="0"/>
            </w:pPr>
            <w:r>
              <w:rPr>
                <w:sz w:val="16"/>
              </w:rPr>
              <w:t xml:space="preserve">lower</w:t>
            </w:r>
          </w:p>
        </w:tc>
        <w:tc>
          <w:tcPr/>
          <w:p>
            <w:pPr>
              <w:pStyle w:val="Compact"/>
              <w:spacing w:after="0" w:before="0"/>
            </w:pPr>
            <w:r>
              <w:rPr>
                <w:sz w:val="16"/>
              </w:rPr>
              <w:t xml:space="preserve">0.248 (0.16 to 0.457)</w:t>
            </w:r>
          </w:p>
        </w:tc>
        <w:tc>
          <w:tcPr/>
          <w:p>
            <w:pPr>
              <w:pStyle w:val="Compact"/>
              <w:spacing w:after="0" w:before="0"/>
            </w:pPr>
            <w:r>
              <w:rPr>
                <w:sz w:val="16"/>
              </w:rPr>
              <w:t xml:space="preserve">17</w:t>
            </w:r>
          </w:p>
        </w:tc>
        <w:tc>
          <w:tcPr/>
          <w:p>
            <w:pPr>
              <w:pStyle w:val="Compact"/>
              <w:spacing w:after="0" w:before="0"/>
            </w:pPr>
            <w:r>
              <w:rPr>
                <w:sz w:val="16"/>
              </w:rPr>
              <w:t xml:space="preserve">4</w:t>
            </w:r>
          </w:p>
        </w:tc>
        <w:tc>
          <w:tcPr/>
          <w:p>
            <w:pPr>
              <w:pStyle w:val="Compact"/>
              <w:spacing w:after="0" w:before="0"/>
            </w:pPr>
            <w:r>
              <w:rPr>
                <w:sz w:val="16"/>
              </w:rPr>
              <w:t xml:space="preserve">0</w:t>
            </w:r>
          </w:p>
        </w:tc>
      </w:tr>
    </w:tbl>
    <w:p>
      <w:pPr>
        <w:pStyle w:val="Caption"/>
      </w:pPr>
      <w:r>
        <w:t xml:space="preserve">Table 7a: Break-even values for RDF + AD against the landfill over the 21 locations (units as in the register: k</w:t>
      </w:r>
      <w:r>
        <w:rPr>
          <w:vertAlign w:val="subscript"/>
        </w:rPr>
        <w:t xml:space="preserve">mech</w:t>
      </w:r>
      <w:r>
        <w:t xml:space="preserve"> </w:t>
      </w:r>
      <w:r>
        <w:t xml:space="preserve">–; c</w:t>
      </w:r>
      <w:r>
        <w:rPr>
          <w:vertAlign w:val="subscript"/>
        </w:rPr>
        <w:t xml:space="preserve">pre</w:t>
      </w:r>
      <w:r>
        <w:t xml:space="preserve"> </w:t>
      </w:r>
      <w:r>
        <w:t xml:space="preserve">and RDF O&amp;M USD/t; RDF price USD/GJ; collection efficiency –).</w:t>
      </w:r>
      <w:r>
        <w:t xml:space="preserve"> </w:t>
      </w:r>
      <w:r>
        <w:t xml:space="preserve">‘never’</w:t>
      </w:r>
      <w:r>
        <w:t xml:space="preserve">: no value in the tested range closes the gap;</w:t>
      </w:r>
      <w:r>
        <w:t xml:space="preserve"> </w:t>
      </w:r>
      <w:r>
        <w:t xml:space="preserve">‘already’</w:t>
      </w:r>
      <w:r>
        <w:t xml:space="preserve">: RDF + AD is cheaper over the whole range;</w:t>
      </w:r>
      <w:r>
        <w:t xml:space="preserve"> </w:t>
      </w:r>
      <w:r>
        <w:t xml:space="preserve">‘n crossing’</w:t>
      </w:r>
      <w:r>
        <w:t xml:space="preserve">: locations where a break-even exists. Other options in</w:t>
      </w:r>
      <w:r>
        <w:t xml:space="preserve"> </w:t>
      </w:r>
      <w:r>
        <w:rPr>
          <w:i/>
          <w:iCs/>
        </w:rPr>
        <w:t xml:space="preserve">outputs/17_break_even_thresholds_vs_SL.csv</w:t>
      </w:r>
      <w:r>
        <w:t xml:space="preserve">.</w:t>
      </w:r>
    </w:p>
    <w:p>
      <w:pPr>
        <w:pStyle w:val="BodyText"/>
        <w:jc w:val="both"/>
      </w:pPr>
      <w:r>
        <w:t xml:space="preserve">At 50 USD/t RDF + AD matches the landfill only if RDF O&amp;M falls well below the verified 18.4 USD/t, the RDF price rises several-fold above today’s 1.15 USD/GJ, or landfill-gas collection is poor (below about 0.25). At 100 USD/t it is already cheaper in most locations and stays so unless RDF O&amp;M exceeds about 29 USD/t or collection exceeds about 0.66. For a city these are concrete conditions to write into a tender: a maximum gate fee for RDF processing, a minimum kiln price, and a measured collection efficiency for the landfill alternative.</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2986"/>
        <w:gridCol w:w="1038"/>
        <w:gridCol w:w="1038"/>
        <w:gridCol w:w="1038"/>
        <w:gridCol w:w="1817"/>
      </w:tblGrid>
      <w:tr>
        <w:trPr>
          <w:tblHeader w:val="on"/>
        </w:trPr>
        <w:tc>
          <w:tcPr>
            <w:shd w:val="clear" w:color="auto" w:fill="DCE6F0"/>
          </w:tcPr>
          <w:p>
            <w:pPr>
              <w:pStyle w:val="Compact"/>
              <w:spacing w:after="0" w:before="0"/>
            </w:pPr>
            <w:r>
              <w:rPr>
                <w:b/>
                <w:sz w:val="16"/>
              </w:rPr>
              <w:t xml:space="preserve">Measurement group</w:t>
            </w:r>
          </w:p>
        </w:tc>
        <w:tc>
          <w:tcPr>
            <w:shd w:val="clear" w:color="auto" w:fill="DCE6F0"/>
          </w:tcPr>
          <w:p>
            <w:pPr>
              <w:pStyle w:val="Compact"/>
              <w:spacing w:after="0" w:before="0"/>
            </w:pPr>
            <w:r>
              <w:rPr>
                <w:b/>
                <w:sz w:val="16"/>
              </w:rPr>
              <w:t xml:space="preserve">25 USD/t</w:t>
            </w:r>
          </w:p>
        </w:tc>
        <w:tc>
          <w:tcPr>
            <w:shd w:val="clear" w:color="auto" w:fill="DCE6F0"/>
          </w:tcPr>
          <w:p>
            <w:pPr>
              <w:pStyle w:val="Compact"/>
              <w:spacing w:after="0" w:before="0"/>
            </w:pPr>
            <w:r>
              <w:rPr>
                <w:b/>
                <w:sz w:val="16"/>
              </w:rPr>
              <w:t xml:space="preserve">50 USD/t</w:t>
            </w:r>
          </w:p>
        </w:tc>
        <w:tc>
          <w:tcPr>
            <w:shd w:val="clear" w:color="auto" w:fill="DCE6F0"/>
          </w:tcPr>
          <w:p>
            <w:pPr>
              <w:pStyle w:val="Compact"/>
              <w:spacing w:after="0" w:before="0"/>
            </w:pPr>
            <w:r>
              <w:rPr>
                <w:b/>
                <w:sz w:val="16"/>
              </w:rPr>
              <w:t xml:space="preserve">100 USD/t</w:t>
            </w:r>
          </w:p>
        </w:tc>
        <w:tc>
          <w:tcPr>
            <w:shd w:val="clear" w:color="auto" w:fill="DCE6F0"/>
          </w:tcPr>
          <w:p>
            <w:pPr>
              <w:pStyle w:val="Compact"/>
              <w:spacing w:after="0" w:before="0"/>
            </w:pPr>
            <w:r>
              <w:rPr>
                <w:b/>
                <w:sz w:val="16"/>
              </w:rPr>
              <w:t xml:space="preserve">Max over locations at 100, USD/yr</w:t>
            </w:r>
          </w:p>
        </w:tc>
      </w:tr>
      <w:tr>
        <w:tc>
          <w:tcPr/>
          <w:p>
            <w:pPr>
              <w:pStyle w:val="Compact"/>
              <w:spacing w:after="0" w:before="0"/>
            </w:pPr>
            <w:r>
              <w:rPr>
                <w:sz w:val="16"/>
              </w:rPr>
              <w:t xml:space="preserve">Waste characterisation (moisture, composition)</w:t>
            </w:r>
          </w:p>
        </w:tc>
        <w:tc>
          <w:tcPr/>
          <w:p>
            <w:pPr>
              <w:pStyle w:val="Compact"/>
              <w:spacing w:after="0" w:before="0"/>
            </w:pPr>
            <w:r>
              <w:rPr>
                <w:sz w:val="16"/>
              </w:rPr>
              <w:t xml:space="preserve">0.000</w:t>
            </w:r>
          </w:p>
        </w:tc>
        <w:tc>
          <w:tcPr/>
          <w:p>
            <w:pPr>
              <w:pStyle w:val="Compact"/>
              <w:spacing w:after="0" w:before="0"/>
            </w:pPr>
            <w:r>
              <w:rPr>
                <w:sz w:val="16"/>
              </w:rPr>
              <w:t xml:space="preserve">0.057</w:t>
            </w:r>
          </w:p>
        </w:tc>
        <w:tc>
          <w:tcPr/>
          <w:p>
            <w:pPr>
              <w:pStyle w:val="Compact"/>
              <w:spacing w:after="0" w:before="0"/>
            </w:pPr>
            <w:r>
              <w:rPr>
                <w:sz w:val="16"/>
              </w:rPr>
              <w:t xml:space="preserve">0.773</w:t>
            </w:r>
          </w:p>
        </w:tc>
        <w:tc>
          <w:tcPr/>
          <w:p>
            <w:pPr>
              <w:pStyle w:val="Compact"/>
              <w:spacing w:after="0" w:before="0"/>
            </w:pPr>
            <w:r>
              <w:rPr>
                <w:sz w:val="16"/>
              </w:rPr>
              <w:t xml:space="preserve">1,302,097</w:t>
            </w:r>
          </w:p>
        </w:tc>
      </w:tr>
      <w:tr>
        <w:tc>
          <w:tcPr/>
          <w:p>
            <w:pPr>
              <w:pStyle w:val="Compact"/>
              <w:spacing w:after="0" w:before="0"/>
            </w:pPr>
            <w:r>
              <w:rPr>
                <w:sz w:val="16"/>
              </w:rPr>
              <w:t xml:space="preserve">Landfill gas performance (collection, DOC, F, oxidation)</w:t>
            </w:r>
          </w:p>
        </w:tc>
        <w:tc>
          <w:tcPr/>
          <w:p>
            <w:pPr>
              <w:pStyle w:val="Compact"/>
              <w:spacing w:after="0" w:before="0"/>
            </w:pPr>
            <w:r>
              <w:rPr>
                <w:sz w:val="16"/>
              </w:rPr>
              <w:t xml:space="preserve">0.000</w:t>
            </w:r>
          </w:p>
        </w:tc>
        <w:tc>
          <w:tcPr/>
          <w:p>
            <w:pPr>
              <w:pStyle w:val="Compact"/>
              <w:spacing w:after="0" w:before="0"/>
            </w:pPr>
            <w:r>
              <w:rPr>
                <w:sz w:val="16"/>
              </w:rPr>
              <w:t xml:space="preserve">0.012</w:t>
            </w:r>
          </w:p>
        </w:tc>
        <w:tc>
          <w:tcPr/>
          <w:p>
            <w:pPr>
              <w:pStyle w:val="Compact"/>
              <w:spacing w:after="0" w:before="0"/>
            </w:pPr>
            <w:r>
              <w:rPr>
                <w:sz w:val="16"/>
              </w:rPr>
              <w:t xml:space="preserve">0.654</w:t>
            </w:r>
          </w:p>
        </w:tc>
        <w:tc>
          <w:tcPr/>
          <w:p>
            <w:pPr>
              <w:pStyle w:val="Compact"/>
              <w:spacing w:after="0" w:before="0"/>
            </w:pPr>
            <w:r>
              <w:rPr>
                <w:sz w:val="16"/>
              </w:rPr>
              <w:t xml:space="preserve">1,182,715</w:t>
            </w:r>
          </w:p>
        </w:tc>
      </w:tr>
      <w:tr>
        <w:tc>
          <w:tcPr/>
          <w:p>
            <w:pPr>
              <w:pStyle w:val="Compact"/>
              <w:spacing w:after="0" w:before="0"/>
            </w:pPr>
            <w:r>
              <w:rPr>
                <w:sz w:val="16"/>
              </w:rPr>
              <w:t xml:space="preserve">WtE performance and cost</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0.036</w:t>
            </w:r>
          </w:p>
        </w:tc>
        <w:tc>
          <w:tcPr/>
          <w:p>
            <w:pPr>
              <w:pStyle w:val="Compact"/>
              <w:spacing w:after="0" w:before="0"/>
            </w:pPr>
            <w:r>
              <w:rPr>
                <w:sz w:val="16"/>
              </w:rPr>
              <w:t xml:space="preserve">712,320</w:t>
            </w:r>
          </w:p>
        </w:tc>
      </w:tr>
      <w:tr>
        <w:tc>
          <w:tcPr/>
          <w:p>
            <w:pPr>
              <w:pStyle w:val="Compact"/>
              <w:spacing w:after="0" w:before="0"/>
            </w:pPr>
            <w:r>
              <w:rPr>
                <w:sz w:val="16"/>
              </w:rPr>
              <w:t xml:space="preserve">RDF line and off-take (O&amp;M, CAPEX, price, coal substitution, sorting)</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0.003</w:t>
            </w:r>
          </w:p>
        </w:tc>
        <w:tc>
          <w:tcPr/>
          <w:p>
            <w:pPr>
              <w:pStyle w:val="Compact"/>
              <w:spacing w:after="0" w:before="0"/>
            </w:pPr>
            <w:r>
              <w:rPr>
                <w:sz w:val="16"/>
              </w:rPr>
              <w:t xml:space="preserve">417,964</w:t>
            </w:r>
          </w:p>
        </w:tc>
      </w:tr>
      <w:tr>
        <w:tc>
          <w:tcPr/>
          <w:p>
            <w:pPr>
              <w:pStyle w:val="Compact"/>
              <w:spacing w:after="0" w:before="0"/>
            </w:pPr>
            <w:r>
              <w:rPr>
                <w:sz w:val="16"/>
              </w:rPr>
              <w:t xml:space="preserve">AD on mixed waste (yield, penalty, capture, costs, pre-treatment)</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0.002</w:t>
            </w:r>
          </w:p>
        </w:tc>
        <w:tc>
          <w:tcPr/>
          <w:p>
            <w:pPr>
              <w:pStyle w:val="Compact"/>
              <w:spacing w:after="0" w:before="0"/>
            </w:pPr>
            <w:r>
              <w:rPr>
                <w:sz w:val="16"/>
              </w:rPr>
              <w:t xml:space="preserve">440,030</w:t>
            </w:r>
          </w:p>
        </w:tc>
      </w:tr>
      <w:tr>
        <w:tc>
          <w:tcPr/>
          <w:p>
            <w:pPr>
              <w:pStyle w:val="Compact"/>
              <w:spacing w:after="0" w:before="0"/>
            </w:pPr>
            <w:r>
              <w:rPr>
                <w:sz w:val="16"/>
              </w:rPr>
              <w:t xml:space="preserve">Finance (discount rate, lifetime, scale exponent)</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110,849</w:t>
            </w:r>
          </w:p>
        </w:tc>
      </w:tr>
      <w:tr>
        <w:tc>
          <w:tcPr/>
          <w:p>
            <w:pPr>
              <w:pStyle w:val="Compact"/>
              <w:spacing w:after="0" w:before="0"/>
            </w:pPr>
            <w:r>
              <w:rPr>
                <w:sz w:val="16"/>
              </w:rPr>
              <w:t xml:space="preserve">Grid and electricity price</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50,471</w:t>
            </w:r>
          </w:p>
        </w:tc>
      </w:tr>
      <w:tr>
        <w:tc>
          <w:tcPr/>
          <w:p>
            <w:pPr>
              <w:pStyle w:val="Compact"/>
              <w:spacing w:after="0" w:before="0"/>
            </w:pPr>
            <w:r>
              <w:rPr>
                <w:sz w:val="16"/>
              </w:rPr>
              <w:t xml:space="preserve">Landfill cost</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92,063</w:t>
            </w:r>
          </w:p>
        </w:tc>
      </w:tr>
      <w:tr>
        <w:tc>
          <w:tcPr/>
          <w:p>
            <w:pPr>
              <w:pStyle w:val="Compact"/>
              <w:spacing w:after="0" w:before="0"/>
            </w:pPr>
            <w:r>
              <w:rPr>
                <w:sz w:val="16"/>
              </w:rPr>
              <w:t xml:space="preserve">EVPI (all inputs), median USD/t</w:t>
            </w:r>
          </w:p>
        </w:tc>
        <w:tc>
          <w:tcPr/>
          <w:p>
            <w:pPr>
              <w:pStyle w:val="Compact"/>
              <w:spacing w:after="0" w:before="0"/>
            </w:pPr>
            <w:r>
              <w:rPr>
                <w:sz w:val="16"/>
              </w:rPr>
              <w:t xml:space="preserve">0.24</w:t>
            </w:r>
          </w:p>
        </w:tc>
        <w:tc>
          <w:tcPr/>
          <w:p>
            <w:pPr>
              <w:pStyle w:val="Compact"/>
              <w:spacing w:after="0" w:before="0"/>
            </w:pPr>
            <w:r>
              <w:rPr>
                <w:sz w:val="16"/>
              </w:rPr>
              <w:t xml:space="preserve">1.05</w:t>
            </w:r>
          </w:p>
        </w:tc>
        <w:tc>
          <w:tcPr/>
          <w:p>
            <w:pPr>
              <w:pStyle w:val="Compact"/>
              <w:spacing w:after="0" w:before="0"/>
            </w:pPr>
            <w:r>
              <w:rPr>
                <w:sz w:val="16"/>
              </w:rPr>
              <w:t xml:space="preserve">3.18</w:t>
            </w:r>
          </w:p>
        </w:tc>
        <w:tc>
          <w:tcPr/>
          <w:p>
            <w:pPr>
              <w:pStyle w:val="Compact"/>
              <w:spacing w:after="0" w:before="0"/>
            </w:pPr>
            <w:r>
              <w:rPr>
                <w:sz w:val="16"/>
              </w:rPr>
              <w:t xml:space="preserve">3,357,725</w:t>
            </w:r>
          </w:p>
        </w:tc>
      </w:tr>
    </w:tbl>
    <w:p>
      <w:pPr>
        <w:pStyle w:val="Caption"/>
      </w:pPr>
      <w:r>
        <w:t xml:space="preserve">Table 7b: Value of information, median EVPPI over 21 locations in USD per tonne MSW (market case, 4,000 draws). The last column multiplies by the location’s 2025 tonnage.</w:t>
      </w:r>
    </w:p>
    <w:p>
      <w:pPr>
        <w:pStyle w:val="CaptionedFigure"/>
      </w:pPr>
      <w:r>
        <w:drawing>
          <wp:inline>
            <wp:extent cx="5939999" cy="1821599"/>
            <wp:effectExtent b="0" l="0" r="0" t="0"/>
            <wp:docPr descr="Figure 10a: Value of information by measurement group at three carbon values: median over 21 locations (bar) and maximum (dot)." title="" id="52" name="Picture"/>
            <a:graphic>
              <a:graphicData uri="http://schemas.openxmlformats.org/drawingml/2006/picture">
                <pic:pic>
                  <pic:nvPicPr>
                    <pic:cNvPr descr="/home/user/claude/MSW_pathway_model_v3/outputs/fig_voi.png" id="53" name="Picture"/>
                    <pic:cNvPicPr>
                      <a:picLocks noChangeArrowheads="1" noChangeAspect="1"/>
                    </pic:cNvPicPr>
                  </pic:nvPicPr>
                  <pic:blipFill>
                    <a:blip r:embed="rId51"/>
                    <a:stretch>
                      <a:fillRect/>
                    </a:stretch>
                  </pic:blipFill>
                  <pic:spPr bwMode="auto">
                    <a:xfrm>
                      <a:off x="0" y="0"/>
                      <a:ext cx="5939999" cy="1821599"/>
                    </a:xfrm>
                    <a:prstGeom prst="rect">
                      <a:avLst/>
                    </a:prstGeom>
                    <a:noFill/>
                    <a:ln w="9525">
                      <a:noFill/>
                      <a:headEnd/>
                      <a:tailEnd/>
                    </a:ln>
                  </pic:spPr>
                </pic:pic>
              </a:graphicData>
            </a:graphic>
          </wp:inline>
        </w:drawing>
      </w:r>
    </w:p>
    <w:p>
      <w:pPr>
        <w:pStyle w:val="ImageCaption"/>
      </w:pPr>
      <w:r>
        <w:t xml:space="preserve">Figure 10a: Value of information by measurement group at three carbon values: median over 21 locations (bar) and maximum (dot).</w:t>
      </w:r>
    </w:p>
    <w:p>
      <w:pPr>
        <w:pStyle w:val="BodyText"/>
        <w:jc w:val="both"/>
      </w:pPr>
      <w:r>
        <w:t xml:space="preserve">Uncertainty is worth little at 25 USD/t (EVPI 0.24 USD/t), because the landfill wins almost regardless. At 100 USD/t the EVPI rises to 3.18 USD/t, about 686,273 USD per year for the median location, and waste characterisation (as-received moisture and composition) and landfill-gas performance carry most of it, followed by WtE performance and cost. Group values are conservative (additive regression within a group, noise floor subtracted), so they need not add up to the EVPI. The rule for a city is direct: if a local waste-characterisation campaign with proximate analysis, or a landfill-gas pumping test, costs less than its EVPPI for one year, it should be done before any technology commitment. AD-specific data matter only where food can be separated at source.</w:t>
      </w:r>
    </w:p>
    <w:bookmarkEnd w:id="54"/>
    <w:bookmarkStart w:id="58" w:name="fossil-energy-ced-and-land-take-v3.1"/>
    <w:p>
      <w:pPr>
        <w:pStyle w:val="Heading1"/>
      </w:pPr>
      <w:r>
        <w:t xml:space="preserve">10 Fossil energy (CED) and land take (v3.1)</w:t>
      </w:r>
    </w:p>
    <w:p>
      <w:pPr>
        <w:pStyle w:val="FirstParagraph"/>
        <w:jc w:val="both"/>
      </w:pPr>
      <w:r>
        <w:t xml:space="preserve">Two indicators are added to climate change and cost. Both reuse the inventory of the existing model, so they add no new flows, only conversion factors (</w:t>
      </w:r>
      <w:r>
        <w:rPr>
          <w:i/>
          <w:iCs/>
        </w:rPr>
        <w:t xml:space="preserve">data/lcia_factors.csv</w:t>
      </w:r>
      <w:r>
        <w:t xml:space="preserve">, drawn after all v3 parameters so that G and C are unchanged; validation check).</w:t>
      </w:r>
      <w:r>
        <w:t xml:space="preserve"> </w:t>
      </w:r>
      <w:r>
        <w:rPr>
          <w:b/>
          <w:bCs/>
        </w:rPr>
        <w:t xml:space="preserve">CED</w:t>
      </w:r>
      <w:r>
        <w:t xml:space="preserve"> </w:t>
      </w:r>
      <w:r>
        <w:t xml:space="preserve">is the non-renewable (fossil) cumulative energy demand in MJ per tonne MSW; biogenic energy is not counted and a negative value is a net saving:</w:t>
      </w:r>
    </w:p>
    <w:p>
      <w:pPr>
        <w:pStyle w:val="BodyText"/>
      </w:pPr>
      <m:oMathPara>
        <m:oMathParaPr>
          <m:jc m:val="center"/>
        </m:oMathParaPr>
        <m:oMath>
          <m:sSub>
            <m:e>
              <m:r>
                <m:rPr>
                  <m:sty m:val="p"/>
                </m:rPr>
                <m:t>C</m:t>
              </m:r>
              <m:r>
                <m:rPr>
                  <m:sty m:val="p"/>
                </m:rPr>
                <m:t>E</m:t>
              </m:r>
              <m:r>
                <m:rPr>
                  <m:sty m:val="p"/>
                </m:rPr>
                <m:t>D</m:t>
              </m:r>
            </m:e>
            <m:sub>
              <m:r>
                <m:t>k</m:t>
              </m:r>
            </m:sub>
          </m:sSub>
          <m:r>
            <m:rPr>
              <m:sty m:val="p"/>
            </m:rPr>
            <m:t>=</m:t>
          </m:r>
          <m:r>
            <m:rPr>
              <m:sty m:val="p"/>
            </m:rPr>
            <m:t>∑</m:t>
          </m:r>
          <m:sSub>
            <m:e>
              <m:r>
                <m:rPr>
                  <m:sty m:val="p"/>
                </m:rPr>
                <m:t>k</m:t>
              </m:r>
              <m:r>
                <m:rPr>
                  <m:sty m:val="p"/>
                </m:rPr>
                <m:t>W</m:t>
              </m:r>
              <m:r>
                <m:rPr>
                  <m:sty m:val="p"/>
                </m:rPr>
                <m:t>h</m:t>
              </m:r>
            </m:e>
            <m:sub>
              <m:r>
                <m:t>i</m:t>
              </m:r>
              <m:r>
                <m:t>n</m:t>
              </m:r>
            </m:sub>
          </m:sSub>
          <m:r>
            <m:t> </m:t>
          </m:r>
          <m:r>
            <m:rPr>
              <m:sty m:val="p"/>
            </m:rPr>
            <m:t>P</m:t>
          </m:r>
          <m:r>
            <m:rPr>
              <m:sty m:val="p"/>
            </m:rPr>
            <m:t>E</m:t>
          </m:r>
          <m:r>
            <m:rPr>
              <m:sty m:val="p"/>
            </m:rPr>
            <m:t>F</m:t>
          </m:r>
          <m:r>
            <m:rPr>
              <m:sty m:val="p"/>
            </m:rPr>
            <m:t>+</m:t>
          </m:r>
          <m:r>
            <m:rPr>
              <m:sty m:val="p"/>
            </m:rPr>
            <m:t>∑</m:t>
          </m:r>
          <m:f>
            <m:fPr>
              <m:type m:val="bar"/>
            </m:fPr>
            <m:num>
              <m:sSub>
                <m:e>
                  <m:r>
                    <m:t>a</m:t>
                  </m:r>
                </m:e>
                <m:sub>
                  <m:r>
                    <m:t>i</m:t>
                  </m:r>
                </m:sub>
              </m:sSub>
            </m:num>
            <m:den>
              <m:r>
                <m:t>e</m:t>
              </m:r>
              <m:sSub>
                <m:e>
                  <m:r>
                    <m:t>f</m:t>
                  </m:r>
                </m:e>
                <m:sub>
                  <m:r>
                    <m:t>d</m:t>
                  </m:r>
                  <m:r>
                    <m:t>i</m:t>
                  </m:r>
                  <m:r>
                    <m:t>e</m:t>
                  </m:r>
                  <m:r>
                    <m:t>s</m:t>
                  </m:r>
                  <m:r>
                    <m:t>e</m:t>
                  </m:r>
                  <m:r>
                    <m:t>l</m:t>
                  </m:r>
                </m:sub>
              </m:sSub>
            </m:den>
          </m:f>
          <m:r>
            <m:rPr>
              <m:sty m:val="p"/>
            </m:rPr>
            <m:t>(</m:t>
          </m:r>
          <m:r>
            <m:t>1</m:t>
          </m:r>
          <m:r>
            <m:rPr>
              <m:sty m:val="p"/>
            </m:rPr>
            <m:t>+</m:t>
          </m:r>
          <m:sSub>
            <m:e>
              <m:r>
                <m:t>u</m:t>
              </m:r>
            </m:e>
            <m:sub>
              <m:r>
                <m:t>d</m:t>
              </m:r>
            </m:sub>
          </m:sSub>
          <m:r>
            <m:rPr>
              <m:sty m:val="p"/>
            </m:rPr>
            <m:t>)</m:t>
          </m:r>
          <m:r>
            <m:rPr>
              <m:sty m:val="p"/>
            </m:rPr>
            <m:t>−</m:t>
          </m:r>
          <m:sSub>
            <m:e>
              <m:r>
                <m:t>E</m:t>
              </m:r>
            </m:e>
            <m:sub>
              <m:r>
                <m:t>e</m:t>
              </m:r>
              <m:r>
                <m:t>l</m:t>
              </m:r>
            </m:sub>
          </m:sSub>
          <m:r>
            <m:t> </m:t>
          </m:r>
          <m:r>
            <m:rPr>
              <m:sty m:val="p"/>
            </m:rPr>
            <m:t>P</m:t>
          </m:r>
          <m:r>
            <m:rPr>
              <m:sty m:val="p"/>
            </m:rPr>
            <m:t>E</m:t>
          </m:r>
          <m:r>
            <m:rPr>
              <m:sty m:val="p"/>
            </m:rPr>
            <m:t>F</m:t>
          </m:r>
          <m:r>
            <m:rPr>
              <m:sty m:val="p"/>
            </m:rPr>
            <m:t>−</m:t>
          </m:r>
          <m:r>
            <m:t>ψ</m:t>
          </m:r>
          <m:sSub>
            <m:e>
              <m:r>
                <m:t>E</m:t>
              </m:r>
            </m:e>
            <m:sub>
              <m:r>
                <m:t>n</m:t>
              </m:r>
              <m:r>
                <m:t>e</m:t>
              </m:r>
              <m:r>
                <m:t>t</m:t>
              </m:r>
            </m:sub>
          </m:sSub>
          <m:r>
            <m:rPr>
              <m:sty m:val="p"/>
            </m:rPr>
            <m:t>(</m:t>
          </m:r>
          <m:r>
            <m:t>1</m:t>
          </m:r>
          <m:r>
            <m:rPr>
              <m:sty m:val="p"/>
            </m:rPr>
            <m:t>+</m:t>
          </m:r>
          <m:sSub>
            <m:e>
              <m:r>
                <m:t>u</m:t>
              </m:r>
            </m:e>
            <m:sub>
              <m:r>
                <m:t>c</m:t>
              </m:r>
            </m:sub>
          </m:sSub>
          <m:r>
            <m:rPr>
              <m:sty m:val="p"/>
            </m:rPr>
            <m:t>)</m:t>
          </m:r>
          <m:r>
            <m:rPr>
              <m:sty m:val="p"/>
            </m:rPr>
            <m:t>−</m:t>
          </m:r>
          <m:r>
            <m:t>P</m:t>
          </m:r>
          <m:r>
            <m:t> </m:t>
          </m:r>
          <m:r>
            <m:t>σ</m:t>
          </m:r>
          <m:r>
            <m:t> </m:t>
          </m:r>
          <m:sSub>
            <m:e>
              <m:r>
                <m:rPr>
                  <m:sty m:val="p"/>
                </m:rPr>
                <m:t>C</m:t>
              </m:r>
              <m:r>
                <m:rPr>
                  <m:sty m:val="p"/>
                </m:rPr>
                <m:t>E</m:t>
              </m:r>
              <m:r>
                <m:rPr>
                  <m:sty m:val="p"/>
                </m:rPr>
                <m:t>D</m:t>
              </m:r>
            </m:e>
            <m:sub>
              <m:r>
                <m:t>P</m:t>
              </m:r>
              <m:r>
                <m:t>P</m:t>
              </m:r>
            </m:sub>
          </m:sSub>
          <m:r>
            <m:rPr>
              <m:sty m:val="p"/>
            </m:rPr>
            <m:t>,</m:t>
          </m:r>
          <m:r>
            <m:t>  </m:t>
          </m:r>
          <m:r>
            <m:rPr>
              <m:sty m:val="p"/>
            </m:rPr>
            <m:t>P</m:t>
          </m:r>
          <m:r>
            <m:rPr>
              <m:sty m:val="p"/>
            </m:rPr>
            <m:t>E</m:t>
          </m:r>
          <m:r>
            <m:rPr>
              <m:sty m:val="p"/>
            </m:rPr>
            <m:t>F</m:t>
          </m:r>
          <m:r>
            <m:rPr>
              <m:sty m:val="p"/>
            </m:rPr>
            <m:t>=</m:t>
          </m:r>
          <m:f>
            <m:fPr>
              <m:type m:val="bar"/>
            </m:fPr>
            <m:num>
              <m:r>
                <m:t>3.6</m:t>
              </m:r>
            </m:num>
            <m:den>
              <m:sSub>
                <m:e>
                  <m:r>
                    <m:t>η</m:t>
                  </m:r>
                </m:e>
                <m:sub>
                  <m:r>
                    <m:t>f</m:t>
                  </m:r>
                  <m:r>
                    <m:t>o</m:t>
                  </m:r>
                  <m:r>
                    <m:t>s</m:t>
                  </m:r>
                  <m:r>
                    <m:t>s</m:t>
                  </m:r>
                  <m:r>
                    <m:t>i</m:t>
                  </m:r>
                  <m:r>
                    <m:t>l</m:t>
                  </m:r>
                </m:sub>
              </m:sSub>
            </m:den>
          </m:f>
          <m:r>
            <m:rPr>
              <m:sty m:val="p"/>
            </m:rPr>
            <m:t>(</m:t>
          </m:r>
          <m:r>
            <m:t>1</m:t>
          </m:r>
          <m:r>
            <m:rPr>
              <m:sty m:val="p"/>
            </m:rPr>
            <m:t>+</m:t>
          </m:r>
          <m:sSub>
            <m:e>
              <m:r>
                <m:t>u</m:t>
              </m:r>
            </m:e>
            <m:sub>
              <m:r>
                <m:t>f</m:t>
              </m:r>
            </m:sub>
          </m:sSub>
          <m:r>
            <m:rPr>
              <m:sty m:val="p"/>
            </m:rPr>
            <m:t>)</m:t>
          </m:r>
          <m:r>
            <m:t> </m:t>
          </m:r>
          <m:sSub>
            <m:e>
              <m:r>
                <m:t>k</m:t>
              </m:r>
            </m:e>
            <m:sub>
              <m:r>
                <m:t>E</m:t>
              </m:r>
              <m:r>
                <m:t>F</m:t>
              </m:r>
            </m:sub>
          </m:sSub>
          <m:r>
            <m:t>  </m:t>
          </m:r>
          <m:r>
            <m:rPr>
              <m:sty m:val="p"/>
            </m:rPr>
            <m:t>(</m:t>
          </m:r>
          <m:r>
            <m:t>12</m:t>
          </m:r>
          <m:r>
            <m:rPr>
              <m:sty m:val="p"/>
            </m:rPr>
            <m:t>)</m:t>
          </m:r>
        </m:oMath>
      </m:oMathPara>
    </w:p>
    <w:p>
      <w:pPr>
        <w:pStyle w:val="FirstParagraph"/>
        <w:jc w:val="both"/>
      </w:pPr>
      <w:r>
        <w:t xml:space="preserve">PEF is the primary fossil energy per kWh of grid electricity, scaled with the same multiplier k</w:t>
      </w:r>
      <w:r>
        <w:rPr>
          <w:vertAlign w:val="subscript"/>
        </w:rPr>
        <w:t xml:space="preserve">EF</w:t>
      </w:r>
      <w:r>
        <w:t xml:space="preserve"> </w:t>
      </w:r>
      <w:r>
        <w:t xml:space="preserve">as the grid emission factor so that a decarbonising grid lowers both. Diesel-type ancillary burdens a</w:t>
      </w:r>
      <w:r>
        <w:rPr>
          <w:vertAlign w:val="subscript"/>
        </w:rPr>
        <w:t xml:space="preserve">i</w:t>
      </w:r>
      <w:r>
        <w:t xml:space="preserve"> </w:t>
      </w:r>
      <w:r>
        <w:t xml:space="preserve">(kg CO</w:t>
      </w:r>
      <w:r>
        <w:rPr>
          <w:vertAlign w:val="subscript"/>
        </w:rPr>
        <w:t xml:space="preserve">2</w:t>
      </w:r>
      <w:r>
        <w:t xml:space="preserve">e) are converted with the IPCC diesel factor.</w:t>
      </w:r>
      <w:r>
        <w:t xml:space="preserve"> </w:t>
      </w:r>
      <w:r>
        <w:rPr>
          <w:b/>
          <w:bCs/>
        </w:rPr>
        <w:t xml:space="preserve">Land take</w:t>
      </w:r>
      <w:r>
        <w:t xml:space="preserve"> </w:t>
      </w:r>
      <w:r>
        <w:t xml:space="preserve">is the landfill area consumed permanently plus plant footprints over their lifetime, in m</w:t>
      </w:r>
      <w:r>
        <w:rPr>
          <w:vertAlign w:val="superscript"/>
        </w:rPr>
        <w:t xml:space="preserve">2</w:t>
      </w:r>
      <w:r>
        <w:t xml:space="preserve"> </w:t>
      </w:r>
      <w:r>
        <w:t xml:space="preserve">per tonne MSW:</w:t>
      </w:r>
    </w:p>
    <w:p>
      <w:pPr>
        <w:pStyle w:val="BodyText"/>
      </w:pPr>
      <m:oMathPara>
        <m:oMathParaPr>
          <m:jc m:val="center"/>
        </m:oMathParaPr>
        <m:oMath>
          <m:r>
            <m:t>L</m:t>
          </m:r>
          <m:sSub>
            <m:e>
              <m:r>
                <m:t>U</m:t>
              </m:r>
            </m:e>
            <m:sub>
              <m:r>
                <m:t>k</m:t>
              </m:r>
            </m:sub>
          </m:sSub>
          <m:r>
            <m:rPr>
              <m:sty m:val="p"/>
            </m:rPr>
            <m:t>=</m:t>
          </m:r>
          <m:d>
            <m:dPr>
              <m:begChr m:val="("/>
              <m:sepChr m:val=""/>
              <m:endChr m:val=")"/>
              <m:grow/>
            </m:dPr>
            <m:e>
              <m:f>
                <m:fPr>
                  <m:type m:val="bar"/>
                </m:fPr>
                <m:num>
                  <m:sSub>
                    <m:e>
                      <m:r>
                        <m:t>m</m:t>
                      </m:r>
                    </m:e>
                    <m:sub>
                      <m:r>
                        <m:t>L</m:t>
                      </m:r>
                      <m:r>
                        <m:t>F</m:t>
                      </m:r>
                    </m:sub>
                  </m:sSub>
                </m:num>
                <m:den>
                  <m:sSub>
                    <m:e>
                      <m:r>
                        <m:t>ρ</m:t>
                      </m:r>
                    </m:e>
                    <m:sub>
                      <m:r>
                        <m:t>S</m:t>
                      </m:r>
                      <m:r>
                        <m:t>L</m:t>
                      </m:r>
                    </m:sub>
                  </m:sSub>
                  <m:sSub>
                    <m:e>
                      <m:r>
                        <m:t>H</m:t>
                      </m:r>
                    </m:e>
                    <m:sub>
                      <m:r>
                        <m:t>S</m:t>
                      </m:r>
                      <m:r>
                        <m:t>L</m:t>
                      </m:r>
                    </m:sub>
                  </m:sSub>
                </m:den>
              </m:f>
              <m:r>
                <m:rPr>
                  <m:sty m:val="p"/>
                </m:rPr>
                <m:t>+</m:t>
              </m:r>
              <m:f>
                <m:fPr>
                  <m:type m:val="bar"/>
                </m:fPr>
                <m:num>
                  <m:sSub>
                    <m:e>
                      <m:r>
                        <m:t>m</m:t>
                      </m:r>
                    </m:e>
                    <m:sub>
                      <m:r>
                        <m:t>i</m:t>
                      </m:r>
                      <m:r>
                        <m:t>n</m:t>
                      </m:r>
                      <m:r>
                        <m:t>e</m:t>
                      </m:r>
                      <m:r>
                        <m:t>r</m:t>
                      </m:r>
                      <m:r>
                        <m:t>t</m:t>
                      </m:r>
                    </m:sub>
                  </m:sSub>
                </m:num>
                <m:den>
                  <m:sSub>
                    <m:e>
                      <m:r>
                        <m:t>ρ</m:t>
                      </m:r>
                    </m:e>
                    <m:sub>
                      <m:r>
                        <m:t>i</m:t>
                      </m:r>
                      <m:r>
                        <m:t>n</m:t>
                      </m:r>
                      <m:r>
                        <m:t>e</m:t>
                      </m:r>
                      <m:r>
                        <m:t>r</m:t>
                      </m:r>
                      <m:r>
                        <m:t>t</m:t>
                      </m:r>
                    </m:sub>
                  </m:sSub>
                  <m:sSub>
                    <m:e>
                      <m:r>
                        <m:t>H</m:t>
                      </m:r>
                    </m:e>
                    <m:sub>
                      <m:r>
                        <m:t>S</m:t>
                      </m:r>
                      <m:r>
                        <m:t>L</m:t>
                      </m:r>
                    </m:sub>
                  </m:sSub>
                </m:den>
              </m:f>
            </m:e>
          </m:d>
          <m:sSub>
            <m:e>
              <m:r>
                <m:t>f</m:t>
              </m:r>
            </m:e>
            <m:sub>
              <m:r>
                <m:t>g</m:t>
              </m:r>
              <m:r>
                <m:t>r</m:t>
              </m:r>
              <m:r>
                <m:t>o</m:t>
              </m:r>
              <m:r>
                <m:t>s</m:t>
              </m:r>
              <m:r>
                <m:t>s</m:t>
              </m:r>
            </m:sub>
          </m:sSub>
          <m:r>
            <m:rPr>
              <m:sty m:val="p"/>
            </m:rPr>
            <m:t>+</m:t>
          </m:r>
          <m:nary>
            <m:naryPr>
              <m:chr m:val="∑"/>
              <m:limLoc m:val="undOvr"/>
              <m:subHide m:val="off"/>
              <m:supHide m:val="on"/>
            </m:naryPr>
            <m:sub>
              <m:r>
                <m:t>u</m:t>
              </m:r>
            </m:sub>
            <m:sup>
              <m:r>
                <m:t>​</m:t>
              </m:r>
            </m:sup>
            <m:e>
              <m:f>
                <m:fPr>
                  <m:type m:val="bar"/>
                </m:fPr>
                <m:num>
                  <m:r>
                    <m:t>f</m:t>
                  </m:r>
                  <m:sSub>
                    <m:e>
                      <m:r>
                        <m:t>p</m:t>
                      </m:r>
                    </m:e>
                    <m:sub>
                      <m:r>
                        <m:t>u</m:t>
                      </m:r>
                    </m:sub>
                  </m:sSub>
                  <m:r>
                    <m:t> </m:t>
                  </m:r>
                  <m:sSub>
                    <m:e>
                      <m:r>
                        <m:t>m</m:t>
                      </m:r>
                    </m:e>
                    <m:sub>
                      <m:r>
                        <m:t>u</m:t>
                      </m:r>
                    </m:sub>
                  </m:sSub>
                </m:num>
                <m:den>
                  <m:r>
                    <m:t>0.85</m:t>
                  </m:r>
                  <m:r>
                    <m:rPr>
                      <m:sty m:val="p"/>
                    </m:rPr>
                    <m:t>⋅</m:t>
                  </m:r>
                  <m:r>
                    <m:t>365</m:t>
                  </m:r>
                  <m:r>
                    <m:t> </m:t>
                  </m:r>
                  <m:r>
                    <m:t>n</m:t>
                  </m:r>
                </m:den>
              </m:f>
            </m:e>
          </m:nary>
          <m:r>
            <m:rPr>
              <m:sty m:val="p"/>
            </m:rPr>
            <m:t>,</m:t>
          </m:r>
          <m:r>
            <m:t>  </m:t>
          </m:r>
          <m:r>
            <m:t>L</m:t>
          </m:r>
          <m:sSub>
            <m:e>
              <m:r>
                <m:t>U</m:t>
              </m:r>
            </m:e>
            <m:sub>
              <m:r>
                <m:t>O</m:t>
              </m:r>
              <m:r>
                <m:t>D</m:t>
              </m:r>
            </m:sub>
          </m:sSub>
          <m:r>
            <m:rPr>
              <m:sty m:val="p"/>
            </m:rPr>
            <m:t>=</m:t>
          </m:r>
          <m:f>
            <m:fPr>
              <m:type m:val="bar"/>
            </m:fPr>
            <m:num>
              <m:r>
                <m:t>m</m:t>
              </m:r>
            </m:num>
            <m:den>
              <m:sSub>
                <m:e>
                  <m:r>
                    <m:t>ρ</m:t>
                  </m:r>
                </m:e>
                <m:sub>
                  <m:r>
                    <m:t>O</m:t>
                  </m:r>
                  <m:r>
                    <m:t>D</m:t>
                  </m:r>
                </m:sub>
              </m:sSub>
              <m:sSub>
                <m:e>
                  <m:r>
                    <m:t>H</m:t>
                  </m:r>
                </m:e>
                <m:sub>
                  <m:r>
                    <m:t>O</m:t>
                  </m:r>
                  <m:r>
                    <m:t>D</m:t>
                  </m:r>
                </m:sub>
              </m:sSub>
            </m:den>
          </m:f>
          <m:r>
            <m:t>  </m:t>
          </m:r>
          <m:r>
            <m:rPr>
              <m:sty m:val="p"/>
            </m:rPr>
            <m:t>(</m:t>
          </m:r>
          <m:r>
            <m:t>13</m:t>
          </m:r>
          <m:r>
            <m:rPr>
              <m:sty m:val="p"/>
            </m:rPr>
            <m:t>)</m:t>
          </m:r>
        </m:oMath>
      </m:oMathPara>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779"/>
        <w:gridCol w:w="2596"/>
        <w:gridCol w:w="1038"/>
        <w:gridCol w:w="649"/>
        <w:gridCol w:w="2466"/>
        <w:gridCol w:w="389"/>
      </w:tblGrid>
      <w:tr>
        <w:trPr>
          <w:tblHeader w:val="on"/>
        </w:trPr>
        <w:tc>
          <w:tcPr>
            <w:shd w:val="clear" w:color="auto" w:fill="DCE6F0"/>
          </w:tcPr>
          <w:p>
            <w:pPr>
              <w:pStyle w:val="Compact"/>
              <w:spacing w:after="0" w:before="0"/>
            </w:pPr>
            <w:r>
              <w:rPr>
                <w:b/>
                <w:sz w:val="16"/>
              </w:rPr>
              <w:t xml:space="preserve">Key</w:t>
            </w:r>
          </w:p>
        </w:tc>
        <w:tc>
          <w:tcPr>
            <w:shd w:val="clear" w:color="auto" w:fill="DCE6F0"/>
          </w:tcPr>
          <w:p>
            <w:pPr>
              <w:pStyle w:val="Compact"/>
              <w:spacing w:after="0" w:before="0"/>
            </w:pPr>
            <w:r>
              <w:rPr>
                <w:b/>
                <w:sz w:val="16"/>
              </w:rPr>
              <w:t xml:space="preserve">Meaning</w:t>
            </w:r>
          </w:p>
        </w:tc>
        <w:tc>
          <w:tcPr>
            <w:shd w:val="clear" w:color="auto" w:fill="DCE6F0"/>
          </w:tcPr>
          <w:p>
            <w:pPr>
              <w:pStyle w:val="Compact"/>
              <w:spacing w:after="0" w:before="0"/>
            </w:pPr>
            <w:r>
              <w:rPr>
                <w:b/>
                <w:sz w:val="16"/>
              </w:rPr>
              <w:t xml:space="preserve">Central (range)</w:t>
            </w:r>
          </w:p>
        </w:tc>
        <w:tc>
          <w:tcPr>
            <w:shd w:val="clear" w:color="auto" w:fill="DCE6F0"/>
          </w:tcPr>
          <w:p>
            <w:pPr>
              <w:pStyle w:val="Compact"/>
              <w:spacing w:after="0" w:before="0"/>
            </w:pPr>
            <w:r>
              <w:rPr>
                <w:b/>
                <w:sz w:val="16"/>
              </w:rPr>
              <w:t xml:space="preserve">Unit</w:t>
            </w:r>
          </w:p>
        </w:tc>
        <w:tc>
          <w:tcPr>
            <w:shd w:val="clear" w:color="auto" w:fill="DCE6F0"/>
          </w:tcPr>
          <w:p>
            <w:pPr>
              <w:pStyle w:val="Compact"/>
              <w:spacing w:after="0" w:before="0"/>
            </w:pPr>
            <w:r>
              <w:rPr>
                <w:b/>
                <w:sz w:val="16"/>
              </w:rPr>
              <w:t xml:space="preserve">Source</w:t>
            </w:r>
          </w:p>
        </w:tc>
        <w:tc>
          <w:tcPr>
            <w:shd w:val="clear" w:color="auto" w:fill="DCE6F0"/>
          </w:tcPr>
          <w:p>
            <w:pPr>
              <w:pStyle w:val="Compact"/>
              <w:spacing w:after="0" w:before="0"/>
            </w:pPr>
            <w:r>
              <w:rPr>
                <w:b/>
                <w:sz w:val="16"/>
              </w:rPr>
              <w:t xml:space="preserve">St.</w:t>
            </w:r>
          </w:p>
        </w:tc>
      </w:tr>
      <w:tr>
        <w:tc>
          <w:tcPr/>
          <w:p>
            <w:pPr>
              <w:pStyle w:val="Compact"/>
              <w:spacing w:after="0" w:before="0"/>
            </w:pPr>
            <w:r>
              <w:rPr>
                <w:sz w:val="16"/>
              </w:rPr>
              <w:t xml:space="preserve">pef_eta</w:t>
            </w:r>
          </w:p>
        </w:tc>
        <w:tc>
          <w:tcPr/>
          <w:p>
            <w:pPr>
              <w:pStyle w:val="Compact"/>
              <w:spacing w:after="0" w:before="0"/>
            </w:pPr>
            <w:r>
              <w:rPr>
                <w:sz w:val="16"/>
              </w:rPr>
              <w:t xml:space="preserve">Net thermal efficiency of the fossil generation displaced or consumed (primary energy = 3.6 / eta MJ per kWh)</w:t>
            </w:r>
          </w:p>
        </w:tc>
        <w:tc>
          <w:tcPr/>
          <w:p>
            <w:pPr>
              <w:pStyle w:val="Compact"/>
              <w:spacing w:after="0" w:before="0"/>
            </w:pPr>
            <w:r>
              <w:rPr>
                <w:sz w:val="16"/>
              </w:rPr>
              <w:t xml:space="preserve">0.32 (0.28 to 0.36)</w:t>
            </w:r>
          </w:p>
        </w:tc>
        <w:tc>
          <w:tcPr/>
          <w:p>
            <w:pPr>
              <w:pStyle w:val="Compact"/>
              <w:spacing w:after="0" w:before="0"/>
            </w:pPr>
            <w:r>
              <w:rPr>
                <w:sz w:val="16"/>
              </w:rPr>
              <w:t xml:space="preserve">-</w:t>
            </w:r>
          </w:p>
        </w:tc>
        <w:tc>
          <w:tcPr/>
          <w:p>
            <w:pPr>
              <w:pStyle w:val="Compact"/>
              <w:spacing w:after="0" w:before="0"/>
            </w:pPr>
            <w:r>
              <w:rPr>
                <w:sz w:val="16"/>
              </w:rPr>
              <w:t xml:space="preserve">PT PLN Indonesia Power fleet thermal efficiency 32.09% in 2022 (annual report, seen as a search-result quotation only); Indramayu CFPP net heat rate about 2,460 kcal/kWh (= 35%) at full load</w:t>
            </w:r>
          </w:p>
        </w:tc>
        <w:tc>
          <w:tcPr/>
          <w:p>
            <w:pPr>
              <w:pStyle w:val="Compact"/>
              <w:spacing w:after="0" w:before="0"/>
            </w:pPr>
            <w:r>
              <w:rPr>
                <w:sz w:val="16"/>
              </w:rPr>
              <w:t xml:space="preserve">L</w:t>
            </w:r>
          </w:p>
        </w:tc>
      </w:tr>
      <w:tr>
        <w:tc>
          <w:tcPr/>
          <w:p>
            <w:pPr>
              <w:pStyle w:val="Compact"/>
              <w:spacing w:after="0" w:before="0"/>
            </w:pPr>
            <w:r>
              <w:rPr>
                <w:sz w:val="16"/>
              </w:rPr>
              <w:t xml:space="preserve">up_fuel</w:t>
            </w:r>
          </w:p>
        </w:tc>
        <w:tc>
          <w:tcPr/>
          <w:p>
            <w:pPr>
              <w:pStyle w:val="Compact"/>
              <w:spacing w:after="0" w:before="0"/>
            </w:pPr>
            <w:r>
              <w:rPr>
                <w:sz w:val="16"/>
              </w:rPr>
              <w:t xml:space="preserve">Upstream supply energy of power-plant fuel (mining, processing, transport) as a share of fuel energy</w:t>
            </w:r>
          </w:p>
        </w:tc>
        <w:tc>
          <w:tcPr/>
          <w:p>
            <w:pPr>
              <w:pStyle w:val="Compact"/>
              <w:spacing w:after="0" w:before="0"/>
            </w:pPr>
            <w:r>
              <w:rPr>
                <w:sz w:val="16"/>
              </w:rPr>
              <w:t xml:space="preserve">0.08 (0.03 to 0.15)</w:t>
            </w:r>
          </w:p>
        </w:tc>
        <w:tc>
          <w:tcPr/>
          <w:p>
            <w:pPr>
              <w:pStyle w:val="Compact"/>
              <w:spacing w:after="0" w:before="0"/>
            </w:pPr>
            <w:r>
              <w:rPr>
                <w:sz w:val="16"/>
              </w:rPr>
              <w:t xml:space="preserve">-</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ef_diesel</w:t>
            </w:r>
          </w:p>
        </w:tc>
        <w:tc>
          <w:tcPr/>
          <w:p>
            <w:pPr>
              <w:pStyle w:val="Compact"/>
              <w:spacing w:after="0" w:before="0"/>
            </w:pPr>
            <w:r>
              <w:rPr>
                <w:sz w:val="16"/>
              </w:rPr>
              <w:t xml:space="preserve">Converts diesel-type ancillary burdens (kg CO2e) to diesel energy; the ancillary terms also contain materials, so this is an approximation</w:t>
            </w:r>
          </w:p>
        </w:tc>
        <w:tc>
          <w:tcPr/>
          <w:p>
            <w:pPr>
              <w:pStyle w:val="Compact"/>
              <w:spacing w:after="0" w:before="0"/>
            </w:pPr>
            <w:r>
              <w:rPr>
                <w:sz w:val="16"/>
              </w:rPr>
              <w:t xml:space="preserve">0.0741</w:t>
            </w:r>
          </w:p>
        </w:tc>
        <w:tc>
          <w:tcPr/>
          <w:p>
            <w:pPr>
              <w:pStyle w:val="Compact"/>
              <w:spacing w:after="0" w:before="0"/>
            </w:pPr>
            <w:r>
              <w:rPr>
                <w:sz w:val="16"/>
              </w:rPr>
              <w:t xml:space="preserve">kg CO2/MJ</w:t>
            </w:r>
          </w:p>
        </w:tc>
        <w:tc>
          <w:tcPr/>
          <w:p>
            <w:pPr>
              <w:pStyle w:val="Compact"/>
              <w:spacing w:after="0" w:before="0"/>
            </w:pPr>
            <w:r>
              <w:rPr>
                <w:sz w:val="16"/>
              </w:rPr>
              <w:t xml:space="preserve">IPCC 2006 Vol. 2 Ch. 1 Table 1.4 (gas/diesel oil 74,100 kg CO2/TJ)</w:t>
            </w:r>
          </w:p>
        </w:tc>
        <w:tc>
          <w:tcPr/>
          <w:p>
            <w:pPr>
              <w:pStyle w:val="Compact"/>
              <w:spacing w:after="0" w:before="0"/>
            </w:pPr>
            <w:r>
              <w:rPr>
                <w:sz w:val="16"/>
              </w:rPr>
              <w:t xml:space="preserve">L</w:t>
            </w:r>
          </w:p>
        </w:tc>
      </w:tr>
      <w:tr>
        <w:tc>
          <w:tcPr/>
          <w:p>
            <w:pPr>
              <w:pStyle w:val="Compact"/>
              <w:spacing w:after="0" w:before="0"/>
            </w:pPr>
            <w:r>
              <w:rPr>
                <w:sz w:val="16"/>
              </w:rPr>
              <w:t xml:space="preserve">up_diesel</w:t>
            </w:r>
          </w:p>
        </w:tc>
        <w:tc>
          <w:tcPr/>
          <w:p>
            <w:pPr>
              <w:pStyle w:val="Compact"/>
              <w:spacing w:after="0" w:before="0"/>
            </w:pPr>
            <w:r>
              <w:rPr>
                <w:sz w:val="16"/>
              </w:rPr>
              <w:t xml:space="preserve">Upstream (refinery, crude supply) energy of diesel as a share of its energy</w:t>
            </w:r>
          </w:p>
        </w:tc>
        <w:tc>
          <w:tcPr/>
          <w:p>
            <w:pPr>
              <w:pStyle w:val="Compact"/>
              <w:spacing w:after="0" w:before="0"/>
            </w:pPr>
            <w:r>
              <w:rPr>
                <w:sz w:val="16"/>
              </w:rPr>
              <w:t xml:space="preserve">0.15 (0.1 to 0.25)</w:t>
            </w:r>
          </w:p>
        </w:tc>
        <w:tc>
          <w:tcPr/>
          <w:p>
            <w:pPr>
              <w:pStyle w:val="Compact"/>
              <w:spacing w:after="0" w:before="0"/>
            </w:pPr>
            <w:r>
              <w:rPr>
                <w:sz w:val="16"/>
              </w:rPr>
              <w:t xml:space="preserve">-</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up_coal</w:t>
            </w:r>
          </w:p>
        </w:tc>
        <w:tc>
          <w:tcPr/>
          <w:p>
            <w:pPr>
              <w:pStyle w:val="Compact"/>
              <w:spacing w:after="0" w:before="0"/>
            </w:pPr>
            <w:r>
              <w:rPr>
                <w:sz w:val="16"/>
              </w:rPr>
              <w:t xml:space="preserve">Upstream (mining, transport) energy of the kiln coal displaced by RDF</w:t>
            </w:r>
          </w:p>
        </w:tc>
        <w:tc>
          <w:tcPr/>
          <w:p>
            <w:pPr>
              <w:pStyle w:val="Compact"/>
              <w:spacing w:after="0" w:before="0"/>
            </w:pPr>
            <w:r>
              <w:rPr>
                <w:sz w:val="16"/>
              </w:rPr>
              <w:t xml:space="preserve">0.05 (0.02 to 0.1)</w:t>
            </w:r>
          </w:p>
        </w:tc>
        <w:tc>
          <w:tcPr/>
          <w:p>
            <w:pPr>
              <w:pStyle w:val="Compact"/>
              <w:spacing w:after="0" w:before="0"/>
            </w:pPr>
            <w:r>
              <w:rPr>
                <w:sz w:val="16"/>
              </w:rPr>
              <w:t xml:space="preserve">-</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ef_natgas</w:t>
            </w:r>
          </w:p>
        </w:tc>
        <w:tc>
          <w:tcPr/>
          <w:p>
            <w:pPr>
              <w:pStyle w:val="Compact"/>
              <w:spacing w:after="0" w:before="0"/>
            </w:pPr>
            <w:r>
              <w:rPr>
                <w:sz w:val="16"/>
              </w:rPr>
              <w:t xml:space="preserve">Converts the PHB nutrient/chemical burden (kg CO2e) to fossil MJ as if natural-gas based (proxy)</w:t>
            </w:r>
          </w:p>
        </w:tc>
        <w:tc>
          <w:tcPr/>
          <w:p>
            <w:pPr>
              <w:pStyle w:val="Compact"/>
              <w:spacing w:after="0" w:before="0"/>
            </w:pPr>
            <w:r>
              <w:rPr>
                <w:sz w:val="16"/>
              </w:rPr>
              <w:t xml:space="preserve">0.0561</w:t>
            </w:r>
          </w:p>
        </w:tc>
        <w:tc>
          <w:tcPr/>
          <w:p>
            <w:pPr>
              <w:pStyle w:val="Compact"/>
              <w:spacing w:after="0" w:before="0"/>
            </w:pPr>
            <w:r>
              <w:rPr>
                <w:sz w:val="16"/>
              </w:rPr>
              <w:t xml:space="preserve">kg CO2/MJ</w:t>
            </w:r>
          </w:p>
        </w:tc>
        <w:tc>
          <w:tcPr/>
          <w:p>
            <w:pPr>
              <w:pStyle w:val="Compact"/>
              <w:spacing w:after="0" w:before="0"/>
            </w:pPr>
            <w:r>
              <w:rPr>
                <w:sz w:val="16"/>
              </w:rPr>
              <w:t xml:space="preserve">IPCC 2006 Vol. 2 Ch. 1 Table 1.4 (natural gas 56,100 kg CO2/TJ); use as proxy is an assumption</w:t>
            </w:r>
          </w:p>
        </w:tc>
        <w:tc>
          <w:tcPr/>
          <w:p>
            <w:pPr>
              <w:pStyle w:val="Compact"/>
              <w:spacing w:after="0" w:before="0"/>
            </w:pPr>
            <w:r>
              <w:rPr>
                <w:sz w:val="16"/>
              </w:rPr>
              <w:t xml:space="preserve">A</w:t>
            </w:r>
          </w:p>
        </w:tc>
      </w:tr>
      <w:tr>
        <w:tc>
          <w:tcPr/>
          <w:p>
            <w:pPr>
              <w:pStyle w:val="Compact"/>
              <w:spacing w:after="0" w:before="0"/>
            </w:pPr>
            <w:r>
              <w:rPr>
                <w:sz w:val="16"/>
              </w:rPr>
              <w:t xml:space="preserve">ced_pp</w:t>
            </w:r>
          </w:p>
        </w:tc>
        <w:tc>
          <w:tcPr/>
          <w:p>
            <w:pPr>
              <w:pStyle w:val="Compact"/>
              <w:spacing w:after="0" w:before="0"/>
            </w:pPr>
            <w:r>
              <w:rPr>
                <w:sz w:val="16"/>
              </w:rPr>
              <w:t xml:space="preserve">Cradle-to-gate fossil CED of displaced polypropylene incl. feedstock energy</w:t>
            </w:r>
          </w:p>
        </w:tc>
        <w:tc>
          <w:tcPr/>
          <w:p>
            <w:pPr>
              <w:pStyle w:val="Compact"/>
              <w:spacing w:after="0" w:before="0"/>
            </w:pPr>
            <w:r>
              <w:rPr>
                <w:sz w:val="16"/>
              </w:rPr>
              <w:t xml:space="preserve">75 (65 to 85)</w:t>
            </w:r>
          </w:p>
        </w:tc>
        <w:tc>
          <w:tcPr/>
          <w:p>
            <w:pPr>
              <w:pStyle w:val="Compact"/>
              <w:spacing w:after="0" w:before="0"/>
            </w:pPr>
            <w:r>
              <w:rPr>
                <w:sz w:val="16"/>
              </w:rPr>
              <w:t xml:space="preserve">MJ/kg</w:t>
            </w:r>
          </w:p>
        </w:tc>
        <w:tc>
          <w:tcPr/>
          <w:p>
            <w:pPr>
              <w:pStyle w:val="Compact"/>
              <w:spacing w:after="0" w:before="0"/>
            </w:pPr>
            <w:r>
              <w:rPr>
                <w:sz w:val="16"/>
              </w:rPr>
              <w:t xml:space="preserve">Order of magnitude of PlasticsEurope PP eco-profile; value not verified in this session</w:t>
            </w:r>
          </w:p>
        </w:tc>
        <w:tc>
          <w:tcPr/>
          <w:p>
            <w:pPr>
              <w:pStyle w:val="Compact"/>
              <w:spacing w:after="0" w:before="0"/>
            </w:pPr>
            <w:r>
              <w:rPr>
                <w:sz w:val="16"/>
              </w:rPr>
              <w:t xml:space="preserve">L</w:t>
            </w:r>
          </w:p>
        </w:tc>
      </w:tr>
      <w:tr>
        <w:tc>
          <w:tcPr/>
          <w:p>
            <w:pPr>
              <w:pStyle w:val="Compact"/>
              <w:spacing w:after="0" w:before="0"/>
            </w:pPr>
            <w:r>
              <w:rPr>
                <w:sz w:val="16"/>
              </w:rPr>
              <w:t xml:space="preserve">rho_sl</w:t>
            </w:r>
          </w:p>
        </w:tc>
        <w:tc>
          <w:tcPr/>
          <w:p>
            <w:pPr>
              <w:pStyle w:val="Compact"/>
              <w:spacing w:after="0" w:before="0"/>
            </w:pPr>
            <w:r>
              <w:rPr>
                <w:sz w:val="16"/>
              </w:rPr>
              <w:t xml:space="preserve">In-place density of compacted MSW in a sanitary landfill</w:t>
            </w:r>
          </w:p>
        </w:tc>
        <w:tc>
          <w:tcPr/>
          <w:p>
            <w:pPr>
              <w:pStyle w:val="Compact"/>
              <w:spacing w:after="0" w:before="0"/>
            </w:pPr>
            <w:r>
              <w:rPr>
                <w:sz w:val="16"/>
              </w:rPr>
              <w:t xml:space="preserve">0.8 (0.6 to 1)</w:t>
            </w:r>
          </w:p>
        </w:tc>
        <w:tc>
          <w:tcPr/>
          <w:p>
            <w:pPr>
              <w:pStyle w:val="Compact"/>
              <w:spacing w:after="0" w:before="0"/>
            </w:pPr>
            <w:r>
              <w:rPr>
                <w:sz w:val="16"/>
              </w:rPr>
              <w:t xml:space="preserve">t/m3</w:t>
            </w:r>
          </w:p>
        </w:tc>
        <w:tc>
          <w:tcPr/>
          <w:p>
            <w:pPr>
              <w:pStyle w:val="Compact"/>
              <w:spacing w:after="0" w:before="0"/>
            </w:pPr>
            <w:r>
              <w:rPr>
                <w:sz w:val="16"/>
              </w:rPr>
              <w:t xml:space="preserve">Engineering range (analyst)</w:t>
            </w:r>
          </w:p>
        </w:tc>
        <w:tc>
          <w:tcPr/>
          <w:p>
            <w:pPr>
              <w:pStyle w:val="Compact"/>
              <w:spacing w:after="0" w:before="0"/>
            </w:pPr>
            <w:r>
              <w:rPr>
                <w:sz w:val="16"/>
              </w:rPr>
              <w:t xml:space="preserve">A</w:t>
            </w:r>
          </w:p>
        </w:tc>
      </w:tr>
      <w:tr>
        <w:tc>
          <w:tcPr/>
          <w:p>
            <w:pPr>
              <w:pStyle w:val="Compact"/>
              <w:spacing w:after="0" w:before="0"/>
            </w:pPr>
            <w:r>
              <w:rPr>
                <w:sz w:val="16"/>
              </w:rPr>
              <w:t xml:space="preserve">h_sl</w:t>
            </w:r>
          </w:p>
        </w:tc>
        <w:tc>
          <w:tcPr/>
          <w:p>
            <w:pPr>
              <w:pStyle w:val="Compact"/>
              <w:spacing w:after="0" w:before="0"/>
            </w:pPr>
            <w:r>
              <w:rPr>
                <w:sz w:val="16"/>
              </w:rPr>
              <w:t xml:space="preserve">Effective fill height of a sanitary landfill</w:t>
            </w:r>
          </w:p>
        </w:tc>
        <w:tc>
          <w:tcPr/>
          <w:p>
            <w:pPr>
              <w:pStyle w:val="Compact"/>
              <w:spacing w:after="0" w:before="0"/>
            </w:pPr>
            <w:r>
              <w:rPr>
                <w:sz w:val="16"/>
              </w:rPr>
              <w:t xml:space="preserve">20 (10 to 30)</w:t>
            </w:r>
          </w:p>
        </w:tc>
        <w:tc>
          <w:tcPr/>
          <w:p>
            <w:pPr>
              <w:pStyle w:val="Compact"/>
              <w:spacing w:after="0" w:before="0"/>
            </w:pPr>
            <w:r>
              <w:rPr>
                <w:sz w:val="16"/>
              </w:rPr>
              <w:t xml:space="preserve">m</w:t>
            </w:r>
          </w:p>
        </w:tc>
        <w:tc>
          <w:tcPr/>
          <w:p>
            <w:pPr>
              <w:pStyle w:val="Compact"/>
              <w:spacing w:after="0" w:before="0"/>
            </w:pPr>
            <w:r>
              <w:rPr>
                <w:sz w:val="16"/>
              </w:rPr>
              <w:t xml:space="preserve">Engineering range (analyst)</w:t>
            </w:r>
          </w:p>
        </w:tc>
        <w:tc>
          <w:tcPr/>
          <w:p>
            <w:pPr>
              <w:pStyle w:val="Compact"/>
              <w:spacing w:after="0" w:before="0"/>
            </w:pPr>
            <w:r>
              <w:rPr>
                <w:sz w:val="16"/>
              </w:rPr>
              <w:t xml:space="preserve">A</w:t>
            </w:r>
          </w:p>
        </w:tc>
      </w:tr>
      <w:tr>
        <w:tc>
          <w:tcPr/>
          <w:p>
            <w:pPr>
              <w:pStyle w:val="Compact"/>
              <w:spacing w:after="0" w:before="0"/>
            </w:pPr>
            <w:r>
              <w:rPr>
                <w:sz w:val="16"/>
              </w:rPr>
              <w:t xml:space="preserve">f_gross_sl</w:t>
            </w:r>
          </w:p>
        </w:tc>
        <w:tc>
          <w:tcPr/>
          <w:p>
            <w:pPr>
              <w:pStyle w:val="Compact"/>
              <w:spacing w:after="0" w:before="0"/>
            </w:pPr>
            <w:r>
              <w:rPr>
                <w:sz w:val="16"/>
              </w:rPr>
              <w:t xml:space="preserve">Gross site area / fill area (roads, leachate ponds, buffer)</w:t>
            </w:r>
          </w:p>
        </w:tc>
        <w:tc>
          <w:tcPr/>
          <w:p>
            <w:pPr>
              <w:pStyle w:val="Compact"/>
              <w:spacing w:after="0" w:before="0"/>
            </w:pPr>
            <w:r>
              <w:rPr>
                <w:sz w:val="16"/>
              </w:rPr>
              <w:t xml:space="preserve">1.3 (1.1 to 1.5)</w:t>
            </w:r>
          </w:p>
        </w:tc>
        <w:tc>
          <w:tcPr/>
          <w:p>
            <w:pPr>
              <w:pStyle w:val="Compact"/>
              <w:spacing w:after="0" w:before="0"/>
            </w:pPr>
            <w:r>
              <w:rPr>
                <w:sz w:val="16"/>
              </w:rPr>
              <w:t xml:space="preserve">-</w:t>
            </w:r>
          </w:p>
        </w:tc>
        <w:tc>
          <w:tcPr/>
          <w:p>
            <w:pPr>
              <w:pStyle w:val="Compact"/>
              <w:spacing w:after="0" w:before="0"/>
            </w:pPr>
            <w:r>
              <w:rPr>
                <w:sz w:val="16"/>
              </w:rPr>
              <w:t xml:space="preserve">Engineering range (analyst)</w:t>
            </w:r>
          </w:p>
        </w:tc>
        <w:tc>
          <w:tcPr/>
          <w:p>
            <w:pPr>
              <w:pStyle w:val="Compact"/>
              <w:spacing w:after="0" w:before="0"/>
            </w:pPr>
            <w:r>
              <w:rPr>
                <w:sz w:val="16"/>
              </w:rPr>
              <w:t xml:space="preserve">A</w:t>
            </w:r>
          </w:p>
        </w:tc>
      </w:tr>
      <w:tr>
        <w:tc>
          <w:tcPr/>
          <w:p>
            <w:pPr>
              <w:pStyle w:val="Compact"/>
              <w:spacing w:after="0" w:before="0"/>
            </w:pPr>
            <w:r>
              <w:rPr>
                <w:sz w:val="16"/>
              </w:rPr>
              <w:t xml:space="preserve">rho_inert</w:t>
            </w:r>
          </w:p>
        </w:tc>
        <w:tc>
          <w:tcPr/>
          <w:p>
            <w:pPr>
              <w:pStyle w:val="Compact"/>
              <w:spacing w:after="0" w:before="0"/>
            </w:pPr>
            <w:r>
              <w:rPr>
                <w:sz w:val="16"/>
              </w:rPr>
              <w:t xml:space="preserve">In-place density of ash, digestate cake and other inert residues</w:t>
            </w:r>
          </w:p>
        </w:tc>
        <w:tc>
          <w:tcPr/>
          <w:p>
            <w:pPr>
              <w:pStyle w:val="Compact"/>
              <w:spacing w:after="0" w:before="0"/>
            </w:pPr>
            <w:r>
              <w:rPr>
                <w:sz w:val="16"/>
              </w:rPr>
              <w:t xml:space="preserve">1.3 (1 to 1.6)</w:t>
            </w:r>
          </w:p>
        </w:tc>
        <w:tc>
          <w:tcPr/>
          <w:p>
            <w:pPr>
              <w:pStyle w:val="Compact"/>
              <w:spacing w:after="0" w:before="0"/>
            </w:pPr>
            <w:r>
              <w:rPr>
                <w:sz w:val="16"/>
              </w:rPr>
              <w:t xml:space="preserve">t/m3</w:t>
            </w:r>
          </w:p>
        </w:tc>
        <w:tc>
          <w:tcPr/>
          <w:p>
            <w:pPr>
              <w:pStyle w:val="Compact"/>
              <w:spacing w:after="0" w:before="0"/>
            </w:pPr>
            <w:r>
              <w:rPr>
                <w:sz w:val="16"/>
              </w:rPr>
              <w:t xml:space="preserve">Engineering range (analyst)</w:t>
            </w:r>
          </w:p>
        </w:tc>
        <w:tc>
          <w:tcPr/>
          <w:p>
            <w:pPr>
              <w:pStyle w:val="Compact"/>
              <w:spacing w:after="0" w:before="0"/>
            </w:pPr>
            <w:r>
              <w:rPr>
                <w:sz w:val="16"/>
              </w:rPr>
              <w:t xml:space="preserve">A</w:t>
            </w:r>
          </w:p>
        </w:tc>
      </w:tr>
      <w:tr>
        <w:tc>
          <w:tcPr/>
          <w:p>
            <w:pPr>
              <w:pStyle w:val="Compact"/>
              <w:spacing w:after="0" w:before="0"/>
            </w:pPr>
            <w:r>
              <w:rPr>
                <w:sz w:val="16"/>
              </w:rPr>
              <w:t xml:space="preserve">rho_od</w:t>
            </w:r>
          </w:p>
        </w:tc>
        <w:tc>
          <w:tcPr/>
          <w:p>
            <w:pPr>
              <w:pStyle w:val="Compact"/>
              <w:spacing w:after="0" w:before="0"/>
            </w:pPr>
            <w:r>
              <w:rPr>
                <w:sz w:val="16"/>
              </w:rPr>
              <w:t xml:space="preserve">Density of uncompacted waste in an open dump</w:t>
            </w:r>
          </w:p>
        </w:tc>
        <w:tc>
          <w:tcPr/>
          <w:p>
            <w:pPr>
              <w:pStyle w:val="Compact"/>
              <w:spacing w:after="0" w:before="0"/>
            </w:pPr>
            <w:r>
              <w:rPr>
                <w:sz w:val="16"/>
              </w:rPr>
              <w:t xml:space="preserve">0.5 (0.35 to 0.7)</w:t>
            </w:r>
          </w:p>
        </w:tc>
        <w:tc>
          <w:tcPr/>
          <w:p>
            <w:pPr>
              <w:pStyle w:val="Compact"/>
              <w:spacing w:after="0" w:before="0"/>
            </w:pPr>
            <w:r>
              <w:rPr>
                <w:sz w:val="16"/>
              </w:rPr>
              <w:t xml:space="preserve">t/m3</w:t>
            </w:r>
          </w:p>
        </w:tc>
        <w:tc>
          <w:tcPr/>
          <w:p>
            <w:pPr>
              <w:pStyle w:val="Compact"/>
              <w:spacing w:after="0" w:before="0"/>
            </w:pPr>
            <w:r>
              <w:rPr>
                <w:sz w:val="16"/>
              </w:rPr>
              <w:t xml:space="preserve">Engineering range (analyst)</w:t>
            </w:r>
          </w:p>
        </w:tc>
        <w:tc>
          <w:tcPr/>
          <w:p>
            <w:pPr>
              <w:pStyle w:val="Compact"/>
              <w:spacing w:after="0" w:before="0"/>
            </w:pPr>
            <w:r>
              <w:rPr>
                <w:sz w:val="16"/>
              </w:rPr>
              <w:t xml:space="preserve">A</w:t>
            </w:r>
          </w:p>
        </w:tc>
      </w:tr>
      <w:tr>
        <w:tc>
          <w:tcPr/>
          <w:p>
            <w:pPr>
              <w:pStyle w:val="Compact"/>
              <w:spacing w:after="0" w:before="0"/>
            </w:pPr>
            <w:r>
              <w:rPr>
                <w:sz w:val="16"/>
              </w:rPr>
              <w:t xml:space="preserve">h_od</w:t>
            </w:r>
          </w:p>
        </w:tc>
        <w:tc>
          <w:tcPr/>
          <w:p>
            <w:pPr>
              <w:pStyle w:val="Compact"/>
              <w:spacing w:after="0" w:before="0"/>
            </w:pPr>
            <w:r>
              <w:rPr>
                <w:sz w:val="16"/>
              </w:rPr>
              <w:t xml:space="preserve">Average heap height of an open dump</w:t>
            </w:r>
          </w:p>
        </w:tc>
        <w:tc>
          <w:tcPr/>
          <w:p>
            <w:pPr>
              <w:pStyle w:val="Compact"/>
              <w:spacing w:after="0" w:before="0"/>
            </w:pPr>
            <w:r>
              <w:rPr>
                <w:sz w:val="16"/>
              </w:rPr>
              <w:t xml:space="preserve">5 (3 to 10)</w:t>
            </w:r>
          </w:p>
        </w:tc>
        <w:tc>
          <w:tcPr/>
          <w:p>
            <w:pPr>
              <w:pStyle w:val="Compact"/>
              <w:spacing w:after="0" w:before="0"/>
            </w:pPr>
            <w:r>
              <w:rPr>
                <w:sz w:val="16"/>
              </w:rPr>
              <w:t xml:space="preserve">m</w:t>
            </w:r>
          </w:p>
        </w:tc>
        <w:tc>
          <w:tcPr/>
          <w:p>
            <w:pPr>
              <w:pStyle w:val="Compact"/>
              <w:spacing w:after="0" w:before="0"/>
            </w:pPr>
            <w:r>
              <w:rPr>
                <w:sz w:val="16"/>
              </w:rPr>
              <w:t xml:space="preserve">Engineering range (analyst)</w:t>
            </w:r>
          </w:p>
        </w:tc>
        <w:tc>
          <w:tcPr/>
          <w:p>
            <w:pPr>
              <w:pStyle w:val="Compact"/>
              <w:spacing w:after="0" w:before="0"/>
            </w:pPr>
            <w:r>
              <w:rPr>
                <w:sz w:val="16"/>
              </w:rPr>
              <w:t xml:space="preserve">A</w:t>
            </w:r>
          </w:p>
        </w:tc>
      </w:tr>
      <w:tr>
        <w:tc>
          <w:tcPr/>
          <w:p>
            <w:pPr>
              <w:pStyle w:val="Compact"/>
              <w:spacing w:after="0" w:before="0"/>
            </w:pPr>
            <w:r>
              <w:rPr>
                <w:sz w:val="16"/>
              </w:rPr>
              <w:t xml:space="preserve">fp_wte</w:t>
            </w:r>
          </w:p>
        </w:tc>
        <w:tc>
          <w:tcPr/>
          <w:p>
            <w:pPr>
              <w:pStyle w:val="Compact"/>
              <w:spacing w:after="0" w:before="0"/>
            </w:pPr>
            <w:r>
              <w:rPr>
                <w:sz w:val="16"/>
              </w:rPr>
              <w:t xml:space="preserve">Site footprint of a WtE plant per t/d nameplate capacity</w:t>
            </w:r>
          </w:p>
        </w:tc>
        <w:tc>
          <w:tcPr/>
          <w:p>
            <w:pPr>
              <w:pStyle w:val="Compact"/>
              <w:spacing w:after="0" w:before="0"/>
            </w:pPr>
            <w:r>
              <w:rPr>
                <w:sz w:val="16"/>
              </w:rPr>
              <w:t xml:space="preserve">40 (20 to 80)</w:t>
            </w:r>
          </w:p>
        </w:tc>
        <w:tc>
          <w:tcPr/>
          <w:p>
            <w:pPr>
              <w:pStyle w:val="Compact"/>
              <w:spacing w:after="0" w:before="0"/>
            </w:pPr>
            <w:r>
              <w:rPr>
                <w:sz w:val="16"/>
              </w:rPr>
              <w:t xml:space="preserve">m2 per t/d</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fp_rdf</w:t>
            </w:r>
          </w:p>
        </w:tc>
        <w:tc>
          <w:tcPr/>
          <w:p>
            <w:pPr>
              <w:pStyle w:val="Compact"/>
              <w:spacing w:after="0" w:before="0"/>
            </w:pPr>
            <w:r>
              <w:rPr>
                <w:sz w:val="16"/>
              </w:rPr>
              <w:t xml:space="preserve">Site footprint of an RDF plant (incl. drying and storage) per t/d</w:t>
            </w:r>
          </w:p>
        </w:tc>
        <w:tc>
          <w:tcPr/>
          <w:p>
            <w:pPr>
              <w:pStyle w:val="Compact"/>
              <w:spacing w:after="0" w:before="0"/>
            </w:pPr>
            <w:r>
              <w:rPr>
                <w:sz w:val="16"/>
              </w:rPr>
              <w:t xml:space="preserve">50 (25 to 100)</w:t>
            </w:r>
          </w:p>
        </w:tc>
        <w:tc>
          <w:tcPr/>
          <w:p>
            <w:pPr>
              <w:pStyle w:val="Compact"/>
              <w:spacing w:after="0" w:before="0"/>
            </w:pPr>
            <w:r>
              <w:rPr>
                <w:sz w:val="16"/>
              </w:rPr>
              <w:t xml:space="preserve">m2 per t/d</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r>
        <w:tc>
          <w:tcPr/>
          <w:p>
            <w:pPr>
              <w:pStyle w:val="Compact"/>
              <w:spacing w:after="0" w:before="0"/>
            </w:pPr>
            <w:r>
              <w:rPr>
                <w:sz w:val="16"/>
              </w:rPr>
              <w:t xml:space="preserve">fp_ad</w:t>
            </w:r>
          </w:p>
        </w:tc>
        <w:tc>
          <w:tcPr/>
          <w:p>
            <w:pPr>
              <w:pStyle w:val="Compact"/>
              <w:spacing w:after="0" w:before="0"/>
            </w:pPr>
            <w:r>
              <w:rPr>
                <w:sz w:val="16"/>
              </w:rPr>
              <w:t xml:space="preserve">Site footprint of an AD plant (incl. digestate handling) per t/d feed</w:t>
            </w:r>
          </w:p>
        </w:tc>
        <w:tc>
          <w:tcPr/>
          <w:p>
            <w:pPr>
              <w:pStyle w:val="Compact"/>
              <w:spacing w:after="0" w:before="0"/>
            </w:pPr>
            <w:r>
              <w:rPr>
                <w:sz w:val="16"/>
              </w:rPr>
              <w:t xml:space="preserve">60 (30 to 120)</w:t>
            </w:r>
          </w:p>
        </w:tc>
        <w:tc>
          <w:tcPr/>
          <w:p>
            <w:pPr>
              <w:pStyle w:val="Compact"/>
              <w:spacing w:after="0" w:before="0"/>
            </w:pPr>
            <w:r>
              <w:rPr>
                <w:sz w:val="16"/>
              </w:rPr>
              <w:t xml:space="preserve">m2 per t/d</w:t>
            </w:r>
          </w:p>
        </w:tc>
        <w:tc>
          <w:tcPr/>
          <w:p>
            <w:pPr>
              <w:pStyle w:val="Compact"/>
              <w:spacing w:after="0" w:before="0"/>
            </w:pPr>
            <w:r>
              <w:rPr>
                <w:sz w:val="16"/>
              </w:rPr>
              <w:t xml:space="preserve">Analyst assumption</w:t>
            </w:r>
          </w:p>
        </w:tc>
        <w:tc>
          <w:tcPr/>
          <w:p>
            <w:pPr>
              <w:pStyle w:val="Compact"/>
              <w:spacing w:after="0" w:before="0"/>
            </w:pPr>
            <w:r>
              <w:rPr>
                <w:sz w:val="16"/>
              </w:rPr>
              <w:t xml:space="preserve">A</w:t>
            </w:r>
          </w:p>
        </w:tc>
      </w:tr>
    </w:tbl>
    <w:p>
      <w:pPr>
        <w:pStyle w:val="Caption"/>
      </w:pPr>
      <w:r>
        <w:t xml:space="preserve">Table 8: CED and land-use factors. Most land-use factors are analyst engineering ranges; the thermal efficiency and the polypropylene CED are literature values still to be verified against their originals (status L). An Indonesian TPA design study (Talumelito, Gorontalo) implies about 0.045 m</w:t>
      </w:r>
      <w:r>
        <w:rPr>
          <w:vertAlign w:val="superscript"/>
        </w:rPr>
        <w:t xml:space="preserve">2</w:t>
      </w:r>
      <w:r>
        <w:t xml:space="preserve">/t, below the central 0.081 m</w:t>
      </w:r>
      <w:r>
        <w:rPr>
          <w:vertAlign w:val="superscript"/>
        </w:rPr>
        <w:t xml:space="preserve">2</w:t>
      </w:r>
      <w:r>
        <w:t xml:space="preserve">/t used here.</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52"/>
        <w:gridCol w:w="1716"/>
        <w:gridCol w:w="1452"/>
        <w:gridCol w:w="1848"/>
        <w:gridCol w:w="1452"/>
      </w:tblGrid>
      <w:tr>
        <w:trPr>
          <w:tblHeader w:val="on"/>
        </w:trPr>
        <w:tc>
          <w:tcPr>
            <w:shd w:val="clear" w:color="auto" w:fill="DCE6F0"/>
          </w:tcPr>
          <w:p>
            <w:pPr>
              <w:pStyle w:val="Compact"/>
              <w:spacing w:after="0" w:before="0"/>
            </w:pPr>
            <w:r>
              <w:rPr>
                <w:b/>
                <w:sz w:val="16"/>
              </w:rPr>
              <w:t xml:space="preserve">Option</w:t>
            </w:r>
          </w:p>
        </w:tc>
        <w:tc>
          <w:tcPr>
            <w:shd w:val="clear" w:color="auto" w:fill="DCE6F0"/>
          </w:tcPr>
          <w:p>
            <w:pPr>
              <w:pStyle w:val="Compact"/>
              <w:spacing w:after="0" w:before="0"/>
            </w:pPr>
            <w:r>
              <w:rPr>
                <w:b/>
                <w:sz w:val="16"/>
              </w:rPr>
              <w:t xml:space="preserve">CED, GJ/t: median (range)</w:t>
            </w:r>
          </w:p>
        </w:tc>
        <w:tc>
          <w:tcPr>
            <w:shd w:val="clear" w:color="auto" w:fill="DCE6F0"/>
          </w:tcPr>
          <w:p>
            <w:pPr>
              <w:pStyle w:val="Compact"/>
              <w:spacing w:after="0" w:before="0"/>
            </w:pPr>
            <w:r>
              <w:rPr>
                <w:b/>
                <w:sz w:val="16"/>
              </w:rPr>
              <w:t xml:space="preserve">Saving vs open dump, GJ/t</w:t>
            </w:r>
          </w:p>
        </w:tc>
        <w:tc>
          <w:tcPr>
            <w:shd w:val="clear" w:color="auto" w:fill="DCE6F0"/>
          </w:tcPr>
          <w:p>
            <w:pPr>
              <w:pStyle w:val="Compact"/>
              <w:spacing w:after="0" w:before="0"/>
            </w:pPr>
            <w:r>
              <w:rPr>
                <w:b/>
                <w:sz w:val="16"/>
              </w:rPr>
              <w:t xml:space="preserve">Land take, m2/t: median (range)</w:t>
            </w:r>
          </w:p>
        </w:tc>
        <w:tc>
          <w:tcPr>
            <w:shd w:val="clear" w:color="auto" w:fill="DCE6F0"/>
          </w:tcPr>
          <w:p>
            <w:pPr>
              <w:pStyle w:val="Compact"/>
              <w:spacing w:after="0" w:before="0"/>
            </w:pPr>
            <w:r>
              <w:rPr>
                <w:b/>
                <w:sz w:val="16"/>
              </w:rPr>
              <w:t xml:space="preserve">Saved vs open dump, m2/t</w:t>
            </w:r>
          </w:p>
        </w:tc>
      </w:tr>
      <w:tr>
        <w:tc>
          <w:tcPr/>
          <w:p>
            <w:pPr>
              <w:pStyle w:val="Compact"/>
              <w:spacing w:after="0" w:before="0"/>
            </w:pPr>
            <w:r>
              <w:rPr>
                <w:sz w:val="16"/>
              </w:rPr>
              <w:t xml:space="preserve">SL landfill + flare</w:t>
            </w:r>
          </w:p>
        </w:tc>
        <w:tc>
          <w:tcPr/>
          <w:p>
            <w:pPr>
              <w:pStyle w:val="Compact"/>
              <w:spacing w:after="0" w:before="0"/>
            </w:pPr>
            <w:r>
              <w:rPr>
                <w:sz w:val="16"/>
              </w:rPr>
              <w:t xml:space="preserve">0.08 (0.08 to 0.08)</w:t>
            </w:r>
          </w:p>
        </w:tc>
        <w:tc>
          <w:tcPr/>
          <w:p>
            <w:pPr>
              <w:pStyle w:val="Compact"/>
              <w:spacing w:after="0" w:before="0"/>
            </w:pPr>
            <w:r>
              <w:rPr>
                <w:sz w:val="16"/>
              </w:rPr>
              <w:t xml:space="preserve">-0.06</w:t>
            </w:r>
          </w:p>
        </w:tc>
        <w:tc>
          <w:tcPr/>
          <w:p>
            <w:pPr>
              <w:pStyle w:val="Compact"/>
              <w:spacing w:after="0" w:before="0"/>
            </w:pPr>
            <w:r>
              <w:rPr>
                <w:sz w:val="16"/>
              </w:rPr>
              <w:t xml:space="preserve">0.081 (0.081 to 0.081)</w:t>
            </w:r>
          </w:p>
        </w:tc>
        <w:tc>
          <w:tcPr/>
          <w:p>
            <w:pPr>
              <w:pStyle w:val="Compact"/>
              <w:spacing w:after="0" w:before="0"/>
            </w:pPr>
            <w:r>
              <w:rPr>
                <w:sz w:val="16"/>
              </w:rPr>
              <w:t xml:space="preserve">0.319</w:t>
            </w:r>
          </w:p>
        </w:tc>
      </w:tr>
      <w:tr>
        <w:tc>
          <w:tcPr/>
          <w:p>
            <w:pPr>
              <w:pStyle w:val="Compact"/>
              <w:spacing w:after="0" w:before="0"/>
            </w:pPr>
            <w:r>
              <w:rPr>
                <w:sz w:val="16"/>
              </w:rPr>
              <w:t xml:space="preserve">S1 WtE</w:t>
            </w:r>
          </w:p>
        </w:tc>
        <w:tc>
          <w:tcPr/>
          <w:p>
            <w:pPr>
              <w:pStyle w:val="Compact"/>
              <w:spacing w:after="0" w:before="0"/>
            </w:pPr>
            <w:r>
              <w:rPr>
                <w:sz w:val="16"/>
              </w:rPr>
              <w:t xml:space="preserve">-4.20 (-5.58 to -2.84)</w:t>
            </w:r>
          </w:p>
        </w:tc>
        <w:tc>
          <w:tcPr/>
          <w:p>
            <w:pPr>
              <w:pStyle w:val="Compact"/>
              <w:spacing w:after="0" w:before="0"/>
            </w:pPr>
            <w:r>
              <w:rPr>
                <w:sz w:val="16"/>
              </w:rPr>
              <w:t xml:space="preserve">4.21</w:t>
            </w:r>
          </w:p>
        </w:tc>
        <w:tc>
          <w:tcPr/>
          <w:p>
            <w:pPr>
              <w:pStyle w:val="Compact"/>
              <w:spacing w:after="0" w:before="0"/>
            </w:pPr>
            <w:r>
              <w:rPr>
                <w:sz w:val="16"/>
              </w:rPr>
              <w:t xml:space="preserve">0.019 (0.019 to 0.019)</w:t>
            </w:r>
          </w:p>
        </w:tc>
        <w:tc>
          <w:tcPr/>
          <w:p>
            <w:pPr>
              <w:pStyle w:val="Compact"/>
              <w:spacing w:after="0" w:before="0"/>
            </w:pPr>
            <w:r>
              <w:rPr>
                <w:sz w:val="16"/>
              </w:rPr>
              <w:t xml:space="preserve">0.381</w:t>
            </w:r>
          </w:p>
        </w:tc>
      </w:tr>
      <w:tr>
        <w:tc>
          <w:tcPr/>
          <w:p>
            <w:pPr>
              <w:pStyle w:val="Compact"/>
              <w:spacing w:after="0" w:before="0"/>
            </w:pPr>
            <w:r>
              <w:rPr>
                <w:sz w:val="16"/>
              </w:rPr>
              <w:t xml:space="preserve">S2 RDF</w:t>
            </w:r>
          </w:p>
        </w:tc>
        <w:tc>
          <w:tcPr/>
          <w:p>
            <w:pPr>
              <w:pStyle w:val="Compact"/>
              <w:spacing w:after="0" w:before="0"/>
            </w:pPr>
            <w:r>
              <w:rPr>
                <w:sz w:val="16"/>
              </w:rPr>
              <w:t xml:space="preserve">-3.80 (-5.77 to -1.81)</w:t>
            </w:r>
          </w:p>
        </w:tc>
        <w:tc>
          <w:tcPr/>
          <w:p>
            <w:pPr>
              <w:pStyle w:val="Compact"/>
              <w:spacing w:after="0" w:before="0"/>
            </w:pPr>
            <w:r>
              <w:rPr>
                <w:sz w:val="16"/>
              </w:rPr>
              <w:t xml:space="preserve">3.82</w:t>
            </w:r>
          </w:p>
        </w:tc>
        <w:tc>
          <w:tcPr/>
          <w:p>
            <w:pPr>
              <w:pStyle w:val="Compact"/>
              <w:spacing w:after="0" w:before="0"/>
            </w:pPr>
            <w:r>
              <w:rPr>
                <w:sz w:val="16"/>
              </w:rPr>
              <w:t xml:space="preserve">0.061 (0.053 to 0.066)</w:t>
            </w:r>
          </w:p>
        </w:tc>
        <w:tc>
          <w:tcPr/>
          <w:p>
            <w:pPr>
              <w:pStyle w:val="Compact"/>
              <w:spacing w:after="0" w:before="0"/>
            </w:pPr>
            <w:r>
              <w:rPr>
                <w:sz w:val="16"/>
              </w:rPr>
              <w:t xml:space="preserve">0.339</w:t>
            </w:r>
          </w:p>
        </w:tc>
      </w:tr>
      <w:tr>
        <w:tc>
          <w:tcPr/>
          <w:p>
            <w:pPr>
              <w:pStyle w:val="Compact"/>
              <w:spacing w:after="0" w:before="0"/>
            </w:pPr>
            <w:r>
              <w:rPr>
                <w:sz w:val="16"/>
              </w:rPr>
              <w:t xml:space="preserve">S3 AD</w:t>
            </w:r>
          </w:p>
        </w:tc>
        <w:tc>
          <w:tcPr/>
          <w:p>
            <w:pPr>
              <w:pStyle w:val="Compact"/>
              <w:spacing w:after="0" w:before="0"/>
            </w:pPr>
            <w:r>
              <w:rPr>
                <w:sz w:val="16"/>
              </w:rPr>
              <w:t xml:space="preserve">-0.17 (-0.35 to 0.00)</w:t>
            </w:r>
          </w:p>
        </w:tc>
        <w:tc>
          <w:tcPr/>
          <w:p>
            <w:pPr>
              <w:pStyle w:val="Compact"/>
              <w:spacing w:after="0" w:before="0"/>
            </w:pPr>
            <w:r>
              <w:rPr>
                <w:sz w:val="16"/>
              </w:rPr>
              <w:t xml:space="preserve">0.18</w:t>
            </w:r>
          </w:p>
        </w:tc>
        <w:tc>
          <w:tcPr/>
          <w:p>
            <w:pPr>
              <w:pStyle w:val="Compact"/>
              <w:spacing w:after="0" w:before="0"/>
            </w:pPr>
            <w:r>
              <w:rPr>
                <w:sz w:val="16"/>
              </w:rPr>
              <w:t xml:space="preserve">0.067 (0.059 to 0.073)</w:t>
            </w:r>
          </w:p>
        </w:tc>
        <w:tc>
          <w:tcPr/>
          <w:p>
            <w:pPr>
              <w:pStyle w:val="Compact"/>
              <w:spacing w:after="0" w:before="0"/>
            </w:pPr>
            <w:r>
              <w:rPr>
                <w:sz w:val="16"/>
              </w:rPr>
              <w:t xml:space="preserve">0.333</w:t>
            </w:r>
          </w:p>
        </w:tc>
      </w:tr>
      <w:tr>
        <w:tc>
          <w:tcPr/>
          <w:p>
            <w:pPr>
              <w:pStyle w:val="Compact"/>
              <w:spacing w:after="0" w:before="0"/>
            </w:pPr>
            <w:r>
              <w:rPr>
                <w:sz w:val="16"/>
              </w:rPr>
              <w:t xml:space="preserve">S4 PHB</w:t>
            </w:r>
          </w:p>
        </w:tc>
        <w:tc>
          <w:tcPr/>
          <w:p>
            <w:pPr>
              <w:pStyle w:val="Compact"/>
              <w:spacing w:after="0" w:before="0"/>
            </w:pPr>
            <w:r>
              <w:rPr>
                <w:sz w:val="16"/>
              </w:rPr>
              <w:t xml:space="preserve">-0.57 (-0.85 to -0.42)</w:t>
            </w:r>
          </w:p>
        </w:tc>
        <w:tc>
          <w:tcPr/>
          <w:p>
            <w:pPr>
              <w:pStyle w:val="Compact"/>
              <w:spacing w:after="0" w:before="0"/>
            </w:pPr>
            <w:r>
              <w:rPr>
                <w:sz w:val="16"/>
              </w:rPr>
              <w:t xml:space="preserve">0.59</w:t>
            </w:r>
          </w:p>
        </w:tc>
        <w:tc>
          <w:tcPr/>
          <w:p>
            <w:pPr>
              <w:pStyle w:val="Compact"/>
              <w:spacing w:after="0" w:before="0"/>
            </w:pPr>
            <w:r>
              <w:rPr>
                <w:sz w:val="16"/>
              </w:rPr>
              <w:t xml:space="preserve">0.081 (0.081 to 0.081)</w:t>
            </w:r>
          </w:p>
        </w:tc>
        <w:tc>
          <w:tcPr/>
          <w:p>
            <w:pPr>
              <w:pStyle w:val="Compact"/>
              <w:spacing w:after="0" w:before="0"/>
            </w:pPr>
            <w:r>
              <w:rPr>
                <w:sz w:val="16"/>
              </w:rPr>
              <w:t xml:space="preserve">0.319</w:t>
            </w:r>
          </w:p>
        </w:tc>
      </w:tr>
      <w:tr>
        <w:tc>
          <w:tcPr/>
          <w:p>
            <w:pPr>
              <w:pStyle w:val="Compact"/>
              <w:spacing w:after="0" w:before="0"/>
            </w:pPr>
            <w:r>
              <w:rPr>
                <w:sz w:val="16"/>
              </w:rPr>
              <w:t xml:space="preserve">S5 RDF + AD</w:t>
            </w:r>
          </w:p>
        </w:tc>
        <w:tc>
          <w:tcPr/>
          <w:p>
            <w:pPr>
              <w:pStyle w:val="Compact"/>
              <w:spacing w:after="0" w:before="0"/>
            </w:pPr>
            <w:r>
              <w:rPr>
                <w:sz w:val="16"/>
              </w:rPr>
              <w:t xml:space="preserve">-4.18 (-6.07 to -2.37)</w:t>
            </w:r>
          </w:p>
        </w:tc>
        <w:tc>
          <w:tcPr/>
          <w:p>
            <w:pPr>
              <w:pStyle w:val="Compact"/>
              <w:spacing w:after="0" w:before="0"/>
            </w:pPr>
            <w:r>
              <w:rPr>
                <w:sz w:val="16"/>
              </w:rPr>
              <w:t xml:space="preserve">4.20</w:t>
            </w:r>
          </w:p>
        </w:tc>
        <w:tc>
          <w:tcPr/>
          <w:p>
            <w:pPr>
              <w:pStyle w:val="Compact"/>
              <w:spacing w:after="0" w:before="0"/>
            </w:pPr>
            <w:r>
              <w:rPr>
                <w:sz w:val="16"/>
              </w:rPr>
              <w:t xml:space="preserve">0.045 (0.042 to 0.051)</w:t>
            </w:r>
          </w:p>
        </w:tc>
        <w:tc>
          <w:tcPr/>
          <w:p>
            <w:pPr>
              <w:pStyle w:val="Compact"/>
              <w:spacing w:after="0" w:before="0"/>
            </w:pPr>
            <w:r>
              <w:rPr>
                <w:sz w:val="16"/>
              </w:rPr>
              <w:t xml:space="preserve">0.355</w:t>
            </w:r>
          </w:p>
        </w:tc>
      </w:tr>
    </w:tbl>
    <w:p>
      <w:pPr>
        <w:pStyle w:val="Caption"/>
      </w:pPr>
      <w:r>
        <w:t xml:space="preserve">Table 9: Fossil CED and land take per tonne MSW, central values, market case, 21 locations.</w:t>
      </w:r>
    </w:p>
    <w:p>
      <w:pPr>
        <w:pStyle w:val="BodyText"/>
        <w:jc w:val="both"/>
      </w:pPr>
      <w:r>
        <w:t xml:space="preserve">WtE, RDF and RDF + AD save 4.2, 3.8 and 4.2 GJ of fossil energy per tonne (displaced grid electricity and kiln coal), AD alone 0.2 GJ and PHB 0.6 GJ (displaced polypropylene); the sanitary landfill consumes 78 MJ for operation. Land take is dominated by landfilling: an open dump uses about 0.40 m</w:t>
      </w:r>
      <w:r>
        <w:rPr>
          <w:vertAlign w:val="superscript"/>
        </w:rPr>
        <w:t xml:space="preserve">2</w:t>
      </w:r>
      <w:r>
        <w:t xml:space="preserve">/t, a sanitary landfill 0.081, RDF + AD 0.045 and WtE 0.019 m</w:t>
      </w:r>
      <w:r>
        <w:rPr>
          <w:vertAlign w:val="superscript"/>
        </w:rPr>
        <w:t xml:space="preserve">2</w:t>
      </w:r>
      <w:r>
        <w:t xml:space="preserve">/t, mostly for ash. The energy ranking follows the climate ranking; land take adds a reason to divert waste from landfill where land is scarce, such as Java.</w:t>
      </w:r>
    </w:p>
    <w:p>
      <w:pPr>
        <w:pStyle w:val="CaptionedFigure"/>
      </w:pPr>
      <w:r>
        <w:drawing>
          <wp:inline>
            <wp:extent cx="5579999" cy="2060307"/>
            <wp:effectExtent b="0" l="0" r="0" t="0"/>
            <wp:docPr descr="Figure 11: Fossil CED and land take of each option, Monte Carlo medians over the 21 locations." title="" id="56" name="Picture"/>
            <a:graphic>
              <a:graphicData uri="http://schemas.openxmlformats.org/drawingml/2006/picture">
                <pic:pic>
                  <pic:nvPicPr>
                    <pic:cNvPr descr="/home/user/claude/MSW_pathway_model_v3/outputs/fig_ced_landuse.png" id="57" name="Picture"/>
                    <pic:cNvPicPr>
                      <a:picLocks noChangeArrowheads="1" noChangeAspect="1"/>
                    </pic:cNvPicPr>
                  </pic:nvPicPr>
                  <pic:blipFill>
                    <a:blip r:embed="rId55"/>
                    <a:stretch>
                      <a:fillRect/>
                    </a:stretch>
                  </pic:blipFill>
                  <pic:spPr bwMode="auto">
                    <a:xfrm>
                      <a:off x="0" y="0"/>
                      <a:ext cx="5579999" cy="2060307"/>
                    </a:xfrm>
                    <a:prstGeom prst="rect">
                      <a:avLst/>
                    </a:prstGeom>
                    <a:noFill/>
                    <a:ln w="9525">
                      <a:noFill/>
                      <a:headEnd/>
                      <a:tailEnd/>
                    </a:ln>
                  </pic:spPr>
                </pic:pic>
              </a:graphicData>
            </a:graphic>
          </wp:inline>
        </w:drawing>
      </w:r>
    </w:p>
    <w:p>
      <w:pPr>
        <w:pStyle w:val="ImageCaption"/>
      </w:pPr>
      <w:r>
        <w:t xml:space="preserve">Figure 11: Fossil CED and land take of each option, Monte Carlo medians over the 21 locations.</w:t>
      </w:r>
    </w:p>
    <w:bookmarkEnd w:id="58"/>
    <w:bookmarkStart w:id="65" w:name="X2cb64c5f8cbb01e6ed48b2c576409be168dc673"/>
    <w:p>
      <w:pPr>
        <w:pStyle w:val="Heading1"/>
      </w:pPr>
      <w:r>
        <w:t xml:space="preserve">11 Conditions under which each option becomes preferable: scenario discovery</w:t>
      </w:r>
    </w:p>
    <w:p>
      <w:pPr>
        <w:pStyle w:val="FirstParagraph"/>
        <w:jc w:val="both"/>
      </w:pPr>
      <w:r>
        <w:t xml:space="preserve">The research question asks for conditions, not for a ranking of 21 cases. The model was therefore run over 40,000 combinations of conditions that a planner can observe or choose: carbon value (0 to 100 USD/t CO</w:t>
      </w:r>
      <w:r>
        <w:rPr>
          <w:vertAlign w:val="subscript"/>
        </w:rPr>
        <w:t xml:space="preserve">2</w:t>
      </w:r>
      <w:r>
        <w:t xml:space="preserve">e), waste to the facility (50 to 3,000 t/day, log-uniform), road distance to a cement kiln (10 to 400 km), grid region, availability of the Perpres 109/2025 tariff, source separation of food, composition, moisture, landfill-gas collection and landfill cost; all other parameters were sampled from the register. Composition was drawn from a Dirichlet distribution centred on the mean of the 21 RIPS compositions with concentration 46 fitted to their between-city spread (method of moments), so the rules describe compositions like those observed and are extrapolations outside them. For each draw the best feasible option (lowest carbon-inclusive cost) was recorded. A classification tree of depth 4 reproduces that choice in 78% of held-out draws (majority-class baseline 51%); PRIM (Friedman and Fisher 1999) searched for boxes of conditions in which one option is best with high density.</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4752"/>
        <w:gridCol w:w="1320"/>
        <w:gridCol w:w="660"/>
        <w:gridCol w:w="1188"/>
      </w:tblGrid>
      <w:tr>
        <w:trPr>
          <w:tblHeader w:val="on"/>
        </w:trPr>
        <w:tc>
          <w:tcPr>
            <w:shd w:val="clear" w:color="auto" w:fill="DCE6F0"/>
          </w:tcPr>
          <w:p>
            <w:pPr>
              <w:pStyle w:val="Compact"/>
              <w:spacing w:after="0" w:before="0"/>
            </w:pPr>
            <w:r>
              <w:rPr>
                <w:b/>
                <w:sz w:val="16"/>
              </w:rPr>
              <w:t xml:space="preserve">Rule (conditions)</w:t>
            </w:r>
          </w:p>
        </w:tc>
        <w:tc>
          <w:tcPr>
            <w:shd w:val="clear" w:color="auto" w:fill="DCE6F0"/>
          </w:tcPr>
          <w:p>
            <w:pPr>
              <w:pStyle w:val="Compact"/>
              <w:spacing w:after="0" w:before="0"/>
            </w:pPr>
            <w:r>
              <w:rPr>
                <w:b/>
                <w:sz w:val="16"/>
              </w:rPr>
              <w:t xml:space="preserve">Best option</w:t>
            </w:r>
          </w:p>
        </w:tc>
        <w:tc>
          <w:tcPr>
            <w:shd w:val="clear" w:color="auto" w:fill="DCE6F0"/>
          </w:tcPr>
          <w:p>
            <w:pPr>
              <w:pStyle w:val="Compact"/>
              <w:spacing w:after="0" w:before="0"/>
            </w:pPr>
            <w:r>
              <w:rPr>
                <w:b/>
                <w:sz w:val="16"/>
              </w:rPr>
              <w:t xml:space="preserve">Purity</w:t>
            </w:r>
          </w:p>
        </w:tc>
        <w:tc>
          <w:tcPr>
            <w:shd w:val="clear" w:color="auto" w:fill="DCE6F0"/>
          </w:tcPr>
          <w:p>
            <w:pPr>
              <w:pStyle w:val="Compact"/>
              <w:spacing w:after="0" w:before="0"/>
            </w:pPr>
            <w:r>
              <w:rPr>
                <w:b/>
                <w:sz w:val="16"/>
              </w:rPr>
              <w:t xml:space="preserve">Share of draws</w:t>
            </w:r>
          </w:p>
        </w:tc>
      </w:tr>
      <w:tr>
        <w:tc>
          <w:tcPr/>
          <w:p>
            <w:pPr>
              <w:pStyle w:val="Compact"/>
              <w:spacing w:after="0" w:before="0"/>
            </w:pPr>
            <w:r>
              <w:rPr>
                <w:sz w:val="16"/>
              </w:rPr>
              <w:t xml:space="preserve">food separated = no and Q tpd &lt;= 999 and carbon value &lt;= 59.3</w:t>
            </w:r>
          </w:p>
        </w:tc>
        <w:tc>
          <w:tcPr/>
          <w:p>
            <w:pPr>
              <w:pStyle w:val="Compact"/>
              <w:spacing w:after="0" w:before="0"/>
            </w:pPr>
            <w:r>
              <w:rPr>
                <w:sz w:val="16"/>
              </w:rPr>
              <w:t xml:space="preserve">SL landfill + flare</w:t>
            </w:r>
          </w:p>
        </w:tc>
        <w:tc>
          <w:tcPr/>
          <w:p>
            <w:pPr>
              <w:pStyle w:val="Compact"/>
              <w:spacing w:after="0" w:before="0"/>
            </w:pPr>
            <w:r>
              <w:rPr>
                <w:sz w:val="16"/>
              </w:rPr>
              <w:t xml:space="preserve">0.97</w:t>
            </w:r>
          </w:p>
        </w:tc>
        <w:tc>
          <w:tcPr/>
          <w:p>
            <w:pPr>
              <w:pStyle w:val="Compact"/>
              <w:spacing w:after="0" w:before="0"/>
            </w:pPr>
            <w:r>
              <w:rPr>
                <w:sz w:val="16"/>
              </w:rPr>
              <w:t xml:space="preserve">22%</w:t>
            </w:r>
          </w:p>
        </w:tc>
      </w:tr>
      <w:tr>
        <w:tc>
          <w:tcPr/>
          <w:p>
            <w:pPr>
              <w:pStyle w:val="Compact"/>
              <w:spacing w:after="0" w:before="0"/>
            </w:pPr>
            <w:r>
              <w:rPr>
                <w:sz w:val="16"/>
              </w:rPr>
              <w:t xml:space="preserve">food separated = yes and carbon value &gt; 44.4 and Q tpd &lt;= 1e+03</w:t>
            </w:r>
          </w:p>
        </w:tc>
        <w:tc>
          <w:tcPr/>
          <w:p>
            <w:pPr>
              <w:pStyle w:val="Compact"/>
              <w:spacing w:after="0" w:before="0"/>
            </w:pPr>
            <w:r>
              <w:rPr>
                <w:sz w:val="16"/>
              </w:rPr>
              <w:t xml:space="preserve">S3 AD</w:t>
            </w:r>
          </w:p>
        </w:tc>
        <w:tc>
          <w:tcPr/>
          <w:p>
            <w:pPr>
              <w:pStyle w:val="Compact"/>
              <w:spacing w:after="0" w:before="0"/>
            </w:pPr>
            <w:r>
              <w:rPr>
                <w:sz w:val="16"/>
              </w:rPr>
              <w:t xml:space="preserve">0.83</w:t>
            </w:r>
          </w:p>
        </w:tc>
        <w:tc>
          <w:tcPr/>
          <w:p>
            <w:pPr>
              <w:pStyle w:val="Compact"/>
              <w:spacing w:after="0" w:before="0"/>
            </w:pPr>
            <w:r>
              <w:rPr>
                <w:sz w:val="16"/>
              </w:rPr>
              <w:t xml:space="preserve">20%</w:t>
            </w:r>
          </w:p>
        </w:tc>
      </w:tr>
      <w:tr>
        <w:tc>
          <w:tcPr/>
          <w:p>
            <w:pPr>
              <w:pStyle w:val="Compact"/>
              <w:spacing w:after="0" w:before="0"/>
            </w:pPr>
            <w:r>
              <w:rPr>
                <w:sz w:val="16"/>
              </w:rPr>
              <w:t xml:space="preserve">food separated = no and Q tpd 73.6 and kiln km &lt;= 300</w:t>
            </w:r>
          </w:p>
        </w:tc>
        <w:tc>
          <w:tcPr/>
          <w:p>
            <w:pPr>
              <w:pStyle w:val="Compact"/>
              <w:spacing w:after="0" w:before="0"/>
            </w:pPr>
            <w:r>
              <w:rPr>
                <w:sz w:val="16"/>
              </w:rPr>
              <w:t xml:space="preserve">SL landfill + flare</w:t>
            </w:r>
          </w:p>
        </w:tc>
        <w:tc>
          <w:tcPr/>
          <w:p>
            <w:pPr>
              <w:pStyle w:val="Compact"/>
              <w:spacing w:after="0" w:before="0"/>
            </w:pPr>
            <w:r>
              <w:rPr>
                <w:sz w:val="16"/>
              </w:rPr>
              <w:t xml:space="preserve">0.53</w:t>
            </w:r>
          </w:p>
        </w:tc>
        <w:tc>
          <w:tcPr/>
          <w:p>
            <w:pPr>
              <w:pStyle w:val="Compact"/>
              <w:spacing w:after="0" w:before="0"/>
            </w:pPr>
            <w:r>
              <w:rPr>
                <w:sz w:val="16"/>
              </w:rPr>
              <w:t xml:space="preserve">7%</w:t>
            </w:r>
          </w:p>
        </w:tc>
      </w:tr>
      <w:tr>
        <w:tc>
          <w:tcPr/>
          <w:p>
            <w:pPr>
              <w:pStyle w:val="Compact"/>
              <w:spacing w:after="0" w:before="0"/>
            </w:pPr>
            <w:r>
              <w:rPr>
                <w:sz w:val="16"/>
              </w:rPr>
              <w:t xml:space="preserve">food separated = yes and carbon value &lt;= 16.9 and Q tpd &lt;= 971</w:t>
            </w:r>
          </w:p>
        </w:tc>
        <w:tc>
          <w:tcPr/>
          <w:p>
            <w:pPr>
              <w:pStyle w:val="Compact"/>
              <w:spacing w:after="0" w:before="0"/>
            </w:pPr>
            <w:r>
              <w:rPr>
                <w:sz w:val="16"/>
              </w:rPr>
              <w:t xml:space="preserve">SL landfill + flare</w:t>
            </w:r>
          </w:p>
        </w:tc>
        <w:tc>
          <w:tcPr/>
          <w:p>
            <w:pPr>
              <w:pStyle w:val="Compact"/>
              <w:spacing w:after="0" w:before="0"/>
            </w:pPr>
            <w:r>
              <w:rPr>
                <w:sz w:val="16"/>
              </w:rPr>
              <w:t xml:space="preserve">0.88</w:t>
            </w:r>
          </w:p>
        </w:tc>
        <w:tc>
          <w:tcPr/>
          <w:p>
            <w:pPr>
              <w:pStyle w:val="Compact"/>
              <w:spacing w:after="0" w:before="0"/>
            </w:pPr>
            <w:r>
              <w:rPr>
                <w:sz w:val="16"/>
              </w:rPr>
              <w:t xml:space="preserve">6%</w:t>
            </w:r>
          </w:p>
        </w:tc>
      </w:tr>
      <w:tr>
        <w:tc>
          <w:tcPr/>
          <w:p>
            <w:pPr>
              <w:pStyle w:val="Compact"/>
              <w:spacing w:after="0" w:before="0"/>
            </w:pPr>
            <w:r>
              <w:rPr>
                <w:sz w:val="16"/>
              </w:rPr>
              <w:t xml:space="preserve">food separated = yes and 28.4 &lt; carbon value &lt;= 44.4 and Q tpd &lt;= 1e+03</w:t>
            </w:r>
          </w:p>
        </w:tc>
        <w:tc>
          <w:tcPr/>
          <w:p>
            <w:pPr>
              <w:pStyle w:val="Compact"/>
              <w:spacing w:after="0" w:before="0"/>
            </w:pPr>
            <w:r>
              <w:rPr>
                <w:sz w:val="16"/>
              </w:rPr>
              <w:t xml:space="preserve">S3 AD</w:t>
            </w:r>
          </w:p>
        </w:tc>
        <w:tc>
          <w:tcPr/>
          <w:p>
            <w:pPr>
              <w:pStyle w:val="Compact"/>
              <w:spacing w:after="0" w:before="0"/>
            </w:pPr>
            <w:r>
              <w:rPr>
                <w:sz w:val="16"/>
              </w:rPr>
              <w:t xml:space="preserve">0.61</w:t>
            </w:r>
          </w:p>
        </w:tc>
        <w:tc>
          <w:tcPr/>
          <w:p>
            <w:pPr>
              <w:pStyle w:val="Compact"/>
              <w:spacing w:after="0" w:before="0"/>
            </w:pPr>
            <w:r>
              <w:rPr>
                <w:sz w:val="16"/>
              </w:rPr>
              <w:t xml:space="preserve">6%</w:t>
            </w:r>
          </w:p>
        </w:tc>
      </w:tr>
      <w:tr>
        <w:tc>
          <w:tcPr/>
          <w:p>
            <w:pPr>
              <w:pStyle w:val="Compact"/>
              <w:spacing w:after="0" w:before="0"/>
            </w:pPr>
            <w:r>
              <w:rPr>
                <w:sz w:val="16"/>
              </w:rPr>
              <w:t xml:space="preserve">food separated = yes and carbon value &gt; 28.4 and Q tpd &gt; 1e+03 and LHV &gt; 7</w:t>
            </w:r>
          </w:p>
        </w:tc>
        <w:tc>
          <w:tcPr/>
          <w:p>
            <w:pPr>
              <w:pStyle w:val="Compact"/>
              <w:spacing w:after="0" w:before="0"/>
            </w:pPr>
            <w:r>
              <w:rPr>
                <w:sz w:val="16"/>
              </w:rPr>
              <w:t xml:space="preserve">S1 WtE</w:t>
            </w:r>
          </w:p>
        </w:tc>
        <w:tc>
          <w:tcPr/>
          <w:p>
            <w:pPr>
              <w:pStyle w:val="Compact"/>
              <w:spacing w:after="0" w:before="0"/>
            </w:pPr>
            <w:r>
              <w:rPr>
                <w:sz w:val="16"/>
              </w:rPr>
              <w:t xml:space="preserve">0.56</w:t>
            </w:r>
          </w:p>
        </w:tc>
        <w:tc>
          <w:tcPr/>
          <w:p>
            <w:pPr>
              <w:pStyle w:val="Compact"/>
              <w:spacing w:after="0" w:before="0"/>
            </w:pPr>
            <w:r>
              <w:rPr>
                <w:sz w:val="16"/>
              </w:rPr>
              <w:t xml:space="preserve">6%</w:t>
            </w:r>
          </w:p>
        </w:tc>
      </w:tr>
      <w:tr>
        <w:tc>
          <w:tcPr/>
          <w:p>
            <w:pPr>
              <w:pStyle w:val="Compact"/>
              <w:spacing w:after="0" w:before="0"/>
            </w:pPr>
            <w:r>
              <w:rPr>
                <w:sz w:val="16"/>
              </w:rPr>
              <w:t xml:space="preserve">food separated = no and Q tpd &lt;= 999 and 59.3 &lt; carbon value &lt;= 73.6</w:t>
            </w:r>
          </w:p>
        </w:tc>
        <w:tc>
          <w:tcPr/>
          <w:p>
            <w:pPr>
              <w:pStyle w:val="Compact"/>
              <w:spacing w:after="0" w:before="0"/>
            </w:pPr>
            <w:r>
              <w:rPr>
                <w:sz w:val="16"/>
              </w:rPr>
              <w:t xml:space="preserve">SL landfill + flare</w:t>
            </w:r>
          </w:p>
        </w:tc>
        <w:tc>
          <w:tcPr/>
          <w:p>
            <w:pPr>
              <w:pStyle w:val="Compact"/>
              <w:spacing w:after="0" w:before="0"/>
            </w:pPr>
            <w:r>
              <w:rPr>
                <w:sz w:val="16"/>
              </w:rPr>
              <w:t xml:space="preserve">0.81</w:t>
            </w:r>
          </w:p>
        </w:tc>
        <w:tc>
          <w:tcPr/>
          <w:p>
            <w:pPr>
              <w:pStyle w:val="Compact"/>
              <w:spacing w:after="0" w:before="0"/>
            </w:pPr>
            <w:r>
              <w:rPr>
                <w:sz w:val="16"/>
              </w:rPr>
              <w:t xml:space="preserve">5%</w:t>
            </w:r>
          </w:p>
        </w:tc>
      </w:tr>
      <w:tr>
        <w:tc>
          <w:tcPr/>
          <w:p>
            <w:pPr>
              <w:pStyle w:val="Compact"/>
              <w:spacing w:after="0" w:before="0"/>
            </w:pPr>
            <w:r>
              <w:rPr>
                <w:sz w:val="16"/>
              </w:rPr>
              <w:t xml:space="preserve">food separated = yes and carbon value &gt; 28.4 and Q tpd &gt; 1e+03 and LHV &lt;= 7</w:t>
            </w:r>
          </w:p>
        </w:tc>
        <w:tc>
          <w:tcPr/>
          <w:p>
            <w:pPr>
              <w:pStyle w:val="Compact"/>
              <w:spacing w:after="0" w:before="0"/>
            </w:pPr>
            <w:r>
              <w:rPr>
                <w:sz w:val="16"/>
              </w:rPr>
              <w:t xml:space="preserve">S3 AD</w:t>
            </w:r>
          </w:p>
        </w:tc>
        <w:tc>
          <w:tcPr/>
          <w:p>
            <w:pPr>
              <w:pStyle w:val="Compact"/>
              <w:spacing w:after="0" w:before="0"/>
            </w:pPr>
            <w:r>
              <w:rPr>
                <w:sz w:val="16"/>
              </w:rPr>
              <w:t xml:space="preserve">0.87</w:t>
            </w:r>
          </w:p>
        </w:tc>
        <w:tc>
          <w:tcPr/>
          <w:p>
            <w:pPr>
              <w:pStyle w:val="Compact"/>
              <w:spacing w:after="0" w:before="0"/>
            </w:pPr>
            <w:r>
              <w:rPr>
                <w:sz w:val="16"/>
              </w:rPr>
              <w:t xml:space="preserve">4%</w:t>
            </w:r>
          </w:p>
        </w:tc>
      </w:tr>
      <w:tr>
        <w:tc>
          <w:tcPr/>
          <w:p>
            <w:pPr>
              <w:pStyle w:val="Compact"/>
              <w:spacing w:after="0" w:before="0"/>
            </w:pPr>
            <w:r>
              <w:rPr>
                <w:sz w:val="16"/>
              </w:rPr>
              <w:t xml:space="preserve">food separated = no and Q tpd &gt; 999 and LHV &lt;= 7 and carbon value &lt;= 66.9</w:t>
            </w:r>
          </w:p>
        </w:tc>
        <w:tc>
          <w:tcPr/>
          <w:p>
            <w:pPr>
              <w:pStyle w:val="Compact"/>
              <w:spacing w:after="0" w:before="0"/>
            </w:pPr>
            <w:r>
              <w:rPr>
                <w:sz w:val="16"/>
              </w:rPr>
              <w:t xml:space="preserve">SL landfill + flare</w:t>
            </w:r>
          </w:p>
        </w:tc>
        <w:tc>
          <w:tcPr/>
          <w:p>
            <w:pPr>
              <w:pStyle w:val="Compact"/>
              <w:spacing w:after="0" w:before="0"/>
            </w:pPr>
            <w:r>
              <w:rPr>
                <w:sz w:val="16"/>
              </w:rPr>
              <w:t xml:space="preserve">0.87</w:t>
            </w:r>
          </w:p>
        </w:tc>
        <w:tc>
          <w:tcPr/>
          <w:p>
            <w:pPr>
              <w:pStyle w:val="Compact"/>
              <w:spacing w:after="0" w:before="0"/>
            </w:pPr>
            <w:r>
              <w:rPr>
                <w:sz w:val="16"/>
              </w:rPr>
              <w:t xml:space="preserve">4%</w:t>
            </w:r>
          </w:p>
        </w:tc>
      </w:tr>
      <w:tr>
        <w:tc>
          <w:tcPr/>
          <w:p>
            <w:pPr>
              <w:pStyle w:val="Compact"/>
              <w:spacing w:after="0" w:before="0"/>
            </w:pPr>
            <w:r>
              <w:rPr>
                <w:sz w:val="16"/>
              </w:rPr>
              <w:t xml:space="preserve">food separated = no and Q tpd &gt; 999 and LHV &gt; 7 and tariff = no</w:t>
            </w:r>
          </w:p>
        </w:tc>
        <w:tc>
          <w:tcPr/>
          <w:p>
            <w:pPr>
              <w:pStyle w:val="Compact"/>
              <w:spacing w:after="0" w:before="0"/>
            </w:pPr>
            <w:r>
              <w:rPr>
                <w:sz w:val="16"/>
              </w:rPr>
              <w:t xml:space="preserve">SL landfill + flare</w:t>
            </w:r>
          </w:p>
        </w:tc>
        <w:tc>
          <w:tcPr/>
          <w:p>
            <w:pPr>
              <w:pStyle w:val="Compact"/>
              <w:spacing w:after="0" w:before="0"/>
            </w:pPr>
            <w:r>
              <w:rPr>
                <w:sz w:val="16"/>
              </w:rPr>
              <w:t xml:space="preserve">0.59</w:t>
            </w:r>
          </w:p>
        </w:tc>
        <w:tc>
          <w:tcPr/>
          <w:p>
            <w:pPr>
              <w:pStyle w:val="Compact"/>
              <w:spacing w:after="0" w:before="0"/>
            </w:pPr>
            <w:r>
              <w:rPr>
                <w:sz w:val="16"/>
              </w:rPr>
              <w:t xml:space="preserve">4%</w:t>
            </w:r>
          </w:p>
        </w:tc>
      </w:tr>
      <w:tr>
        <w:tc>
          <w:tcPr/>
          <w:p>
            <w:pPr>
              <w:pStyle w:val="Compact"/>
              <w:spacing w:after="0" w:before="0"/>
            </w:pPr>
            <w:r>
              <w:rPr>
                <w:sz w:val="16"/>
              </w:rPr>
              <w:t xml:space="preserve">food separated = no and Q tpd &gt; 999 and LHV &gt; 7 and tariff = yes</w:t>
            </w:r>
          </w:p>
        </w:tc>
        <w:tc>
          <w:tcPr/>
          <w:p>
            <w:pPr>
              <w:pStyle w:val="Compact"/>
              <w:spacing w:after="0" w:before="0"/>
            </w:pPr>
            <w:r>
              <w:rPr>
                <w:sz w:val="16"/>
              </w:rPr>
              <w:t xml:space="preserve">S1 WtE</w:t>
            </w:r>
          </w:p>
        </w:tc>
        <w:tc>
          <w:tcPr/>
          <w:p>
            <w:pPr>
              <w:pStyle w:val="Compact"/>
              <w:spacing w:after="0" w:before="0"/>
            </w:pPr>
            <w:r>
              <w:rPr>
                <w:sz w:val="16"/>
              </w:rPr>
              <w:t xml:space="preserve">0.98</w:t>
            </w:r>
          </w:p>
        </w:tc>
        <w:tc>
          <w:tcPr/>
          <w:p>
            <w:pPr>
              <w:pStyle w:val="Compact"/>
              <w:spacing w:after="0" w:before="0"/>
            </w:pPr>
            <w:r>
              <w:rPr>
                <w:sz w:val="16"/>
              </w:rPr>
              <w:t xml:space="preserve">4%</w:t>
            </w:r>
          </w:p>
        </w:tc>
      </w:tr>
      <w:tr>
        <w:tc>
          <w:tcPr/>
          <w:p>
            <w:pPr>
              <w:pStyle w:val="Compact"/>
              <w:spacing w:after="0" w:before="0"/>
            </w:pPr>
            <w:r>
              <w:rPr>
                <w:sz w:val="16"/>
              </w:rPr>
              <w:t xml:space="preserve">food separated = yes and 16.9 &lt; carbon value &lt;= 28.4 and Q tpd &lt;= 639</w:t>
            </w:r>
          </w:p>
        </w:tc>
        <w:tc>
          <w:tcPr/>
          <w:p>
            <w:pPr>
              <w:pStyle w:val="Compact"/>
              <w:spacing w:after="0" w:before="0"/>
            </w:pPr>
            <w:r>
              <w:rPr>
                <w:sz w:val="16"/>
              </w:rPr>
              <w:t xml:space="preserve">SL landfill + flare</w:t>
            </w:r>
          </w:p>
        </w:tc>
        <w:tc>
          <w:tcPr/>
          <w:p>
            <w:pPr>
              <w:pStyle w:val="Compact"/>
              <w:spacing w:after="0" w:before="0"/>
            </w:pPr>
            <w:r>
              <w:rPr>
                <w:sz w:val="16"/>
              </w:rPr>
              <w:t xml:space="preserve">0.65</w:t>
            </w:r>
          </w:p>
        </w:tc>
        <w:tc>
          <w:tcPr/>
          <w:p>
            <w:pPr>
              <w:pStyle w:val="Compact"/>
              <w:spacing w:after="0" w:before="0"/>
            </w:pPr>
            <w:r>
              <w:rPr>
                <w:sz w:val="16"/>
              </w:rPr>
              <w:t xml:space="preserve">4%</w:t>
            </w:r>
          </w:p>
        </w:tc>
      </w:tr>
    </w:tbl>
    <w:p>
      <w:pPr>
        <w:pStyle w:val="Caption"/>
      </w:pPr>
      <w:r>
        <w:t xml:space="preserve">Table 10: Leaves of the decision tree covering at least 3% of draws (</w:t>
      </w:r>
      <w:r>
        <w:rPr>
          <w:i/>
          <w:iCs/>
        </w:rPr>
        <w:t xml:space="preserve">outputs/discovery_cart_rules.csv</w:t>
      </w:r>
      <w:r>
        <w:t xml:space="preserve">). Purity: share of the draws in the leaf where the predicted option is indeed best. Q tpd: t/day to the facility; kiln km: road distance.</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188"/>
        <w:gridCol w:w="660"/>
        <w:gridCol w:w="660"/>
        <w:gridCol w:w="660"/>
        <w:gridCol w:w="4752"/>
      </w:tblGrid>
      <w:tr>
        <w:trPr>
          <w:tblHeader w:val="on"/>
        </w:trPr>
        <w:tc>
          <w:tcPr>
            <w:shd w:val="clear" w:color="auto" w:fill="DCE6F0"/>
          </w:tcPr>
          <w:p>
            <w:pPr>
              <w:pStyle w:val="Compact"/>
              <w:spacing w:after="0" w:before="0"/>
            </w:pPr>
            <w:r>
              <w:rPr>
                <w:b/>
                <w:sz w:val="16"/>
              </w:rPr>
              <w:t xml:space="preserve">Option</w:t>
            </w:r>
          </w:p>
        </w:tc>
        <w:tc>
          <w:tcPr>
            <w:shd w:val="clear" w:color="auto" w:fill="DCE6F0"/>
          </w:tcPr>
          <w:p>
            <w:pPr>
              <w:pStyle w:val="Compact"/>
              <w:spacing w:after="0" w:before="0"/>
            </w:pPr>
            <w:r>
              <w:rPr>
                <w:b/>
                <w:sz w:val="16"/>
              </w:rPr>
              <w:t xml:space="preserve">Base rate</w:t>
            </w:r>
          </w:p>
        </w:tc>
        <w:tc>
          <w:tcPr>
            <w:shd w:val="clear" w:color="auto" w:fill="DCE6F0"/>
          </w:tcPr>
          <w:p>
            <w:pPr>
              <w:pStyle w:val="Compact"/>
              <w:spacing w:after="0" w:before="0"/>
            </w:pPr>
            <w:r>
              <w:rPr>
                <w:b/>
                <w:sz w:val="16"/>
              </w:rPr>
              <w:t xml:space="preserve">Coverage</w:t>
            </w:r>
          </w:p>
        </w:tc>
        <w:tc>
          <w:tcPr>
            <w:shd w:val="clear" w:color="auto" w:fill="DCE6F0"/>
          </w:tcPr>
          <w:p>
            <w:pPr>
              <w:pStyle w:val="Compact"/>
              <w:spacing w:after="0" w:before="0"/>
            </w:pPr>
            <w:r>
              <w:rPr>
                <w:b/>
                <w:sz w:val="16"/>
              </w:rPr>
              <w:t xml:space="preserve">Density</w:t>
            </w:r>
          </w:p>
        </w:tc>
        <w:tc>
          <w:tcPr>
            <w:shd w:val="clear" w:color="auto" w:fill="DCE6F0"/>
          </w:tcPr>
          <w:p>
            <w:pPr>
              <w:pStyle w:val="Compact"/>
              <w:spacing w:after="0" w:before="0"/>
            </w:pPr>
            <w:r>
              <w:rPr>
                <w:b/>
                <w:sz w:val="16"/>
              </w:rPr>
              <w:t xml:space="preserve">Box (conditions)</w:t>
            </w:r>
          </w:p>
        </w:tc>
      </w:tr>
      <w:tr>
        <w:tc>
          <w:tcPr/>
          <w:p>
            <w:pPr>
              <w:pStyle w:val="Compact"/>
              <w:spacing w:after="0" w:before="0"/>
            </w:pPr>
            <w:r>
              <w:rPr>
                <w:sz w:val="16"/>
              </w:rPr>
              <w:t xml:space="preserve">SL landfill + flare</w:t>
            </w:r>
          </w:p>
        </w:tc>
        <w:tc>
          <w:tcPr/>
          <w:p>
            <w:pPr>
              <w:pStyle w:val="Compact"/>
              <w:spacing w:after="0" w:before="0"/>
            </w:pPr>
            <w:r>
              <w:rPr>
                <w:sz w:val="16"/>
              </w:rPr>
              <w:t xml:space="preserve">0.513</w:t>
            </w:r>
          </w:p>
        </w:tc>
        <w:tc>
          <w:tcPr/>
          <w:p>
            <w:pPr>
              <w:pStyle w:val="Compact"/>
              <w:spacing w:after="0" w:before="0"/>
            </w:pPr>
            <w:r>
              <w:rPr>
                <w:sz w:val="16"/>
              </w:rPr>
              <w:t xml:space="preserve">0.30</w:t>
            </w:r>
          </w:p>
        </w:tc>
        <w:tc>
          <w:tcPr/>
          <w:p>
            <w:pPr>
              <w:pStyle w:val="Compact"/>
              <w:spacing w:after="0" w:before="0"/>
            </w:pPr>
            <w:r>
              <w:rPr>
                <w:sz w:val="16"/>
              </w:rPr>
              <w:t xml:space="preserve">0.90</w:t>
            </w:r>
          </w:p>
        </w:tc>
        <w:tc>
          <w:tcPr/>
          <w:p>
            <w:pPr>
              <w:pStyle w:val="Compact"/>
              <w:spacing w:after="0" w:before="0"/>
            </w:pPr>
            <w:r>
              <w:rPr>
                <w:sz w:val="16"/>
              </w:rPr>
              <w:t xml:space="preserve">carbon_value: 0.00119 to 70.1; tariff = 0; food_separated = 0</w:t>
            </w:r>
          </w:p>
        </w:tc>
      </w:tr>
      <w:tr>
        <w:tc>
          <w:tcPr/>
          <w:p>
            <w:pPr>
              <w:pStyle w:val="Compact"/>
              <w:spacing w:after="0" w:before="0"/>
            </w:pPr>
            <w:r>
              <w:rPr>
                <w:sz w:val="16"/>
              </w:rPr>
              <w:t xml:space="preserve">S1 WtE</w:t>
            </w:r>
          </w:p>
        </w:tc>
        <w:tc>
          <w:tcPr/>
          <w:p>
            <w:pPr>
              <w:pStyle w:val="Compact"/>
              <w:spacing w:after="0" w:before="0"/>
            </w:pPr>
            <w:r>
              <w:rPr>
                <w:sz w:val="16"/>
              </w:rPr>
              <w:t xml:space="preserve">0.100</w:t>
            </w:r>
          </w:p>
        </w:tc>
        <w:tc>
          <w:tcPr/>
          <w:p>
            <w:pPr>
              <w:pStyle w:val="Compact"/>
              <w:spacing w:after="0" w:before="0"/>
            </w:pPr>
            <w:r>
              <w:rPr>
                <w:sz w:val="16"/>
              </w:rPr>
              <w:t xml:space="preserve">0.32</w:t>
            </w:r>
          </w:p>
        </w:tc>
        <w:tc>
          <w:tcPr/>
          <w:p>
            <w:pPr>
              <w:pStyle w:val="Compact"/>
              <w:spacing w:after="0" w:before="0"/>
            </w:pPr>
            <w:r>
              <w:rPr>
                <w:sz w:val="16"/>
              </w:rPr>
              <w:t xml:space="preserve">0.99</w:t>
            </w:r>
          </w:p>
        </w:tc>
        <w:tc>
          <w:tcPr/>
          <w:p>
            <w:pPr>
              <w:pStyle w:val="Compact"/>
              <w:spacing w:after="0" w:before="0"/>
            </w:pPr>
            <w:r>
              <w:rPr>
                <w:sz w:val="16"/>
              </w:rPr>
              <w:t xml:space="preserve">Q_tpd: 1.02e+03 to 3e+03; tariff = 1; food_separated = 0; LHV: 7.21 to 14.3</w:t>
            </w:r>
          </w:p>
        </w:tc>
      </w:tr>
      <w:tr>
        <w:tc>
          <w:tcPr/>
          <w:p>
            <w:pPr>
              <w:pStyle w:val="Compact"/>
              <w:spacing w:after="0" w:before="0"/>
            </w:pPr>
            <w:r>
              <w:rPr>
                <w:sz w:val="16"/>
              </w:rPr>
              <w:t xml:space="preserve">S2 RDF</w:t>
            </w:r>
          </w:p>
        </w:tc>
        <w:tc>
          <w:tcPr/>
          <w:p>
            <w:pPr>
              <w:pStyle w:val="Compact"/>
              <w:spacing w:after="0" w:before="0"/>
            </w:pPr>
            <w:r>
              <w:rPr>
                <w:sz w:val="16"/>
              </w:rPr>
              <w:t xml:space="preserve">0.001</w:t>
            </w:r>
          </w:p>
        </w:tc>
        <w:tc>
          <w:tcPr/>
          <w:p>
            <w:pPr>
              <w:pStyle w:val="Compact"/>
              <w:spacing w:after="0" w:before="0"/>
            </w:pPr>
            <w:r>
              <w:rPr>
                <w:sz w:val="16"/>
              </w:rPr>
              <w:t xml:space="preserve">n.a.</w:t>
            </w:r>
          </w:p>
        </w:tc>
        <w:tc>
          <w:tcPr/>
          <w:p>
            <w:pPr>
              <w:pStyle w:val="Compact"/>
              <w:spacing w:after="0" w:before="0"/>
            </w:pPr>
            <w:r>
              <w:rPr>
                <w:sz w:val="16"/>
              </w:rPr>
              <w:t xml:space="preserve">n.a.</w:t>
            </w:r>
          </w:p>
        </w:tc>
        <w:tc>
          <w:tcPr/>
          <w:p>
            <w:pPr>
              <w:pStyle w:val="Compact"/>
              <w:spacing w:after="0" w:before="0"/>
            </w:pPr>
            <w:r>
              <w:rPr>
                <w:sz w:val="16"/>
              </w:rPr>
              <w:t xml:space="preserve">best in fewer than 3% of draws; no box</w:t>
            </w:r>
          </w:p>
        </w:tc>
      </w:tr>
      <w:tr>
        <w:tc>
          <w:tcPr/>
          <w:p>
            <w:pPr>
              <w:pStyle w:val="Compact"/>
              <w:spacing w:after="0" w:before="0"/>
            </w:pPr>
            <w:r>
              <w:rPr>
                <w:sz w:val="16"/>
              </w:rPr>
              <w:t xml:space="preserve">S3 AD</w:t>
            </w:r>
          </w:p>
        </w:tc>
        <w:tc>
          <w:tcPr/>
          <w:p>
            <w:pPr>
              <w:pStyle w:val="Compact"/>
              <w:spacing w:after="0" w:before="0"/>
            </w:pPr>
            <w:r>
              <w:rPr>
                <w:sz w:val="16"/>
              </w:rPr>
              <w:t xml:space="preserve">0.301</w:t>
            </w:r>
          </w:p>
        </w:tc>
        <w:tc>
          <w:tcPr/>
          <w:p>
            <w:pPr>
              <w:pStyle w:val="Compact"/>
              <w:spacing w:after="0" w:before="0"/>
            </w:pPr>
            <w:r>
              <w:rPr>
                <w:sz w:val="16"/>
              </w:rPr>
              <w:t xml:space="preserve">0.31</w:t>
            </w:r>
          </w:p>
        </w:tc>
        <w:tc>
          <w:tcPr/>
          <w:p>
            <w:pPr>
              <w:pStyle w:val="Compact"/>
              <w:spacing w:after="0" w:before="0"/>
            </w:pPr>
            <w:r>
              <w:rPr>
                <w:sz w:val="16"/>
              </w:rPr>
              <w:t xml:space="preserve">0.86</w:t>
            </w:r>
          </w:p>
        </w:tc>
        <w:tc>
          <w:tcPr/>
          <w:p>
            <w:pPr>
              <w:pStyle w:val="Compact"/>
              <w:spacing w:after="0" w:before="0"/>
            </w:pPr>
            <w:r>
              <w:rPr>
                <w:sz w:val="16"/>
              </w:rPr>
              <w:t xml:space="preserve">carbon_value: 42.9 to 100; tariff = 0; food_separated = 1; paper_garden_share: 0.0311 to 0.279; gas_capture: 0.204 to 0.706</w:t>
            </w:r>
          </w:p>
        </w:tc>
      </w:tr>
      <w:tr>
        <w:tc>
          <w:tcPr/>
          <w:p>
            <w:pPr>
              <w:pStyle w:val="Compact"/>
              <w:spacing w:after="0" w:before="0"/>
            </w:pPr>
            <w:r>
              <w:rPr>
                <w:sz w:val="16"/>
              </w:rPr>
              <w:t xml:space="preserve">S4 PHB</w:t>
            </w:r>
          </w:p>
        </w:tc>
        <w:tc>
          <w:tcPr/>
          <w:p>
            <w:pPr>
              <w:pStyle w:val="Compact"/>
              <w:spacing w:after="0" w:before="0"/>
            </w:pPr>
            <w:r>
              <w:rPr>
                <w:sz w:val="16"/>
              </w:rPr>
              <w:t xml:space="preserve">0.020</w:t>
            </w:r>
          </w:p>
        </w:tc>
        <w:tc>
          <w:tcPr/>
          <w:p>
            <w:pPr>
              <w:pStyle w:val="Compact"/>
              <w:spacing w:after="0" w:before="0"/>
            </w:pPr>
            <w:r>
              <w:rPr>
                <w:sz w:val="16"/>
              </w:rPr>
              <w:t xml:space="preserve">n.a.</w:t>
            </w:r>
          </w:p>
        </w:tc>
        <w:tc>
          <w:tcPr/>
          <w:p>
            <w:pPr>
              <w:pStyle w:val="Compact"/>
              <w:spacing w:after="0" w:before="0"/>
            </w:pPr>
            <w:r>
              <w:rPr>
                <w:sz w:val="16"/>
              </w:rPr>
              <w:t xml:space="preserve">n.a.</w:t>
            </w:r>
          </w:p>
        </w:tc>
        <w:tc>
          <w:tcPr/>
          <w:p>
            <w:pPr>
              <w:pStyle w:val="Compact"/>
              <w:spacing w:after="0" w:before="0"/>
            </w:pPr>
            <w:r>
              <w:rPr>
                <w:sz w:val="16"/>
              </w:rPr>
              <w:t xml:space="preserve">best in fewer than 3% of draws; no box</w:t>
            </w:r>
          </w:p>
        </w:tc>
      </w:tr>
      <w:tr>
        <w:tc>
          <w:tcPr/>
          <w:p>
            <w:pPr>
              <w:pStyle w:val="Compact"/>
              <w:spacing w:after="0" w:before="0"/>
            </w:pPr>
            <w:r>
              <w:rPr>
                <w:sz w:val="16"/>
              </w:rPr>
              <w:t xml:space="preserve">S5 RDF + AD</w:t>
            </w:r>
          </w:p>
        </w:tc>
        <w:tc>
          <w:tcPr/>
          <w:p>
            <w:pPr>
              <w:pStyle w:val="Compact"/>
              <w:spacing w:after="0" w:before="0"/>
            </w:pPr>
            <w:r>
              <w:rPr>
                <w:sz w:val="16"/>
              </w:rPr>
              <w:t xml:space="preserve">0.065</w:t>
            </w:r>
          </w:p>
        </w:tc>
        <w:tc>
          <w:tcPr/>
          <w:p>
            <w:pPr>
              <w:pStyle w:val="Compact"/>
              <w:spacing w:after="0" w:before="0"/>
            </w:pPr>
            <w:r>
              <w:rPr>
                <w:sz w:val="16"/>
              </w:rPr>
              <w:t xml:space="preserve">0.31</w:t>
            </w:r>
          </w:p>
        </w:tc>
        <w:tc>
          <w:tcPr/>
          <w:p>
            <w:pPr>
              <w:pStyle w:val="Compact"/>
              <w:spacing w:after="0" w:before="0"/>
            </w:pPr>
            <w:r>
              <w:rPr>
                <w:sz w:val="16"/>
              </w:rPr>
              <w:t xml:space="preserve">0.42</w:t>
            </w:r>
          </w:p>
        </w:tc>
        <w:tc>
          <w:tcPr/>
          <w:p>
            <w:pPr>
              <w:pStyle w:val="Compact"/>
              <w:spacing w:after="0" w:before="0"/>
            </w:pPr>
            <w:r>
              <w:rPr>
                <w:sz w:val="16"/>
              </w:rPr>
              <w:t xml:space="preserve">carbon_value: 64.3 to 100; kiln_km: 10 to 294; tariff = 0; food_separated = 0; paper_garden_share: 0.131 to 0.527; gas_capture: 0.204 to 0.601</w:t>
            </w:r>
          </w:p>
        </w:tc>
      </w:tr>
    </w:tbl>
    <w:p>
      <w:pPr>
        <w:pStyle w:val="Caption"/>
      </w:pPr>
      <w:r>
        <w:t xml:space="preserve">Table 11: PRIM boxes. Coverage: share of all draws where the option is best that fall in the box; density: share of draws in the box where it is best. RDF alone and PHB are best in fewer than 3% of draws.</w:t>
      </w:r>
    </w:p>
    <w:p>
      <w:pPr>
        <w:pStyle w:val="BodyText"/>
        <w:jc w:val="both"/>
      </w:pPr>
      <w:r>
        <w:rPr>
          <w:b/>
          <w:bCs/>
        </w:rPr>
        <w:t xml:space="preserve">Reading the rules.</w:t>
      </w:r>
      <w:r>
        <w:t xml:space="preserve"> </w:t>
      </w:r>
      <w:r>
        <w:t xml:space="preserve">The carbon value (importance 0.28), source separation of food (0.43), plant scale (0.12) and kiln distance (0.01) carry the decision; heating value and the tariff matter only for WtE. For</w:t>
      </w:r>
      <w:r>
        <w:t xml:space="preserve"> </w:t>
      </w:r>
      <w:r>
        <w:rPr>
          <w:b/>
          <w:bCs/>
        </w:rPr>
        <w:t xml:space="preserve">mixed waste without the WtE tariff</w:t>
      </w:r>
      <w:r>
        <w:t xml:space="preserve">, the sanitary landfill with flare is best in 79% of draws and RDF + AD in 10%. The rules are:</w:t>
      </w:r>
    </w:p>
    <w:p>
      <w:pPr>
        <w:pStyle w:val="Compact"/>
        <w:numPr>
          <w:ilvl w:val="0"/>
          <w:numId w:val="1003"/>
        </w:numPr>
      </w:pPr>
      <w:r>
        <w:rPr>
          <w:b/>
          <w:bCs/>
        </w:rPr>
        <w:t xml:space="preserve">Sanitary landfill with flare</w:t>
      </w:r>
      <w:r>
        <w:t xml:space="preserve"> </w:t>
      </w:r>
      <w:r>
        <w:t xml:space="preserve">is preferred for mixed waste without the WtE tariff in most of the condition space; its densest PRIM box is a carbon value below about 70.1 USD/t with no tariff and no source separation (density 0.90).</w:t>
      </w:r>
    </w:p>
    <w:p>
      <w:pPr>
        <w:pStyle w:val="Compact"/>
        <w:numPr>
          <w:ilvl w:val="0"/>
          <w:numId w:val="1003"/>
        </w:numPr>
      </w:pPr>
      <w:r>
        <w:rPr>
          <w:b/>
          <w:bCs/>
        </w:rPr>
        <w:t xml:space="preserve">RDF + AD</w:t>
      </w:r>
      <w:r>
        <w:t xml:space="preserve"> </w:t>
      </w:r>
      <w:r>
        <w:t xml:space="preserve">is the only recovery option that can beat the landfill for mixed waste without the tariff, and only in a narrow region: carbon value: 64.3 to 100, kiln km: 10 to 294, tariff = 0, food separated = 0, paper garden share: 0.131 to 0.527, gas capture: 0.204 to 0.601 (PRIM density 0.42). It never forms a tree leaf, i.e. it is never the majority choice in any broad region of conditions.</w:t>
      </w:r>
    </w:p>
    <w:p>
      <w:pPr>
        <w:pStyle w:val="Compact"/>
        <w:numPr>
          <w:ilvl w:val="0"/>
          <w:numId w:val="1003"/>
        </w:numPr>
      </w:pPr>
      <w:r>
        <w:rPr>
          <w:b/>
          <w:bCs/>
        </w:rPr>
        <w:t xml:space="preserve">WtE</w:t>
      </w:r>
      <w:r>
        <w:t xml:space="preserve"> </w:t>
      </w:r>
      <w:r>
        <w:t xml:space="preserve">is preferred when the Perpres 109/2025 tariff applies, at least 1,000 t/day are delivered and the LHV is at least 7 MJ/kg (PRIM density 0.99); without the tariff it is rarely best.</w:t>
      </w:r>
    </w:p>
    <w:p>
      <w:pPr>
        <w:pStyle w:val="Compact"/>
        <w:numPr>
          <w:ilvl w:val="0"/>
          <w:numId w:val="1003"/>
        </w:numPr>
      </w:pPr>
      <w:r>
        <w:rPr>
          <w:b/>
          <w:bCs/>
        </w:rPr>
        <w:t xml:space="preserve">AD alone</w:t>
      </w:r>
      <w:r>
        <w:t xml:space="preserve"> </w:t>
      </w:r>
      <w:r>
        <w:t xml:space="preserve">is preferred when food waste arrives separated at source and the carbon value exceeds about 30–45 USD/t (tree split at 28 USD/t; PRIM: carbon value: 42.9 to 100, tariff = 0, food separated = 1, paper garden share: 0.0311 to 0.279, gas capture: 0.204 to 0.706).</w:t>
      </w:r>
    </w:p>
    <w:p>
      <w:pPr>
        <w:pStyle w:val="Compact"/>
        <w:numPr>
          <w:ilvl w:val="0"/>
          <w:numId w:val="1003"/>
        </w:numPr>
      </w:pPr>
      <w:r>
        <w:rPr>
          <w:b/>
          <w:bCs/>
        </w:rPr>
        <w:t xml:space="preserve">RDF alone and PHB</w:t>
      </w:r>
      <w:r>
        <w:t xml:space="preserve"> </w:t>
      </w:r>
      <w:r>
        <w:t xml:space="preserve">are best in fewer than 3% of all draws: they are dominated by RDF + AD and by flaring.</w:t>
      </w:r>
    </w:p>
    <w:p>
      <w:pPr>
        <w:pStyle w:val="CaptionedFigure"/>
      </w:pPr>
      <w:r>
        <w:drawing>
          <wp:inline>
            <wp:extent cx="5579999" cy="6277499"/>
            <wp:effectExtent b="0" l="0" r="0" t="0"/>
            <wp:docPr descr="Figure 12: Condition maps. Each cell shows the most frequent best option and the share of draws in which it is best, separately for mixed waste without tariff, mixed waste with the Perpres 109/2025 tariff and food separated at source." title="" id="60" name="Picture"/>
            <a:graphic>
              <a:graphicData uri="http://schemas.openxmlformats.org/drawingml/2006/picture">
                <pic:pic>
                  <pic:nvPicPr>
                    <pic:cNvPr descr="/home/user/claude/MSW_pathway_model_v3/outputs/fig_condition_maps.png" id="61" name="Picture"/>
                    <pic:cNvPicPr>
                      <a:picLocks noChangeArrowheads="1" noChangeAspect="1"/>
                    </pic:cNvPicPr>
                  </pic:nvPicPr>
                  <pic:blipFill>
                    <a:blip r:embed="rId59"/>
                    <a:stretch>
                      <a:fillRect/>
                    </a:stretch>
                  </pic:blipFill>
                  <pic:spPr bwMode="auto">
                    <a:xfrm>
                      <a:off x="0" y="0"/>
                      <a:ext cx="5579999" cy="6277499"/>
                    </a:xfrm>
                    <a:prstGeom prst="rect">
                      <a:avLst/>
                    </a:prstGeom>
                    <a:noFill/>
                    <a:ln w="9525">
                      <a:noFill/>
                      <a:headEnd/>
                      <a:tailEnd/>
                    </a:ln>
                  </pic:spPr>
                </pic:pic>
              </a:graphicData>
            </a:graphic>
          </wp:inline>
        </w:drawing>
      </w:r>
    </w:p>
    <w:p>
      <w:pPr>
        <w:pStyle w:val="ImageCaption"/>
      </w:pPr>
      <w:r>
        <w:t xml:space="preserve">Figure 12: Condition maps. Each cell shows the most frequent best option and the share of draws in which it is best, separately for mixed waste without tariff, mixed waste with the Perpres 109/2025 tariff and food separated at source.</w:t>
      </w:r>
    </w:p>
    <w:p>
      <w:pPr>
        <w:pStyle w:val="BodyText"/>
        <w:jc w:val="both"/>
      </w:pPr>
      <w:r>
        <w:rPr>
          <w:b/>
          <w:bCs/>
        </w:rPr>
        <w:t xml:space="preserve">Sobol indices.</w:t>
      </w:r>
      <w:r>
        <w:t xml:space="preserve"> </w:t>
      </w:r>
      <w:r>
        <w:t xml:space="preserve">To complement the rank correlations, first-order and total Sobol indices (Saltelli sampling, N = 512 base samples, 60 register inputs plus the common wetness draw; composition fixed at each location’s value) were computed for every location and averaged.</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2376"/>
        <w:gridCol w:w="5544"/>
      </w:tblGrid>
      <w:tr>
        <w:trPr>
          <w:tblHeader w:val="on"/>
        </w:trPr>
        <w:tc>
          <w:tcPr>
            <w:shd w:val="clear" w:color="auto" w:fill="DCE6F0"/>
          </w:tcPr>
          <w:p>
            <w:pPr>
              <w:pStyle w:val="Compact"/>
              <w:spacing w:after="0" w:before="0"/>
            </w:pPr>
            <w:r>
              <w:rPr>
                <w:b/>
                <w:sz w:val="16"/>
              </w:rPr>
              <w:t xml:space="preserve">Output</w:t>
            </w:r>
          </w:p>
        </w:tc>
        <w:tc>
          <w:tcPr>
            <w:shd w:val="clear" w:color="auto" w:fill="DCE6F0"/>
          </w:tcPr>
          <w:p>
            <w:pPr>
              <w:pStyle w:val="Compact"/>
              <w:spacing w:after="0" w:before="0"/>
            </w:pPr>
            <w:r>
              <w:rPr>
                <w:b/>
                <w:sz w:val="16"/>
              </w:rPr>
              <w:t xml:space="preserve">Most influential inputs: total index ST (first-order S1)</w:t>
            </w:r>
          </w:p>
        </w:tc>
      </w:tr>
      <w:tr>
        <w:tc>
          <w:tcPr/>
          <w:p>
            <w:pPr>
              <w:pStyle w:val="Compact"/>
              <w:spacing w:after="0" w:before="0"/>
            </w:pPr>
            <w:r>
              <w:rPr>
                <w:sz w:val="16"/>
              </w:rPr>
              <w:t xml:space="preserve">Carbon-inclusive cost gap RDF + AD minus landfill at 50 USD/t</w:t>
            </w:r>
          </w:p>
        </w:tc>
        <w:tc>
          <w:tcPr/>
          <w:p>
            <w:pPr>
              <w:pStyle w:val="Compact"/>
              <w:spacing w:after="0" w:before="0"/>
            </w:pPr>
            <w:r>
              <w:rPr>
                <w:sz w:val="16"/>
              </w:rPr>
              <w:t xml:space="preserve">landfill-gas collection 0.30 (0.30); moisture (wetness) 0.22 (0.22); RDF O&amp;M 0.10 (0.10); AD CAPEX 0.05 (0.06); landfill cost 0.05 (0.06); DOC x DOCf multiplier 0.04 (0.04)</w:t>
            </w:r>
          </w:p>
        </w:tc>
      </w:tr>
      <w:tr>
        <w:tc>
          <w:tcPr/>
          <w:p>
            <w:pPr>
              <w:pStyle w:val="Compact"/>
              <w:spacing w:after="0" w:before="0"/>
            </w:pPr>
            <w:r>
              <w:rPr>
                <w:sz w:val="16"/>
              </w:rPr>
              <w:t xml:space="preserve">GHG of the sanitary landfill</w:t>
            </w:r>
          </w:p>
        </w:tc>
        <w:tc>
          <w:tcPr/>
          <w:p>
            <w:pPr>
              <w:pStyle w:val="Compact"/>
              <w:spacing w:after="0" w:before="0"/>
            </w:pPr>
            <w:r>
              <w:rPr>
                <w:sz w:val="16"/>
              </w:rPr>
              <w:t xml:space="preserve">landfill-gas collection 0.72 (0.70); moisture (wetness) 0.18 (0.16); DOC x DOCf multiplier 0.08 (0.08); garden share of organik 0.02 (0.02)</w:t>
            </w:r>
          </w:p>
        </w:tc>
      </w:tr>
      <w:tr>
        <w:tc>
          <w:tcPr/>
          <w:p>
            <w:pPr>
              <w:pStyle w:val="Compact"/>
              <w:spacing w:after="0" w:before="0"/>
            </w:pPr>
            <w:r>
              <w:rPr>
                <w:sz w:val="16"/>
              </w:rPr>
              <w:t xml:space="preserve">GHG of WtE</w:t>
            </w:r>
          </w:p>
        </w:tc>
        <w:tc>
          <w:tcPr/>
          <w:p>
            <w:pPr>
              <w:pStyle w:val="Compact"/>
              <w:spacing w:after="0" w:before="0"/>
            </w:pPr>
            <w:r>
              <w:rPr>
                <w:sz w:val="16"/>
              </w:rPr>
              <w:t xml:space="preserve">grid factor multiplier 0.42 (0.40); WtE efficiency 0.42 (0.40); moisture (wetness) 0.07 (0.05); LHV calibration 0.05 (0.05)</w:t>
            </w:r>
          </w:p>
        </w:tc>
      </w:tr>
    </w:tbl>
    <w:p>
      <w:pPr>
        <w:pStyle w:val="Caption"/>
      </w:pPr>
      <w:r>
        <w:t xml:space="preserve">Table 12: Sobol indices, mean over the 21 locations (</w:t>
      </w:r>
      <w:r>
        <w:rPr>
          <w:i/>
          <w:iCs/>
        </w:rPr>
        <w:t xml:space="preserve">outputs/discovery_sobol_mean.csv</w:t>
      </w:r>
      <w:r>
        <w:t xml:space="preserve">).</w:t>
      </w:r>
    </w:p>
    <w:p>
      <w:pPr>
        <w:pStyle w:val="BodyText"/>
        <w:jc w:val="both"/>
      </w:pPr>
      <w:r>
        <w:t xml:space="preserve">Moisture as received and landfill-gas collection efficiency together explain about half of the variance of the carbon-inclusive cost gap between RDF + AD and the landfill, which is why the moisture scenario of Section 8 can reverse the ranking. These two quantities, together with RDF operating cost and price, are the data to measure first.</w:t>
      </w:r>
    </w:p>
    <w:p>
      <w:pPr>
        <w:pStyle w:val="CaptionedFigure"/>
      </w:pPr>
      <w:r>
        <w:drawing>
          <wp:inline>
            <wp:extent cx="5399999" cy="2076923"/>
            <wp:effectExtent b="0" l="0" r="0" t="0"/>
            <wp:docPr descr="Figure 13: Sobol indices for the carbon-inclusive cost gap RDF + AD minus landfill and for the GHG of the landfill, mean over 21 locations." title="" id="63" name="Picture"/>
            <a:graphic>
              <a:graphicData uri="http://schemas.openxmlformats.org/drawingml/2006/picture">
                <pic:pic>
                  <pic:nvPicPr>
                    <pic:cNvPr descr="/home/user/claude/MSW_pathway_model_v3/outputs/fig_sobol.png" id="64" name="Picture"/>
                    <pic:cNvPicPr>
                      <a:picLocks noChangeArrowheads="1" noChangeAspect="1"/>
                    </pic:cNvPicPr>
                  </pic:nvPicPr>
                  <pic:blipFill>
                    <a:blip r:embed="rId62"/>
                    <a:stretch>
                      <a:fillRect/>
                    </a:stretch>
                  </pic:blipFill>
                  <pic:spPr bwMode="auto">
                    <a:xfrm>
                      <a:off x="0" y="0"/>
                      <a:ext cx="5399999" cy="2076923"/>
                    </a:xfrm>
                    <a:prstGeom prst="rect">
                      <a:avLst/>
                    </a:prstGeom>
                    <a:noFill/>
                    <a:ln w="9525">
                      <a:noFill/>
                      <a:headEnd/>
                      <a:tailEnd/>
                    </a:ln>
                  </pic:spPr>
                </pic:pic>
              </a:graphicData>
            </a:graphic>
          </wp:inline>
        </w:drawing>
      </w:r>
    </w:p>
    <w:p>
      <w:pPr>
        <w:pStyle w:val="ImageCaption"/>
      </w:pPr>
      <w:r>
        <w:t xml:space="preserve">Figure 13: Sobol indices for the carbon-inclusive cost gap RDF + AD minus landfill and for the GHG of the landfill, mean over 21 locations.</w:t>
      </w:r>
    </w:p>
    <w:bookmarkEnd w:id="65"/>
    <w:bookmarkStart w:id="66" w:name="X634965311fbd43dc1fdc6f7ba3b0c87c768378f"/>
    <w:p>
      <w:pPr>
        <w:pStyle w:val="Heading1"/>
      </w:pPr>
      <w:r>
        <w:t xml:space="preserve">12 A reproducible decision tool for researchers and planners</w:t>
      </w:r>
    </w:p>
    <w:p>
      <w:pPr>
        <w:pStyle w:val="FirstParagraph"/>
        <w:jc w:val="both"/>
      </w:pPr>
      <w:r>
        <w:t xml:space="preserve">The model is packaged as the Python package</w:t>
      </w:r>
      <w:r>
        <w:t xml:space="preserve"> </w:t>
      </w:r>
      <w:r>
        <w:rPr>
          <w:i/>
          <w:iCs/>
        </w:rPr>
        <w:t xml:space="preserve">mswpath</w:t>
      </w:r>
      <w:r>
        <w:t xml:space="preserve"> </w:t>
      </w:r>
      <w:r>
        <w:t xml:space="preserve">(core model, input template and validator, scenario discovery, reports and an interactive form) and exposed through</w:t>
      </w:r>
      <w:r>
        <w:t xml:space="preserve"> </w:t>
      </w:r>
      <w:r>
        <w:rPr>
          <w:i/>
          <w:iCs/>
        </w:rPr>
        <w:t xml:space="preserve">MSW_Decision_Tool_Colab.ipynb</w:t>
      </w:r>
      <w:r>
        <w:t xml:space="preserve">, which runs in Google Colab without installation. The notebook (i) reproduces the results for the 21 RIPS locations; (ii) accepts a one-row-per-city template (</w:t>
      </w:r>
      <w:r>
        <w:rPr>
          <w:i/>
          <w:iCs/>
        </w:rPr>
        <w:t xml:space="preserve">templates/city_input_template.xlsx</w:t>
      </w:r>
      <w:r>
        <w:t xml:space="preserve">, with an English/Indonesian column guide), validates it, applies the same single-projection and normalisation rules and reports every assumption it applies; (iii) offers an interactive form for one city; (iv) re-runs scenario discovery and applies the decision tree to a city described by the user; (v) reports break-even targets and the value of information for a chosen city; and (vi) writes Excel and HTML reports in English or Indonesian that carry the caveats and the data-quality warnings. A round-trip test confirms that two RIPS locations entered through the template reproduce the database results. Versions are pinned in</w:t>
      </w:r>
      <w:r>
        <w:t xml:space="preserve"> </w:t>
      </w:r>
      <w:r>
        <w:rPr>
          <w:i/>
          <w:iCs/>
        </w:rPr>
        <w:t xml:space="preserve">requirements.txt</w:t>
      </w:r>
      <w:r>
        <w:t xml:space="preserve">, random seeds are fixed and</w:t>
      </w:r>
      <w:r>
        <w:t xml:space="preserve"> </w:t>
      </w:r>
      <w:r>
        <w:rPr>
          <w:i/>
          <w:iCs/>
        </w:rPr>
        <w:t xml:space="preserve">CITATION.cff</w:t>
      </w:r>
      <w:r>
        <w:t xml:space="preserve"> </w:t>
      </w:r>
      <w:r>
        <w:t xml:space="preserve">gives the citation.</w:t>
      </w:r>
    </w:p>
    <w:p>
      <w:pPr>
        <w:pStyle w:val="BodyText"/>
        <w:jc w:val="both"/>
      </w:pPr>
      <w:r>
        <w:rPr>
          <w:b/>
          <w:bCs/>
        </w:rPr>
        <w:t xml:space="preserve">One-city notebook for researchers and readers.</w:t>
      </w:r>
      <w:r>
        <w:t xml:space="preserve"> </w:t>
      </w:r>
      <w:r>
        <w:rPr>
          <w:i/>
          <w:iCs/>
        </w:rPr>
        <w:t xml:space="preserve">MSW_Single_City_Colab.ipynb</w:t>
      </w:r>
      <w:r>
        <w:t xml:space="preserve"> </w:t>
      </w:r>
      <w:r>
        <w:t xml:space="preserve">runs the complete analysis for a single city whose data are entered by hand, either in</w:t>
      </w:r>
      <w:r>
        <w:t xml:space="preserve"> </w:t>
      </w:r>
      <w:r>
        <w:rPr>
          <w:i/>
          <w:iCs/>
        </w:rPr>
        <w:t xml:space="preserve">templates/single_city_template.xlsx</w:t>
      </w:r>
      <w:r>
        <w:t xml:space="preserve"> </w:t>
      </w:r>
      <w:r>
        <w:t xml:space="preserve">(sheets</w:t>
      </w:r>
      <w:r>
        <w:t xml:space="preserve"> </w:t>
      </w:r>
      <w:r>
        <w:rPr>
          <w:i/>
          <w:iCs/>
        </w:rPr>
        <w:t xml:space="preserve">city_data</w:t>
      </w:r>
      <w:r>
        <w:t xml:space="preserve">,</w:t>
      </w:r>
      <w:r>
        <w:t xml:space="preserve"> </w:t>
      </w:r>
      <w:r>
        <w:rPr>
          <w:i/>
          <w:iCs/>
        </w:rPr>
        <w:t xml:space="preserve">composition</w:t>
      </w:r>
      <w:r>
        <w:t xml:space="preserve"> </w:t>
      </w:r>
      <w:r>
        <w:t xml:space="preserve">and the optional</w:t>
      </w:r>
      <w:r>
        <w:t xml:space="preserve"> </w:t>
      </w:r>
      <w:r>
        <w:rPr>
          <w:i/>
          <w:iCs/>
        </w:rPr>
        <w:t xml:space="preserve">local_parameters</w:t>
      </w:r>
      <w:r>
        <w:t xml:space="preserve">; the same content is provided as three CSV files) or typed directly into the notebook. Domestic and non-domestic compositions and tonnages can be given separately; local measured values (for example the moisture of food waste, the landfill cost or the RDF price) replace the defaults and are listed in the report. The notebook shows each step (characterisation, central results, decision at fixed carbon values, uncertainty, scenarios, break-even targets and value of information) and exports an Excel report. With the Kota Padang example and the default seed it reproduces the worked example exactly; this is a validation check.</w:t>
      </w:r>
    </w:p>
    <w:bookmarkEnd w:id="66"/>
    <w:bookmarkStart w:id="67" w:name="limits-of-validity"/>
    <w:p>
      <w:pPr>
        <w:pStyle w:val="Heading1"/>
      </w:pPr>
      <w:r>
        <w:t xml:space="preserve">13 Limits of validity</w:t>
      </w:r>
    </w:p>
    <w:p>
      <w:pPr>
        <w:pStyle w:val="Compact"/>
        <w:numPr>
          <w:ilvl w:val="0"/>
          <w:numId w:val="1004"/>
        </w:numPr>
      </w:pPr>
      <w:r>
        <w:rPr>
          <w:b/>
          <w:bCs/>
        </w:rPr>
        <w:t xml:space="preserve">Ex-ante screening.</w:t>
      </w:r>
      <w:r>
        <w:t xml:space="preserve"> </w:t>
      </w:r>
      <w:r>
        <w:t xml:space="preserve">No option is built in the study locations, so results are estimates for decision support before investment, not an evaluation of plants. Break-even targets and the value of information say what a feasibility study must confirm; they do not replace it.</w:t>
      </w:r>
    </w:p>
    <w:p>
      <w:pPr>
        <w:pStyle w:val="Compact"/>
        <w:numPr>
          <w:ilvl w:val="0"/>
          <w:numId w:val="1004"/>
        </w:numPr>
      </w:pPr>
      <w:r>
        <w:rPr>
          <w:b/>
          <w:bCs/>
        </w:rPr>
        <w:t xml:space="preserve">Secondary-data check.</w:t>
      </w:r>
      <w:r>
        <w:t xml:space="preserve"> </w:t>
      </w:r>
      <w:r>
        <w:t xml:space="preserve">The October 2026 verification used abstracts, indexed records and search extracts because full texts could not be downloaded; values marked L should be checked against the full texts before publication.</w:t>
      </w:r>
    </w:p>
    <w:p>
      <w:pPr>
        <w:pStyle w:val="Compact"/>
        <w:numPr>
          <w:ilvl w:val="0"/>
          <w:numId w:val="1004"/>
        </w:numPr>
      </w:pPr>
      <w:r>
        <w:rPr>
          <w:b/>
          <w:bCs/>
        </w:rPr>
        <w:t xml:space="preserve">Temporal proxy.</w:t>
      </w:r>
      <w:r>
        <w:t xml:space="preserve"> </w:t>
      </w:r>
      <w:r>
        <w:t xml:space="preserve">Compositions sampled 2014 to 2025 represent 2025 without a trend; eight tonnages have an unverified year. Results describe a 2025 baseline</w:t>
      </w:r>
      <w:r>
        <w:t xml:space="preserve"> </w:t>
      </w:r>
      <w:r>
        <w:rPr>
          <w:i/>
          <w:iCs/>
        </w:rPr>
        <w:t xml:space="preserve">conditional</w:t>
      </w:r>
      <w:r>
        <w:t xml:space="preserve"> </w:t>
      </w:r>
      <w:r>
        <w:t xml:space="preserve">on these proxies, not a measured 2025 state.</w:t>
      </w:r>
    </w:p>
    <w:p>
      <w:pPr>
        <w:pStyle w:val="Compact"/>
        <w:numPr>
          <w:ilvl w:val="0"/>
          <w:numId w:val="1004"/>
        </w:numPr>
      </w:pPr>
      <w:r>
        <w:rPr>
          <w:b/>
          <w:bCs/>
        </w:rPr>
        <w:t xml:space="preserve">Managed-waste definitions.</w:t>
      </w:r>
      <w:r>
        <w:t xml:space="preserve"> </w:t>
      </w:r>
      <w:r>
        <w:t xml:space="preserve">No single indicator exists for all 21 locations. Rankings on managed tonnage are valid only within series M1, and series M2 mixes definitions. Padang’s share is provisional.</w:t>
      </w:r>
    </w:p>
    <w:p>
      <w:pPr>
        <w:pStyle w:val="Compact"/>
        <w:numPr>
          <w:ilvl w:val="0"/>
          <w:numId w:val="1004"/>
        </w:numPr>
      </w:pPr>
      <w:r>
        <w:rPr>
          <w:b/>
          <w:bCs/>
        </w:rPr>
        <w:t xml:space="preserve">Moisture and heating value.</w:t>
      </w:r>
      <w:r>
        <w:t xml:space="preserve"> </w:t>
      </w:r>
      <w:r>
        <w:t xml:space="preserve">No fraction-level moisture or LHV has been measured for the study locations; the LHV values are legacy. The moisture scenarios and stress tests show that this choice can reverse the ranking between landfill and RDF + AD at high carbon values, and the value-of-information analysis ranks local proximate analysis first.</w:t>
      </w:r>
    </w:p>
    <w:p>
      <w:pPr>
        <w:pStyle w:val="Compact"/>
        <w:numPr>
          <w:ilvl w:val="0"/>
          <w:numId w:val="1004"/>
        </w:numPr>
      </w:pPr>
      <w:r>
        <w:rPr>
          <w:b/>
          <w:bCs/>
        </w:rPr>
        <w:t xml:space="preserve">Level II/III.</w:t>
      </w:r>
      <w:r>
        <w:t xml:space="preserve"> </w:t>
      </w:r>
      <w:r>
        <w:t xml:space="preserve">Level II/III compositions are model allocations and their parameters are proxies; they cannot support fraction-level conclusions (for example on recycling of specific resins) until local sorting data exist.</w:t>
      </w:r>
    </w:p>
    <w:p>
      <w:pPr>
        <w:pStyle w:val="Compact"/>
        <w:numPr>
          <w:ilvl w:val="0"/>
          <w:numId w:val="1004"/>
        </w:numPr>
      </w:pPr>
      <w:r>
        <w:rPr>
          <w:b/>
          <w:bCs/>
        </w:rPr>
        <w:t xml:space="preserve">Foreign benchmarks.</w:t>
      </w:r>
      <w:r>
        <w:t xml:space="preserve"> </w:t>
      </w:r>
      <w:r>
        <w:t xml:space="preserve">Danish residual household waste is not Indonesian mixed MSW and not non-domestic waste.</w:t>
      </w:r>
    </w:p>
    <w:p>
      <w:pPr>
        <w:pStyle w:val="Compact"/>
        <w:numPr>
          <w:ilvl w:val="0"/>
          <w:numId w:val="1004"/>
        </w:numPr>
      </w:pPr>
      <w:r>
        <w:rPr>
          <w:b/>
          <w:bCs/>
        </w:rPr>
        <w:t xml:space="preserve">Global defaults.</w:t>
      </w:r>
      <w:r>
        <w:t xml:space="preserve"> </w:t>
      </w:r>
      <w:r>
        <w:t xml:space="preserve">IPCC defaults are global and describe waste as generated, not at the landfill gate.</w:t>
      </w:r>
    </w:p>
    <w:p>
      <w:pPr>
        <w:pStyle w:val="Compact"/>
        <w:numPr>
          <w:ilvl w:val="0"/>
          <w:numId w:val="1004"/>
        </w:numPr>
      </w:pPr>
      <w:r>
        <w:rPr>
          <w:b/>
          <w:bCs/>
        </w:rPr>
        <w:t xml:space="preserve">Carbon-inclusive cost.</w:t>
      </w:r>
      <w:r>
        <w:t xml:space="preserve"> </w:t>
      </w:r>
      <w:r>
        <w:t xml:space="preserve">Only greenhouse gases are valued; health, air pollution, odour, leachate and jobs are not. CED and land take are reported but not monetised.</w:t>
      </w:r>
    </w:p>
    <w:p>
      <w:pPr>
        <w:pStyle w:val="Compact"/>
        <w:numPr>
          <w:ilvl w:val="0"/>
          <w:numId w:val="1004"/>
        </w:numPr>
      </w:pPr>
      <w:r>
        <w:rPr>
          <w:b/>
          <w:bCs/>
        </w:rPr>
        <w:t xml:space="preserve">Screening level.</w:t>
      </w:r>
      <w:r>
        <w:t xml:space="preserve"> </w:t>
      </w:r>
      <w:r>
        <w:t xml:space="preserve">One impact category in the decision; no time dynamics of landfill gas; class-5 costs not escalated; provisional coordinates; independent triangular inputs; Status L values still to be checked against the originals.</w:t>
      </w:r>
    </w:p>
    <w:p>
      <w:pPr>
        <w:pStyle w:val="Compact"/>
        <w:numPr>
          <w:ilvl w:val="0"/>
          <w:numId w:val="1004"/>
        </w:numPr>
      </w:pPr>
      <w:r>
        <w:rPr>
          <w:b/>
          <w:bCs/>
        </w:rPr>
        <w:t xml:space="preserve">Coverage.</w:t>
      </w:r>
      <w:r>
        <w:t xml:space="preserve"> </w:t>
      </w:r>
      <w:r>
        <w:t xml:space="preserve">21 locations, 12 in Central Java; conclusions about Indonesian conditions in general need more regions.</w:t>
      </w:r>
    </w:p>
    <w:bookmarkEnd w:id="67"/>
    <w:bookmarkStart w:id="68" w:name="data-gaps-carried-forward"/>
    <w:p>
      <w:pPr>
        <w:pStyle w:val="Heading1"/>
      </w:pPr>
      <w:r>
        <w:t xml:space="preserve">14 Data gaps carried forward</w:t>
      </w:r>
    </w:p>
    <w:p>
      <w:pPr>
        <w:pStyle w:val="FirstParagraph"/>
        <w:jc w:val="both"/>
      </w:pPr>
      <w:r>
        <w:t xml:space="preserve">Measured fraction-level moisture and LHV (local proximate analysis); DOCf for rubber and leather; material composition of coated board, composite film, batteries, HHW and WEEE; Level III food and miscellaneous-paper sorting data; the year of the overview tonnage index; the definition and denominator of the RIPS status index; whether Padang’s 141.76 t/d is actual or potential recovery; chlorine and sulphur of RDF; verified plant and kiln coordinates; the numerical tables of Riber et al. (2009). The full list with the decision taken for each item is in CHANGELOG_AND_SOURCE_DECISIONS.md.</w:t>
      </w:r>
    </w:p>
    <w:bookmarkEnd w:id="68"/>
    <w:bookmarkStart w:id="69" w:name="references"/>
    <w:p>
      <w:pPr>
        <w:pStyle w:val="Heading1"/>
      </w:pPr>
      <w:r>
        <w:t xml:space="preserve">References</w:t>
      </w:r>
    </w:p>
    <w:p>
      <w:pPr>
        <w:pStyle w:val="Bibliography"/>
      </w:pPr>
      <w:r>
        <w:t xml:space="preserve">Anshassi, M., Smallwood, T., Townsend, T.G. (2022). Life cycle GHG emissions of MSW landfilling versus incineration: expected outcomes based on US landfill gas collection regulations. Waste Management 142, 44-54.</w:t>
      </w:r>
    </w:p>
    <w:p>
      <w:pPr>
        <w:pStyle w:val="Bibliography"/>
      </w:pPr>
      <w:r>
        <w:t xml:space="preserve">Astrup, T., Møller, J., Fruergaard, T. (2009). Incineration and co-combustion of waste: accounting of greenhouse gases and global warming contributions. Waste Management &amp; Research 27, 789-799.</w:t>
      </w:r>
    </w:p>
    <w:p>
      <w:pPr>
        <w:pStyle w:val="Bibliography"/>
      </w:pPr>
      <w:r>
        <w:t xml:space="preserve">Astrup, T.F., Tonini, D., Turconi, R., Boldrin, A. (2015). Life cycle assessment of thermal waste-to-energy technologies: review and recommendations. Waste Management 37, 104-115.</w:t>
      </w:r>
    </w:p>
    <w:p>
      <w:pPr>
        <w:pStyle w:val="Bibliography"/>
      </w:pPr>
      <w:r>
        <w:t xml:space="preserve">Azis, M.M., Kristanto, J., Purnomo, C.W. (2021). A techno-economic evaluation of municipal solid waste (MSW) conversion to energy in Indonesia. Sustainability 13, 7232.</w:t>
      </w:r>
    </w:p>
    <w:p>
      <w:pPr>
        <w:pStyle w:val="Bibliography"/>
      </w:pPr>
      <w:r>
        <w:t xml:space="preserve">Barlaz, M.A., Chanton, J.P., Green, R.B. (2009). Controls on landfill gas collection efficiency: instantaneous and lifetime performance. Journal of the Air &amp; Waste Management Association 59, 1399-1404.</w:t>
      </w:r>
    </w:p>
    <w:p>
      <w:pPr>
        <w:pStyle w:val="Bibliography"/>
      </w:pPr>
      <w:r>
        <w:t xml:space="preserve">Chidambarampadmavathy, K., Karthikeyan, O.P., Heimann, K. (2017). Sustainable bio-plastic production through landfill methane recycling. Renewable and Sustainable Energy Reviews 71, 555-562.</w:t>
      </w:r>
    </w:p>
    <w:p>
      <w:pPr>
        <w:pStyle w:val="Bibliography"/>
      </w:pPr>
      <w:r>
        <w:t xml:space="preserve">Edjabou, M.E., Jensen, M.B., Götze, R., Pivnenko, K., Petersen, C., Scheutz, C., Astrup, T.F. (2015). Municipal solid waste composition: sampling methodology, statistical analyses, and case study evaluation. Waste Management 36, 12-23. https://doi.org/10.1016/j.wasman.2014.11.009</w:t>
      </w:r>
    </w:p>
    <w:p>
      <w:pPr>
        <w:pStyle w:val="Bibliography"/>
      </w:pPr>
      <w:r>
        <w:t xml:space="preserve">Edjabou, M.E., Martín-Fernández, J.A., Scheutz, C., Astrup, T.F. (2017). Statistical analysis of solid waste composition data: arithmetic mean, standard deviation and correlation coefficients. Waste Management 69, 13-23.</w:t>
      </w:r>
    </w:p>
    <w:p>
      <w:pPr>
        <w:pStyle w:val="Bibliography"/>
      </w:pPr>
      <w:r>
        <w:t xml:space="preserve">European Union (2012). Directive 2012/19/EU on waste electrical and electronic equipment (WEEE).</w:t>
      </w:r>
    </w:p>
    <w:p>
      <w:pPr>
        <w:pStyle w:val="Bibliography"/>
      </w:pPr>
      <w:r>
        <w:t xml:space="preserve">Götze, R., Boldrin, A., Scheutz, C., Astrup, T.F. (2016). Physico-chemical characterisation of material fractions in household waste: overview of data in literature. Waste Management 49, 3-14. https://doi.org/10.1016/j.wasman.2016.01.008</w:t>
      </w:r>
    </w:p>
    <w:p>
      <w:pPr>
        <w:pStyle w:val="Bibliography"/>
      </w:pPr>
      <w:r>
        <w:t xml:space="preserve">GIZ ERiC-DKTI (2023). Kajian Analisis Potensi Off-taker Refuse Derived Fuel (RDF). Jakarta.</w:t>
      </w:r>
    </w:p>
    <w:p>
      <w:pPr>
        <w:pStyle w:val="Bibliography"/>
      </w:pPr>
      <w:r>
        <w:t xml:space="preserve">IPCC (2006). 2006 IPCC Guidelines for National Greenhouse Gas Inventories, Volume 5 Waste, Chapter 2 (Table 2.4) and Chapter 3.</w:t>
      </w:r>
    </w:p>
    <w:p>
      <w:pPr>
        <w:pStyle w:val="Bibliography"/>
      </w:pPr>
      <w:r>
        <w:t xml:space="preserve">IPCC (2019). 2019 Refinement to the 2006 IPCC Guidelines, Volume 5, Chapter 3 (Table 3.0); corrected July 2023.</w:t>
      </w:r>
    </w:p>
    <w:p>
      <w:pPr>
        <w:pStyle w:val="Bibliography"/>
      </w:pPr>
      <w:r>
        <w:t xml:space="preserve">IPCC (2021). Climate Change 2021: The Physical Science Basis (AR6 WG1), Chapter 7, Table 7.15.</w:t>
      </w:r>
    </w:p>
    <w:p>
      <w:pPr>
        <w:pStyle w:val="Bibliography"/>
      </w:pPr>
      <w:r>
        <w:t xml:space="preserve">Nasrullah, M., Vainikka, P., Hannula, J., Hurme, M., Kärki, J. (2014). Mass, energy and material balances of SRF production process. Part 1: SRF produced from commercial and industrial waste. Waste Management 34, 1398-1407.</w:t>
      </w:r>
    </w:p>
    <w:p>
      <w:pPr>
        <w:pStyle w:val="Bibliography"/>
      </w:pPr>
      <w:r>
        <w:t xml:space="preserve">Prabowo, B., Simanjuntak, F.S.H., Saldi, Z.S., Samyudia, Y., Widjojo, I.J. (2019). Assessment of waste to energy technology in Indonesia: a techno-economical perspective on a 1000 ton/day scenario. International Journal of Technology 10, 1228-1234.</w:t>
      </w:r>
    </w:p>
    <w:p>
      <w:pPr>
        <w:pStyle w:val="Bibliography"/>
      </w:pPr>
      <w:r>
        <w:t xml:space="preserve">Raharjo, S., Ariska, R. (2022). Waste-to-energy study for Padang (Jurnal Presipitasi). Reviewed; its heating values are not Padang laboratory data.</w:t>
      </w:r>
    </w:p>
    <w:p>
      <w:pPr>
        <w:pStyle w:val="Bibliography"/>
      </w:pPr>
      <w:r>
        <w:t xml:space="preserve">Riber, C., Petersen, C., Christensen, T.H. (2009). Chemical composition of material fractions in Danish household waste. Waste Management 29, 1251-1257. https://doi.org/10.1016/j.wasman.2008.09.013</w:t>
      </w:r>
    </w:p>
    <w:p>
      <w:pPr>
        <w:pStyle w:val="Bibliography"/>
      </w:pPr>
      <w:r>
        <w:t xml:space="preserve">Republic of Indonesia. UU 18/2008; UU 7/2021; Perpres 109/2025; SNI 19-3964-1994; RIPS of the 21 cities/regencies (row-level locators in input_kota_2025_updated.csv).</w:t>
      </w:r>
    </w:p>
    <w:p>
      <w:pPr>
        <w:pStyle w:val="Bibliography"/>
      </w:pPr>
      <w:r>
        <w:t xml:space="preserve">Tchobanoglous, G., Theisen, H., Vigil, S. (1993). Integrated Solid Waste Management. McGraw-Hill.</w:t>
      </w:r>
    </w:p>
    <w:p>
      <w:pPr>
        <w:pStyle w:val="Bibliography"/>
      </w:pPr>
      <w:r>
        <w:t xml:space="preserve">Zhang, R., El-Mashad, H.M., Hartman, K., et al. (2007). Characterization of food waste as feedstock for anaerobic digestion. Bioresource Technology 98, 929-935.</w:t>
      </w:r>
    </w:p>
    <w:p>
      <w:pPr>
        <w:pStyle w:val="Bibliography"/>
      </w:pPr>
      <w:r>
        <w:t xml:space="preserve">Seruga, P., et al. (2020). Anaerobic digestion performance: separate collected vs. mechanical segregated organic fractions of municipal solid waste as feedstock. Energies 13.</w:t>
      </w:r>
    </w:p>
    <w:p>
      <w:pPr>
        <w:pStyle w:val="Bibliography"/>
      </w:pPr>
      <w:r>
        <w:t xml:space="preserve">Basinas, P., et al. (2020). Assessment of high-solid mesophilic and thermophilic anaerobic digestion of mechanically-separated municipal solid waste. Environmental Research.</w:t>
      </w:r>
    </w:p>
    <w:p>
      <w:pPr>
        <w:pStyle w:val="Bibliography"/>
      </w:pPr>
      <w:r>
        <w:t xml:space="preserve">Basinas, P., et al. (2021). Dry anaerobic digestion of the fine particle fraction of mechanically-sorted organic fraction of municipal solid waste in laboratory and pilot reactor. Waste Management.</w:t>
      </w:r>
    </w:p>
    <w:p>
      <w:pPr>
        <w:pStyle w:val="Bibliography"/>
      </w:pPr>
      <w:r>
        <w:t xml:space="preserve">Yuliani, M., et al. (2022). Kajian tekno-ekonomi penerapan insinerator waste-to-energy di Indonesia (kasus pada Kota X). Jurnal Teknologi Lingkungan.</w:t>
      </w:r>
    </w:p>
    <w:p>
      <w:pPr>
        <w:pStyle w:val="Bibliography"/>
      </w:pPr>
      <w:r>
        <w:t xml:space="preserve">Zeng, J.-C., et al. (2024). Environmental, energy, and techno-economic assessment of waste-to-energy incineration. Sustainability.</w:t>
      </w:r>
    </w:p>
    <w:p>
      <w:pPr>
        <w:pStyle w:val="Bibliography"/>
      </w:pPr>
      <w:r>
        <w:t xml:space="preserve">Febijanto, I., et al. (2024). Municipal solid waste reduction through incineration for electricity purposes and its environmental performance: a case study in Bantargebang, West Java, Indonesia. Evergreen.</w:t>
      </w:r>
    </w:p>
    <w:p>
      <w:pPr>
        <w:pStyle w:val="Bibliography"/>
      </w:pPr>
      <w:r>
        <w:t xml:space="preserve">Ministry of Energy and Mineral Resources (ESDM) (2018). Grid emission factors of the Indonesian electricity systems, as listed for the Joint Crediting Mechanism by GEC (jcmsbsd30_emission_factor).</w:t>
      </w:r>
    </w:p>
    <w:p>
      <w:pPr>
        <w:pStyle w:val="Bibliography"/>
      </w:pPr>
      <w:r>
        <w:t xml:space="preserve">Strong, M., Oakley, J.E., Brennan, A. (2014). Estimating multiparameter partial expected value of perfect information from a probabilistic sensitivity analysis sample: a nonparametric regression approach. Medical Decision Making 34, 311-326.</w:t>
      </w:r>
    </w:p>
    <w:p>
      <w:pPr>
        <w:pStyle w:val="Bibliography"/>
      </w:pPr>
      <w:r>
        <w:t xml:space="preserve">Friedman, J.H., Fisher, N.I. (1999). Bump hunting in high-dimensional data. Statistics and Computing 9, 123-143.</w:t>
      </w:r>
    </w:p>
    <w:p>
      <w:pPr>
        <w:pStyle w:val="Bibliography"/>
      </w:pPr>
      <w:r>
        <w:t xml:space="preserve">Saltelli, A., Annoni, P., Azzini, I., Campolongo, F., Ratto, M., Tarantola, S. (2010). Variance based sensitivity analysis of model output: design and estimator for the total sensitivity index. Computer Physics Communications 181, 259-270.</w:t>
      </w:r>
    </w:p>
    <w:p>
      <w:pPr>
        <w:pStyle w:val="Bibliography"/>
      </w:pPr>
      <w:r>
        <w:t xml:space="preserve">Breiman, L., Friedman, J.H., Olshen, R.A., Stone, C.J. (1984). Classification and Regression Trees. Wadsworth.</w:t>
      </w:r>
    </w:p>
    <w:p>
      <w:pPr>
        <w:pStyle w:val="Bibliography"/>
      </w:pPr>
      <w:r>
        <w:t xml:space="preserve">Frischknecht, R., Wyss, F., Büsser Knöpfel, S., Lützkendorf, T., Balouktsi, M. (2015). Cumulative energy demand in LCA: the energy harvested approach. International Journal of Life Cycle Assessment 20, 957-969.</w:t>
      </w:r>
    </w:p>
    <w:p>
      <w:pPr>
        <w:pStyle w:val="Bibliography"/>
      </w:pPr>
      <w:r>
        <w:t xml:space="preserve">Further references for register entries (Manfredi et al. 2009; Mayer et al. 2019; Rand et al. 2000; Silva et al. 2021; Tsilemou &amp; Panagiotakopoulos 2006; World Bank 2024; Levett et al. 2016; Rostkowski et al. 2012; Wei et al. 2024) are as listed in the v2 methodology.</w:t>
      </w:r>
    </w:p>
    <w:bookmarkEnd w:id="69"/>
    <w:sectPr>
      <w:footnotePr>
        <w:numRestart w:val="eachSect"/>
      </w:footnotePr>
      <w:pgSz w:h="16838" w:w="11906"/>
      <w:pgMar w:bottom="1134" w:left="1247" w:right="1247" w:top="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1F2A36"/>
      <w:sz w:val="22"/>
    </w:rPr>
  </w:style>
  <w:style w:styleId="BodyText" w:type="paragraph">
    <w:name w:val="Body Text"/>
    <w:basedOn w:val="Normal"/>
    <w:link w:val="BodyTextChar"/>
    <w:qFormat/>
    <w:pPr>
      <w:spacing w:after="180" w:before="180"/>
    </w:pPr>
    <w:rPr>
      <w:rFonts w:ascii="Times New Roman" w:cs="Times New Roman" w:eastAsia="Times New Roman" w:hAnsi="Times New Roman"/>
      <w:color w:val="1F2A36"/>
      <w:sz w:val="22"/>
    </w:rPr>
  </w:style>
  <w:style w:customStyle="1" w:styleId="FirstParagraph" w:type="paragraph">
    <w:name w:val="First Paragraph"/>
    <w:basedOn w:val="BodyText"/>
    <w:next w:val="BodyText"/>
    <w:qFormat/>
    <w:rPr>
      <w:rFonts w:ascii="Times New Roman" w:cs="Times New Roman" w:eastAsia="Times New Roman" w:hAnsi="Times New Roman"/>
      <w:color w:val="1F2A36"/>
      <w:sz w:val="22"/>
    </w:rPr>
  </w:style>
  <w:style w:customStyle="1" w:styleId="Compact" w:type="paragraph">
    <w:name w:val="Compact"/>
    <w:basedOn w:val="BodyText"/>
    <w:qFormat/>
    <w:pPr>
      <w:spacing w:after="36" w:before="36"/>
    </w:pPr>
    <w:rPr>
      <w:rFonts w:ascii="Times New Roman" w:cs="Times New Roman" w:eastAsia="Times New Roman" w:hAnsi="Times New Roman"/>
      <w:color w:val="1F2A36"/>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color w:val="1F2A36"/>
      <w:sz w:val="34"/>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color w:val="1F2A36"/>
      <w:spacing w:val="15"/>
      <w:sz w:val="23"/>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color w:val="1F2A36"/>
      <w:sz w:val="19"/>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1F2A36"/>
      <w:sz w:val="27"/>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1F2A36"/>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color w:val="1F2A36"/>
      <w:sz w:val="19"/>
    </w:rPr>
  </w:style>
  <w:style w:customStyle="1" w:styleId="TableCaption" w:type="paragraph">
    <w:name w:val="Table Caption"/>
    <w:basedOn w:val="Caption"/>
    <w:pPr>
      <w:keepNext/>
    </w:pPr>
    <w:rPr>
      <w:rFonts w:ascii="Times New Roman" w:cs="Times New Roman" w:eastAsia="Times New Roman" w:hAnsi="Times New Roman"/>
      <w:color w:val="1F2A36"/>
      <w:sz w:val="19"/>
    </w:rPr>
  </w:style>
  <w:style w:customStyle="1" w:styleId="ImageCaption" w:type="paragraph">
    <w:name w:val="Image Caption"/>
    <w:basedOn w:val="Caption"/>
    <w:rPr>
      <w:rFonts w:ascii="Times New Roman" w:cs="Times New Roman" w:eastAsia="Times New Roman" w:hAnsi="Times New Roman"/>
      <w:color w:val="1F2A36"/>
      <w:sz w:val="19"/>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20" Type="http://schemas.openxmlformats.org/officeDocument/2006/relationships/image" Target="media/rId20.png"/><Relationship Id="rId29" Type="http://schemas.openxmlformats.org/officeDocument/2006/relationships/image" Target="media/rId29.png"/><Relationship Id="rId16" Type="http://schemas.openxmlformats.org/officeDocument/2006/relationships/image" Target="media/rId16.png"/><Relationship Id="rId41" Type="http://schemas.openxmlformats.org/officeDocument/2006/relationships/image" Target="media/rId41.png"/><Relationship Id="rId11" Type="http://schemas.openxmlformats.org/officeDocument/2006/relationships/image" Target="media/rId11.png"/><Relationship Id="rId55" Type="http://schemas.openxmlformats.org/officeDocument/2006/relationships/image" Target="media/rId55.png"/><Relationship Id="rId59" Type="http://schemas.openxmlformats.org/officeDocument/2006/relationships/image" Target="media/rId59.png"/><Relationship Id="rId38" Type="http://schemas.openxmlformats.org/officeDocument/2006/relationships/image" Target="media/rId38.png"/><Relationship Id="rId47" Type="http://schemas.openxmlformats.org/officeDocument/2006/relationships/image" Target="media/rId47.png"/><Relationship Id="rId62" Type="http://schemas.openxmlformats.org/officeDocument/2006/relationships/image" Target="media/rId62.png"/><Relationship Id="rId44" Type="http://schemas.openxmlformats.org/officeDocument/2006/relationships/image" Target="media/rId44.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2026-10-08T02:31:15Z</dcterms:created>
  <dcterms:modified xsi:type="dcterms:W3CDTF">2026-10-08T02:31:15Z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Muhammad Fachri Ridwan</vt:lpwstr>
  </property>
  <property fmtid="{D5CDD505-2E9C-101B-9397-08002B2CF9AE}" pid="3" name="title-meta">
    <vt:lpwstr>MSW Methodology v3</vt:lpwstr>
  </property>
</Properties>
</file>