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pPr>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0F2942"/>
            <w:tcMar>
              <w:top w:w="260" w:type="dxa"/>
              <w:bottom w:w="260" w:type="dxa"/>
              <w:start w:w="260" w:type="dxa"/>
              <w:end w:w="260" w:type="dxa"/>
            </w:tcMar>
          </w:tcPr>
          <w:p>
            <w:pPr>
              <w:spacing w:after="0"/>
              <w:jc w:val="center"/>
            </w:pPr>
            <w:r>
              <w:rPr>
                <w:rFonts w:ascii="Calibri" w:hAnsi="Calibri"/>
                <w:b/>
                <w:i w:val="0"/>
                <w:color w:val="FFFFFF"/>
                <w:sz w:val="80"/>
              </w:rPr>
              <w:t>NORCO</w:t>
            </w:r>
          </w:p>
          <w:p>
            <w:pPr>
              <w:spacing w:after="0"/>
              <w:jc w:val="center"/>
            </w:pPr>
            <w:r>
              <w:rPr>
                <w:rFonts w:ascii="Calibri" w:hAnsi="Calibri"/>
                <w:b/>
                <w:i w:val="0"/>
                <w:color w:val="C8892A"/>
                <w:sz w:val="26"/>
              </w:rPr>
              <w:t>EGYPT  ·  GENERAL TRADING</w:t>
            </w:r>
          </w:p>
          <w:p>
            <w:pPr>
              <w:spacing w:before="120" w:after="0"/>
              <w:jc w:val="center"/>
            </w:pPr>
            <w:r>
              <w:rPr>
                <w:rFonts w:ascii="Calibri" w:hAnsi="Calibri"/>
                <w:b w:val="0"/>
                <w:i w:val="0"/>
                <w:color w:val="C7D3DE"/>
                <w:sz w:val="21"/>
              </w:rPr>
              <w:t>Energy Storage  ·  Houseware Distribution</w:t>
            </w:r>
          </w:p>
        </w:tc>
      </w:tr>
    </w:tbl>
    <w:p>
      <w:pPr>
        <w:spacing w:after="400" w:before="0"/>
      </w:pPr>
    </w:p>
    <w:p>
      <w:pPr>
        <w:spacing w:after="120" w:before="0"/>
        <w:jc w:val="center"/>
      </w:pPr>
      <w:r>
        <w:rPr>
          <w:rFonts w:ascii="Calibri" w:hAnsi="Calibri"/>
          <w:b/>
          <w:i w:val="0"/>
          <w:color w:val="0F2942"/>
          <w:sz w:val="40"/>
        </w:rPr>
        <w:t>BUSINESS PLAN &amp; INVESTMENT PROPOSAL</w:t>
      </w:r>
    </w:p>
    <w:p>
      <w:pPr>
        <w:spacing w:after="360" w:before="0"/>
        <w:jc w:val="center"/>
      </w:pPr>
      <w:r>
        <w:rPr>
          <w:rFonts w:ascii="Calibri" w:hAnsi="Calibri"/>
          <w:b w:val="0"/>
          <w:i/>
          <w:color w:val="0F6E6A"/>
          <w:sz w:val="26"/>
        </w:rPr>
        <w:t>A Two-Division Distribution Platform for North &amp; East Africa</w:t>
      </w:r>
    </w:p>
    <w:tbl>
      <w:tblPr>
        <w:tblW w:type="auto" w:w="0"/>
        <w:jc w:val="center"/>
        <w:tblLook w:firstColumn="1" w:firstRow="1" w:lastColumn="0" w:lastRow="0" w:noHBand="0" w:noVBand="1" w:val="04A0"/>
        <w:tblBorders>
          <w:top w:val="single" w:sz="4" w:space="0" w:color="C8892A"/>
          <w:left w:val="single" w:sz="4" w:space="0" w:color="C8892A"/>
          <w:bottom w:val="single" w:sz="4" w:space="0" w:color="C8892A"/>
          <w:right w:val="single" w:sz="4" w:space="0" w:color="C8892A"/>
          <w:insideH w:val="single" w:sz="4" w:space="0" w:color="C8892A"/>
          <w:insideV w:val="single" w:sz="4" w:space="0" w:color="C8892A"/>
        </w:tblBorders>
      </w:tblPr>
      <w:tblGrid>
        <w:gridCol w:w="4824"/>
        <w:gridCol w:w="4824"/>
      </w:tblGrid>
      <w:tr>
        <w:tc>
          <w:tcPr>
            <w:tcW w:type="dxa" w:w="4824"/>
            <w:shd w:val="clear" w:color="auto" w:fill="F3F5F7"/>
            <w:tcMar>
              <w:top w:w="150" w:type="dxa"/>
              <w:bottom w:w="150" w:type="dxa"/>
              <w:start w:w="150" w:type="dxa"/>
              <w:end w:w="150" w:type="dxa"/>
            </w:tcMar>
          </w:tcPr>
          <w:p>
            <w:pPr>
              <w:spacing w:after="40"/>
              <w:jc w:val="center"/>
            </w:pPr>
            <w:r>
              <w:rPr>
                <w:rFonts w:ascii="Calibri" w:hAnsi="Calibri"/>
                <w:b/>
                <w:i w:val="0"/>
                <w:color w:val="0F2942"/>
                <w:sz w:val="26"/>
              </w:rPr>
              <w:t>VESTWOODS</w:t>
            </w:r>
          </w:p>
          <w:p>
            <w:pPr>
              <w:spacing w:after="0"/>
              <w:jc w:val="center"/>
            </w:pPr>
            <w:r>
              <w:rPr>
                <w:rFonts w:ascii="Calibri" w:hAnsi="Calibri"/>
                <w:b w:val="0"/>
                <w:i w:val="0"/>
                <w:color w:val="5C5B57"/>
                <w:sz w:val="19"/>
              </w:rPr>
              <w:t>Haier Energy lithium battery storage</w:t>
            </w:r>
          </w:p>
          <w:p>
            <w:pPr>
              <w:spacing w:after="0"/>
              <w:jc w:val="center"/>
            </w:pPr>
            <w:r>
              <w:rPr>
                <w:rFonts w:ascii="Calibri" w:hAnsi="Calibri"/>
                <w:b w:val="0"/>
                <w:i w:val="0"/>
                <w:color w:val="5C5B57"/>
                <w:sz w:val="19"/>
              </w:rPr>
              <w:t>Egypt · Sudan · Algeria · Libya</w:t>
            </w:r>
          </w:p>
        </w:tc>
        <w:tc>
          <w:tcPr>
            <w:tcW w:type="dxa" w:w="4824"/>
            <w:shd w:val="clear" w:color="auto" w:fill="F3F5F7"/>
            <w:tcMar>
              <w:top w:w="150" w:type="dxa"/>
              <w:bottom w:w="150" w:type="dxa"/>
              <w:start w:w="150" w:type="dxa"/>
              <w:end w:w="150" w:type="dxa"/>
            </w:tcMar>
          </w:tcPr>
          <w:p>
            <w:pPr>
              <w:spacing w:after="40"/>
              <w:jc w:val="center"/>
            </w:pPr>
            <w:r>
              <w:rPr>
                <w:rFonts w:ascii="Calibri" w:hAnsi="Calibri"/>
                <w:b/>
                <w:i w:val="0"/>
                <w:color w:val="0F2942"/>
                <w:sz w:val="26"/>
              </w:rPr>
              <w:t>AL REEM PLASTICS</w:t>
            </w:r>
          </w:p>
          <w:p>
            <w:pPr>
              <w:spacing w:after="0"/>
              <w:jc w:val="center"/>
            </w:pPr>
            <w:r>
              <w:rPr>
                <w:rFonts w:ascii="Calibri" w:hAnsi="Calibri"/>
                <w:b w:val="0"/>
                <w:i w:val="0"/>
                <w:color w:val="5C5B57"/>
                <w:sz w:val="19"/>
              </w:rPr>
              <w:t>Premium houseware from the group's</w:t>
            </w:r>
          </w:p>
          <w:p>
            <w:pPr>
              <w:spacing w:after="0"/>
              <w:jc w:val="center"/>
            </w:pPr>
            <w:r>
              <w:rPr>
                <w:rFonts w:ascii="Calibri" w:hAnsi="Calibri"/>
                <w:b w:val="0"/>
                <w:i w:val="0"/>
                <w:color w:val="5C5B57"/>
                <w:sz w:val="19"/>
              </w:rPr>
              <w:t>Angola plant · Egypt · Sudan · Nigeria</w:t>
            </w:r>
          </w:p>
        </w:tc>
      </w:tr>
    </w:tbl>
    <w:p>
      <w:pPr>
        <w:spacing w:after="360" w:before="0"/>
      </w:pPr>
    </w:p>
    <w:p>
      <w:pPr>
        <w:spacing w:after="280" w:before="0"/>
        <w:jc w:val="center"/>
      </w:pPr>
      <w:r>
        <w:rPr>
          <w:rFonts w:ascii="Calibri" w:hAnsi="Calibri"/>
          <w:b/>
          <w:i w:val="0"/>
          <w:color w:val="1A1A19"/>
          <w:sz w:val="22"/>
        </w:rPr>
        <w:t>August 2026 – July 2031   |   Investment into NORCO Egypt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C8892A"/>
            <w:tcMar>
              <w:top w:w="130" w:type="dxa"/>
              <w:bottom w:w="130" w:type="dxa"/>
              <w:start w:w="200" w:type="dxa"/>
              <w:end w:w="200" w:type="dxa"/>
            </w:tcMar>
          </w:tcPr>
          <w:p>
            <w:pPr>
              <w:spacing w:after="0"/>
              <w:jc w:val="center"/>
            </w:pPr>
            <w:r>
              <w:rPr>
                <w:rFonts w:ascii="Calibri" w:hAnsi="Calibri"/>
                <w:b/>
                <w:i w:val="0"/>
                <w:color w:val="FFFFFF"/>
                <w:sz w:val="28"/>
              </w:rPr>
              <w:t>Investment Sought:  USD 1,000,000  —  50% of NORCO Egypt</w:t>
            </w:r>
          </w:p>
          <w:p>
            <w:pPr>
              <w:spacing w:after="0"/>
              <w:jc w:val="center"/>
            </w:pPr>
            <w:r>
              <w:rPr>
                <w:rFonts w:ascii="Calibri" w:hAnsi="Calibri"/>
                <w:b w:val="0"/>
                <w:i w:val="0"/>
                <w:color w:val="FFF4DF"/>
                <w:sz w:val="20"/>
              </w:rPr>
              <w:t>core raise  ·  optional USD 500,000 accelerator (ceiling USD 1.5M)</w:t>
            </w:r>
          </w:p>
        </w:tc>
      </w:tr>
    </w:tbl>
    <w:p>
      <w:pPr>
        <w:spacing w:after="400" w:before="0"/>
      </w:pPr>
    </w:p>
    <w:p>
      <w:pPr>
        <w:spacing w:after="40" w:before="0"/>
        <w:jc w:val="center"/>
      </w:pPr>
      <w:r>
        <w:rPr>
          <w:rFonts w:ascii="Calibri" w:hAnsi="Calibri"/>
          <w:b/>
          <w:i w:val="0"/>
          <w:color w:val="1A1A19"/>
          <w:sz w:val="21"/>
        </w:rPr>
        <w:t>Prepared by  Fadi Jannan — Managing Director</w:t>
      </w:r>
    </w:p>
    <w:p>
      <w:pPr>
        <w:spacing w:after="40" w:before="0"/>
        <w:jc w:val="center"/>
      </w:pPr>
      <w:r>
        <w:rPr>
          <w:rFonts w:ascii="Calibri" w:hAnsi="Calibri"/>
          <w:b w:val="0"/>
          <w:i w:val="0"/>
          <w:color w:val="5C5B57"/>
          <w:sz w:val="19"/>
        </w:rPr>
        <w:t>Dubai, UAE  ·  Cairo, Egypt   |   +971 58 509 3383  ·  +20 10 5544 2066</w:t>
      </w:r>
    </w:p>
    <w:p>
      <w:pPr>
        <w:spacing w:after="280" w:before="0"/>
        <w:jc w:val="center"/>
      </w:pPr>
      <w:r>
        <w:rPr>
          <w:rFonts w:ascii="Calibri" w:hAnsi="Calibri"/>
          <w:b w:val="0"/>
          <w:i w:val="0"/>
          <w:color w:val="5C5B57"/>
          <w:sz w:val="19"/>
        </w:rPr>
        <w:t>f.jannan@norcotrading.com   ·   www.norcotrading.com</w:t>
      </w:r>
    </w:p>
    <w:p>
      <w:pPr>
        <w:spacing w:after="120" w:before="0"/>
        <w:jc w:val="center"/>
      </w:pPr>
      <w:r>
        <w:rPr>
          <w:rFonts w:ascii="Calibri" w:hAnsi="Calibri"/>
          <w:b/>
          <w:i w:val="0"/>
          <w:color w:val="5C5B57"/>
          <w:sz w:val="18"/>
        </w:rPr>
        <w:t>14 July 2026  ·  Version 5.0 (Group)  ·  Strictly Private &amp; Confidential</w:t>
      </w:r>
    </w:p>
    <w:p>
      <w:r>
        <w:br w:type="page"/>
      </w:r>
    </w:p>
    <w:p>
      <w:pPr>
        <w:keepNext/>
        <w:spacing w:before="320" w:after="160"/>
        <w:pBdr>
          <w:bottom w:val="single" w:sz="6" w:space="4" w:color="0F2942"/>
        </w:pBdr>
      </w:pPr>
      <w:r>
        <w:rPr>
          <w:rFonts w:ascii="Calibri" w:hAnsi="Calibri"/>
          <w:b/>
          <w:i w:val="0"/>
          <w:color w:val="C8892A"/>
          <w:sz w:val="30"/>
        </w:rPr>
        <w:t xml:space="preserve">1   </w:t>
      </w:r>
      <w:r>
        <w:rPr>
          <w:rFonts w:ascii="Calibri" w:hAnsi="Calibri"/>
          <w:b/>
          <w:i w:val="0"/>
          <w:color w:val="0F2942"/>
          <w:sz w:val="30"/>
        </w:rPr>
        <w:t>Executive Summary</w:t>
      </w:r>
    </w:p>
    <w:p>
      <w:pPr>
        <w:spacing w:after="160" w:before="0"/>
      </w:pPr>
      <w:r>
        <w:rPr>
          <w:rFonts w:ascii="Calibri" w:hAnsi="Calibri"/>
          <w:b w:val="0"/>
          <w:i w:val="0"/>
          <w:color w:val="1A1A19"/>
          <w:sz w:val="21"/>
        </w:rPr>
        <w:t>NORCO Egypt is a Cairo-based distribution company operating two complementary product divisions, backed by NORCO General Trading L.L.C. (UAE), which holds the group's supplier relationships and 20% of the Egyptian company. Commercial operations begin in August 2026 from an already-renovated, operating showroom in 6th October City.</w:t>
      </w:r>
    </w:p>
    <w:p>
      <w:pPr>
        <w:keepNext/>
        <w:spacing w:before="220" w:after="80"/>
      </w:pPr>
      <w:r>
        <w:rPr>
          <w:rFonts w:ascii="Calibri" w:hAnsi="Calibri"/>
          <w:b/>
          <w:i w:val="0"/>
          <w:color w:val="0F6E6A"/>
          <w:sz w:val="24"/>
        </w:rPr>
        <w:t>Two divisions, one platform</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Vestwoods (Haier Energy) — </w:t>
      </w:r>
      <w:r>
        <w:rPr>
          <w:rFonts w:ascii="Calibri" w:hAnsi="Calibri"/>
          <w:b w:val="0"/>
          <w:i w:val="0"/>
          <w:color w:val="1A1A19"/>
          <w:sz w:val="21"/>
        </w:rPr>
        <w:t>exclusive distribution of lithium battery energy storage systems for Egypt, with three export corridors: a committed Sudan buyer that orders on arrival of the first containers, an Algerian agency in advanced negotiation ordering on 100% letters of credit, and Libya from Year 2. 13 containers in Year 1 growing to 41 by Year 5.</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Al Reem Plastics — </w:t>
      </w:r>
      <w:r>
        <w:rPr>
          <w:rFonts w:ascii="Calibri" w:hAnsi="Calibri"/>
          <w:b w:val="0"/>
          <w:i w:val="0"/>
          <w:color w:val="1A1A19"/>
          <w:sz w:val="21"/>
        </w:rPr>
        <w:t>premium household plastics produced at the group's affiliated plant in Angola on locked group supply terms — a blended margin of ~25% of revenue in Egypt and ~17% on export wholesale. Egypt and Sudan from Year 1, Nigeria from Year 2: 15 containers in Year 1 growing to 95 by Year 5.</w:t>
      </w:r>
    </w:p>
    <w:p>
      <w:pPr>
        <w:spacing w:after="4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12"/>
        <w:gridCol w:w="2412"/>
        <w:gridCol w:w="2412"/>
        <w:gridCol w:w="2412"/>
      </w:tblGrid>
      <w:tr>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$63.84M</w:t>
            </w:r>
          </w:p>
        </w:tc>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$11.77M</w:t>
            </w:r>
          </w:p>
        </w:tc>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Month 6</w:t>
            </w:r>
          </w:p>
        </w:tc>
        <w:tc>
          <w:tcPr>
            <w:tcW w:type="dxa" w:w="2412"/>
            <w:shd w:val="clear" w:color="auto" w:fill="0F2942"/>
            <w:tcMar>
              <w:top w:w="90" w:type="dxa"/>
              <w:bottom w:w="10" w:type="dxa"/>
              <w:start w:w="110" w:type="dxa"/>
              <w:end w:w="110" w:type="dxa"/>
            </w:tcMar>
          </w:tcPr>
          <w:p>
            <w:pPr>
              <w:spacing w:after="0"/>
              <w:jc w:val="center"/>
            </w:pPr>
            <w:r>
              <w:rPr>
                <w:rFonts w:ascii="Calibri" w:hAnsi="Calibri"/>
                <w:b/>
                <w:i w:val="0"/>
                <w:color w:val="FFFFFF"/>
                <w:sz w:val="32"/>
              </w:rPr>
              <w:t>79% / 12.8x</w:t>
            </w:r>
          </w:p>
        </w:tc>
      </w:tr>
      <w:tr>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5-YEAR REVENUE</w:t>
            </w:r>
          </w:p>
        </w:tc>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5-YEAR NET PROFIT</w:t>
            </w:r>
          </w:p>
        </w:tc>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BREAK-EVEN (OP. &amp; CUM.)</w:t>
            </w:r>
          </w:p>
        </w:tc>
        <w:tc>
          <w:tcPr>
            <w:tcW w:type="dxa" w:w="2412"/>
            <w:shd w:val="clear" w:color="auto" w:fill="0F2942"/>
            <w:tcMar>
              <w:top w:w="0" w:type="dxa"/>
              <w:bottom w:w="90" w:type="dxa"/>
              <w:start w:w="110" w:type="dxa"/>
              <w:end w:w="110" w:type="dxa"/>
            </w:tcMar>
          </w:tcPr>
          <w:p>
            <w:pPr>
              <w:spacing w:after="0"/>
              <w:jc w:val="center"/>
            </w:pPr>
            <w:r>
              <w:rPr>
                <w:rFonts w:ascii="Calibri" w:hAnsi="Calibri"/>
                <w:b w:val="0"/>
                <w:i w:val="0"/>
                <w:color w:val="C7D3DE"/>
                <w:sz w:val="16"/>
              </w:rPr>
              <w:t>INVESTOR IRR / MOIC</w:t>
            </w:r>
          </w:p>
        </w:tc>
      </w:tr>
    </w:tbl>
    <w:p>
      <w:pPr>
        <w:spacing w:after="80"/>
      </w:pPr>
    </w:p>
    <w:p>
      <w:pPr>
        <w:keepNext/>
        <w:spacing w:before="220" w:after="80"/>
      </w:pPr>
      <w:r>
        <w:rPr>
          <w:rFonts w:ascii="Calibri" w:hAnsi="Calibri"/>
          <w:b/>
          <w:i w:val="0"/>
          <w:color w:val="0F6E6A"/>
          <w:sz w:val="24"/>
        </w:rPr>
        <w:t>Why the two divisions fit together</w:t>
      </w:r>
    </w:p>
    <w:p>
      <w:pPr>
        <w:spacing w:after="160" w:before="0"/>
      </w:pPr>
      <w:r>
        <w:rPr>
          <w:rFonts w:ascii="Calibri" w:hAnsi="Calibri"/>
          <w:b w:val="0"/>
          <w:i w:val="0"/>
          <w:color w:val="1A1A19"/>
          <w:sz w:val="21"/>
        </w:rPr>
        <w:t>Vestwoods is high-ticket and capital-intensive — every Year-1 container is prepaid, which is exactly why the raise is needed. Al Reem is the mirror image: low unit cost, 20,000+ units per container, everyday demand and fast cash turns. Together they smooth the cash cycle, keep two showrooms and one sales force productive every week of the year, and diversify the company across two unrelated demand drivers — Egypt's power crisis and Egypt's household consumption.</w:t>
      </w:r>
    </w:p>
    <w:p>
      <w:pPr>
        <w:keepNext/>
        <w:spacing w:before="220" w:after="80"/>
      </w:pPr>
      <w:r>
        <w:rPr>
          <w:rFonts w:ascii="Calibri" w:hAnsi="Calibri"/>
          <w:b/>
          <w:i w:val="0"/>
          <w:color w:val="0F6E6A"/>
          <w:sz w:val="24"/>
        </w:rPr>
        <w:t>The ask and the return</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USD 1,000,000 for 50% of NORCO Egypt </w:t>
      </w:r>
      <w:r>
        <w:rPr>
          <w:rFonts w:ascii="Calibri" w:hAnsi="Calibri"/>
          <w:b w:val="0"/>
          <w:i w:val="0"/>
          <w:color w:val="1A1A19"/>
          <w:sz w:val="21"/>
        </w:rPr>
        <w:t>released in two tranches — USD 500K at close and USD 500K at Month 4 against verified milestones — plus an optional USD 500K accelerator (ceiling USD 1.5M). The capital covers the peak working-capital requirement of USD 903,954; Sinosure-approved supplier credit (10% down + 90% at 3-month credit) keeps the need this low.</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Profitable in Year 1 — </w:t>
      </w:r>
      <w:r>
        <w:rPr>
          <w:rFonts w:ascii="Calibri" w:hAnsi="Calibri"/>
          <w:b w:val="0"/>
          <w:i w:val="0"/>
          <w:color w:val="1A1A19"/>
          <w:sz w:val="21"/>
        </w:rPr>
        <w:t>USD $6.20M revenue and USD 1,031,391 net profit, with operating and cumulative break-even both in Month 6 (January 2027). Five-year net profit USD $11.77M; Year-1 profit alone exceeds the full USD 1.0M investment.</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Investor cash flow — </w:t>
      </w:r>
      <w:r>
        <w:rPr>
          <w:rFonts w:ascii="Calibri" w:hAnsi="Calibri"/>
          <w:b w:val="0"/>
          <w:i w:val="0"/>
          <w:color w:val="1A1A19"/>
          <w:sz w:val="21"/>
        </w:rPr>
        <w:t>100% of net profit is distributed annually in arrears; the investor receives half of every distribution — 4.2x the capital in dividends alone (48% IRR) — plus a 50% share of the terminal value (5× Year-5 net profit), lifting the total to 12.8x and a 79% IRR.</w:t>
      </w:r>
    </w:p>
    <w:p>
      <w:pPr>
        <w:keepNext/>
        <w:spacing w:before="220" w:after="80"/>
      </w:pPr>
      <w:r>
        <w:rPr>
          <w:rFonts w:ascii="Calibri" w:hAnsi="Calibri"/>
          <w:b/>
          <w:i w:val="0"/>
          <w:color w:val="0F6E6A"/>
          <w:sz w:val="24"/>
        </w:rPr>
        <w:t>Proof already on the table</w:t>
      </w:r>
    </w:p>
    <w:p>
      <w:pPr>
        <w:spacing w:after="120" w:before="0"/>
      </w:pPr>
      <w:r>
        <w:rPr>
          <w:rFonts w:ascii="Calibri" w:hAnsi="Calibri"/>
          <w:b w:val="0"/>
          <w:i w:val="0"/>
          <w:color w:val="1A1A19"/>
          <w:sz w:val="21"/>
        </w:rPr>
        <w:t>The founder has invested USD 14,517 pre-launch — including EGP 31,948.50 of product stock purchased and sold through the operating showroom before launch. UAE and Egypt registration, import permits, GOEIC application, fit-out and branding are complete. The Al Reem range is costed SKU-by-SKU from the July-2026 packing list, and Vestwoods pricing is verified against the supplier's container packing list.</w:t>
      </w:r>
    </w:p>
    <w:p>
      <w:pPr>
        <w:jc w:val="center"/>
      </w:pPr>
      <w:r>
        <w:drawing>
          <wp:inline xmlns:a="http://schemas.openxmlformats.org/drawingml/2006/main" xmlns:pic="http://schemas.openxmlformats.org/drawingml/2006/picture">
            <wp:extent cx="5852160" cy="3481144"/>
            <wp:docPr id="1" name="Picture 1"/>
            <wp:cNvGraphicFramePr>
              <a:graphicFrameLocks noChangeAspect="1"/>
            </wp:cNvGraphicFramePr>
            <a:graphic>
              <a:graphicData uri="http://schemas.openxmlformats.org/drawingml/2006/picture">
                <pic:pic>
                  <pic:nvPicPr>
                    <pic:cNvPr id="0" name="revenue_by_division.png"/>
                    <pic:cNvPicPr/>
                  </pic:nvPicPr>
                  <pic:blipFill>
                    <a:blip r:embed="rId10"/>
                    <a:stretch>
                      <a:fillRect/>
                    </a:stretch>
                  </pic:blipFill>
                  <pic:spPr>
                    <a:xfrm>
                      <a:off x="0" y="0"/>
                      <a:ext cx="5852160" cy="3481144"/>
                    </a:xfrm>
                    <a:prstGeom prst="rect"/>
                  </pic:spPr>
                </pic:pic>
              </a:graphicData>
            </a:graphic>
          </wp:inline>
        </w:drawing>
      </w:r>
    </w:p>
    <w:p>
      <w:r>
        <w:br w:type="page"/>
      </w:r>
    </w:p>
    <w:p>
      <w:pPr>
        <w:keepNext/>
        <w:spacing w:before="320" w:after="160"/>
        <w:pBdr>
          <w:bottom w:val="single" w:sz="6" w:space="4" w:color="0F2942"/>
        </w:pBdr>
      </w:pPr>
      <w:r>
        <w:rPr>
          <w:rFonts w:ascii="Calibri" w:hAnsi="Calibri"/>
          <w:b/>
          <w:i w:val="0"/>
          <w:color w:val="C8892A"/>
          <w:sz w:val="30"/>
        </w:rPr>
        <w:t xml:space="preserve">2   </w:t>
      </w:r>
      <w:r>
        <w:rPr>
          <w:rFonts w:ascii="Calibri" w:hAnsi="Calibri"/>
          <w:b/>
          <w:i w:val="0"/>
          <w:color w:val="0F2942"/>
          <w:sz w:val="30"/>
        </w:rPr>
        <w:t>Company, Structure &amp; Ownership</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The investment vehicle — </w:t>
      </w:r>
      <w:r>
        <w:rPr>
          <w:rFonts w:ascii="Calibri" w:hAnsi="Calibri"/>
          <w:b w:val="0"/>
          <w:i w:val="0"/>
          <w:color w:val="1A1A19"/>
          <w:sz w:val="21"/>
        </w:rPr>
        <w:t>investors subscribe directly into NORCO Egypt, the operating company that owns the showrooms, inventory, receivables and Egyptian licences. NORCO General Trading L.L.C. (UAE, Dubai trade licence active) is a 20% shareholder and contributes the exclusive Vestwoods agency and the Al Reem (Angola) supply relationship under long-term agreements.</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Facilities — </w:t>
      </w:r>
      <w:r>
        <w:rPr>
          <w:rFonts w:ascii="Calibri" w:hAnsi="Calibri"/>
          <w:b w:val="0"/>
          <w:i w:val="0"/>
          <w:color w:val="1A1A19"/>
          <w:sz w:val="21"/>
        </w:rPr>
        <w:t>Showroom #1: 6th October City (operational, 2-year lease, EGP 10,000/month). Showroom #2: New Cairo, ~100 sqm, opens Month 1 (USD 2,500/month). Office: New Cairo, ~100 sqm fully furnished (USD 3,000/month). Warehouse: 300–700 sqm in 6th October, Sheikh Zayed or New Cairo, selected on cost (USD 3,000/month planned).</w:t>
      </w:r>
    </w:p>
    <w:p>
      <w:pPr>
        <w:keepNext/>
        <w:spacing w:before="220" w:after="80"/>
      </w:pPr>
      <w:r>
        <w:rPr>
          <w:rFonts w:ascii="Calibri" w:hAnsi="Calibri"/>
          <w:b/>
          <w:i w:val="0"/>
          <w:color w:val="0F6E6A"/>
          <w:sz w:val="24"/>
        </w:rPr>
        <w:t>2.1  Shareholding of NORCO Egypt</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3888"/>
            <w:shd w:val="clear" w:color="auto" w:fill="0F2942"/>
            <w:tcMar>
              <w:top w:w="60" w:type="dxa"/>
              <w:bottom w:w="60" w:type="dxa"/>
              <w:start w:w="110" w:type="dxa"/>
              <w:end w:w="110" w:type="dxa"/>
            </w:tcMar>
          </w:tcPr>
          <w:p>
            <w:pPr>
              <w:spacing w:after="0"/>
            </w:pPr>
            <w:r>
              <w:rPr>
                <w:rFonts w:ascii="Calibri" w:hAnsi="Calibri"/>
                <w:b/>
                <w:i w:val="0"/>
                <w:color w:val="FFFFFF"/>
                <w:sz w:val="18"/>
              </w:rPr>
              <w:t>Shareholder</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8"/>
              </w:rPr>
              <w:t>NORCO Egypt</w:t>
            </w:r>
          </w:p>
        </w:tc>
        <w:tc>
          <w:tcPr>
            <w:tcW w:type="dxa" w:w="4608"/>
            <w:shd w:val="clear" w:color="auto" w:fill="0F2942"/>
            <w:tcMar>
              <w:top w:w="60" w:type="dxa"/>
              <w:bottom w:w="60" w:type="dxa"/>
              <w:start w:w="110" w:type="dxa"/>
              <w:end w:w="110" w:type="dxa"/>
            </w:tcMar>
          </w:tcPr>
          <w:p>
            <w:pPr>
              <w:spacing w:after="0"/>
              <w:jc w:val="right"/>
            </w:pPr>
            <w:r>
              <w:rPr>
                <w:rFonts w:ascii="Calibri" w:hAnsi="Calibri"/>
                <w:b/>
                <w:i w:val="0"/>
                <w:color w:val="FFFFFF"/>
                <w:sz w:val="18"/>
              </w:rPr>
              <w:t>Notes</w:t>
            </w:r>
          </w:p>
        </w:tc>
      </w:tr>
      <w:tr>
        <w:tc>
          <w:tcPr>
            <w:tcW w:type="dxa" w:w="3888"/>
            <w:tcMar>
              <w:top w:w="60" w:type="dxa"/>
              <w:bottom w:w="60" w:type="dxa"/>
              <w:start w:w="110" w:type="dxa"/>
              <w:end w:w="110" w:type="dxa"/>
            </w:tcMar>
          </w:tcPr>
          <w:p>
            <w:pPr>
              <w:spacing w:after="0"/>
            </w:pPr>
            <w:r>
              <w:rPr>
                <w:rFonts w:ascii="Calibri" w:hAnsi="Calibri"/>
                <w:b w:val="0"/>
                <w:i w:val="0"/>
                <w:color w:val="1A1A19"/>
                <w:sz w:val="18"/>
              </w:rPr>
              <w:t>Investor (USD 1.0M capital)</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50%</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Cash for 50% of NORCO Egypt; board seat; reserved matters</w:t>
            </w:r>
          </w:p>
        </w:tc>
      </w:tr>
      <w:tr>
        <w:tc>
          <w:tcPr>
            <w:tcW w:type="dxa" w:w="3888"/>
            <w:tcMar>
              <w:top w:w="60" w:type="dxa"/>
              <w:bottom w:w="60" w:type="dxa"/>
              <w:start w:w="110" w:type="dxa"/>
              <w:end w:w="110" w:type="dxa"/>
            </w:tcMar>
            <w:shd w:val="clear" w:color="auto" w:fill="F5F7F9"/>
          </w:tcPr>
          <w:p>
            <w:pPr>
              <w:spacing w:after="0"/>
            </w:pPr>
            <w:r>
              <w:rPr>
                <w:rFonts w:ascii="Calibri" w:hAnsi="Calibri"/>
                <w:b w:val="0"/>
                <w:i w:val="0"/>
                <w:color w:val="1A1A19"/>
                <w:sz w:val="18"/>
              </w:rPr>
              <w:t>NORCO General Trading L.L.C. (UAE)</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20%</w:t>
            </w:r>
          </w:p>
        </w:tc>
        <w:tc>
          <w:tcPr>
            <w:tcW w:type="dxa" w:w="4608"/>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Holds the Vestwoods exclusive agency &amp; Al Reem (Angola) supply relationship</w:t>
            </w:r>
          </w:p>
        </w:tc>
      </w:tr>
      <w:tr>
        <w:tc>
          <w:tcPr>
            <w:tcW w:type="dxa" w:w="3888"/>
            <w:tcMar>
              <w:top w:w="60" w:type="dxa"/>
              <w:bottom w:w="60" w:type="dxa"/>
              <w:start w:w="110" w:type="dxa"/>
              <w:end w:w="110" w:type="dxa"/>
            </w:tcMar>
          </w:tcPr>
          <w:p>
            <w:pPr>
              <w:spacing w:after="0"/>
            </w:pPr>
            <w:r>
              <w:rPr>
                <w:rFonts w:ascii="Calibri" w:hAnsi="Calibri"/>
                <w:b w:val="0"/>
                <w:i w:val="0"/>
                <w:color w:val="1A1A19"/>
                <w:sz w:val="18"/>
              </w:rPr>
              <w:t>Mohammed Fadi Jannan — Chairman &amp; Founder</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20%</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Executive lead; combined founder-side interest 40% (20% direct + 20% via NORCO UAE)</w:t>
            </w:r>
          </w:p>
        </w:tc>
      </w:tr>
      <w:tr>
        <w:tc>
          <w:tcPr>
            <w:tcW w:type="dxa" w:w="3888"/>
            <w:tcMar>
              <w:top w:w="60" w:type="dxa"/>
              <w:bottom w:w="60" w:type="dxa"/>
              <w:start w:w="110" w:type="dxa"/>
              <w:end w:w="110" w:type="dxa"/>
            </w:tcMar>
            <w:shd w:val="clear" w:color="auto" w:fill="F5F7F9"/>
          </w:tcPr>
          <w:p>
            <w:pPr>
              <w:spacing w:after="0"/>
            </w:pPr>
            <w:r>
              <w:rPr>
                <w:rFonts w:ascii="Calibri" w:hAnsi="Calibri"/>
                <w:b w:val="0"/>
                <w:i w:val="0"/>
                <w:color w:val="1A1A19"/>
                <w:sz w:val="18"/>
              </w:rPr>
              <w:t>Partner A</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5%</w:t>
            </w:r>
          </w:p>
        </w:tc>
        <w:tc>
          <w:tcPr>
            <w:tcW w:type="dxa" w:w="4608"/>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Existing partner</w:t>
            </w:r>
          </w:p>
        </w:tc>
      </w:tr>
      <w:tr>
        <w:tc>
          <w:tcPr>
            <w:tcW w:type="dxa" w:w="3888"/>
            <w:tcMar>
              <w:top w:w="60" w:type="dxa"/>
              <w:bottom w:w="60" w:type="dxa"/>
              <w:start w:w="110" w:type="dxa"/>
              <w:end w:w="110" w:type="dxa"/>
            </w:tcMar>
          </w:tcPr>
          <w:p>
            <w:pPr>
              <w:spacing w:after="0"/>
            </w:pPr>
            <w:r>
              <w:rPr>
                <w:rFonts w:ascii="Calibri" w:hAnsi="Calibri"/>
                <w:b w:val="0"/>
                <w:i w:val="0"/>
                <w:color w:val="1A1A19"/>
                <w:sz w:val="18"/>
              </w:rPr>
              <w:t>Partner B</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5%</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Existing partner</w:t>
            </w:r>
          </w:p>
        </w:tc>
      </w:tr>
      <w:tr>
        <w:tc>
          <w:tcPr>
            <w:tcW w:type="dxa" w:w="3888"/>
            <w:tcMar>
              <w:top w:w="60" w:type="dxa"/>
              <w:bottom w:w="60" w:type="dxa"/>
              <w:start w:w="110" w:type="dxa"/>
              <w:end w:w="110" w:type="dxa"/>
            </w:tcMar>
            <w:shd w:val="clear" w:color="auto" w:fill="E9EDF0"/>
          </w:tcPr>
          <w:p>
            <w:pPr>
              <w:spacing w:after="0"/>
            </w:pPr>
            <w:r>
              <w:rPr>
                <w:rFonts w:ascii="Calibri" w:hAnsi="Calibri"/>
                <w:b/>
                <w:i w:val="0"/>
                <w:color w:val="0F2942"/>
                <w:sz w:val="18"/>
              </w:rPr>
              <w:t>Total</w:t>
            </w:r>
          </w:p>
        </w:tc>
        <w:tc>
          <w:tcPr>
            <w:tcW w:type="dxa" w:w="1440"/>
            <w:tcMar>
              <w:top w:w="60" w:type="dxa"/>
              <w:bottom w:w="60" w:type="dxa"/>
              <w:start w:w="110" w:type="dxa"/>
              <w:end w:w="110" w:type="dxa"/>
            </w:tcMar>
            <w:shd w:val="clear" w:color="auto" w:fill="E9EDF0"/>
          </w:tcPr>
          <w:p>
            <w:pPr>
              <w:spacing w:after="0"/>
              <w:jc w:val="right"/>
            </w:pPr>
            <w:r>
              <w:rPr>
                <w:rFonts w:ascii="Calibri" w:hAnsi="Calibri"/>
                <w:b/>
                <w:i w:val="0"/>
                <w:color w:val="0F2942"/>
                <w:sz w:val="18"/>
              </w:rPr>
              <w:t>100%</w:t>
            </w:r>
          </w:p>
        </w:tc>
        <w:tc>
          <w:tcPr>
            <w:tcW w:type="dxa" w:w="4608"/>
            <w:tcMar>
              <w:top w:w="60" w:type="dxa"/>
              <w:bottom w:w="60" w:type="dxa"/>
              <w:start w:w="110" w:type="dxa"/>
              <w:end w:w="110" w:type="dxa"/>
            </w:tcMar>
            <w:shd w:val="clear" w:color="auto" w:fill="E9EDF0"/>
          </w:tcPr>
          <w:p>
            <w:pPr>
              <w:spacing w:after="0"/>
              <w:jc w:val="right"/>
            </w:pPr>
            <w:r>
              <w:rPr>
                <w:rFonts w:ascii="Calibri" w:hAnsi="Calibri"/>
                <w:b/>
                <w:i w:val="0"/>
                <w:color w:val="0F2942"/>
                <w:sz w:val="18"/>
              </w:rPr>
            </w:r>
          </w:p>
        </w:tc>
      </w:tr>
    </w:tbl>
    <w:p>
      <w:pPr>
        <w:spacing w:after="40"/>
      </w:pPr>
    </w:p>
    <w:p>
      <w:pPr>
        <w:spacing w:after="160" w:before="0"/>
      </w:pPr>
      <w:r>
        <w:rPr>
          <w:rFonts w:ascii="Calibri" w:hAnsi="Calibri"/>
          <w:b w:val="0"/>
          <w:i/>
          <w:color w:val="5C5B57"/>
          <w:sz w:val="19"/>
        </w:rPr>
        <w:t>The founder's combined interest is 40% — 20% held directly plus 20% held through NORCO UAE, which he controls. The Chairman remains executive lead and agency holder.</w:t>
      </w:r>
    </w:p>
    <w:p>
      <w:pPr>
        <w:keepNext/>
        <w:spacing w:before="220" w:after="80"/>
      </w:pPr>
      <w:r>
        <w:rPr>
          <w:rFonts w:ascii="Calibri" w:hAnsi="Calibri"/>
          <w:b/>
          <w:i w:val="0"/>
          <w:color w:val="0F6E6A"/>
          <w:sz w:val="24"/>
        </w:rPr>
        <w:t>2.2  Pre-operational investment — USD 14,517 already spent</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6336"/>
            <w:shd w:val="clear" w:color="auto" w:fill="0F2942"/>
            <w:tcMar>
              <w:top w:w="60" w:type="dxa"/>
              <w:bottom w:w="60" w:type="dxa"/>
              <w:start w:w="110" w:type="dxa"/>
              <w:end w:w="110" w:type="dxa"/>
            </w:tcMar>
          </w:tcPr>
          <w:p>
            <w:pPr>
              <w:spacing w:after="0"/>
            </w:pPr>
            <w:r>
              <w:rPr>
                <w:rFonts w:ascii="Calibri" w:hAnsi="Calibri"/>
                <w:b/>
                <w:i w:val="0"/>
                <w:color w:val="FFFFFF"/>
                <w:sz w:val="19"/>
              </w:rPr>
              <w:t>Item</w:t>
            </w:r>
          </w:p>
        </w:tc>
        <w:tc>
          <w:tcPr>
            <w:tcW w:type="dxa" w:w="2304"/>
            <w:shd w:val="clear" w:color="auto" w:fill="0F2942"/>
            <w:tcMar>
              <w:top w:w="60" w:type="dxa"/>
              <w:bottom w:w="60" w:type="dxa"/>
              <w:start w:w="110" w:type="dxa"/>
              <w:end w:w="110" w:type="dxa"/>
            </w:tcMar>
          </w:tcPr>
          <w:p>
            <w:pPr>
              <w:spacing w:after="0"/>
            </w:pPr>
            <w:r>
              <w:rPr>
                <w:rFonts w:ascii="Calibri" w:hAnsi="Calibri"/>
                <w:b/>
                <w:i w:val="0"/>
                <w:color w:val="FFFFFF"/>
                <w:sz w:val="19"/>
              </w:rPr>
              <w:t>Original</w:t>
            </w:r>
          </w:p>
        </w:tc>
        <w:tc>
          <w:tcPr>
            <w:tcW w:type="dxa" w:w="1296"/>
            <w:shd w:val="clear" w:color="auto" w:fill="0F2942"/>
            <w:tcMar>
              <w:top w:w="60" w:type="dxa"/>
              <w:bottom w:w="60" w:type="dxa"/>
              <w:start w:w="110" w:type="dxa"/>
              <w:end w:w="110" w:type="dxa"/>
            </w:tcMar>
          </w:tcPr>
          <w:p>
            <w:pPr>
              <w:spacing w:after="0"/>
              <w:jc w:val="right"/>
            </w:pPr>
            <w:r>
              <w:rPr>
                <w:rFonts w:ascii="Calibri" w:hAnsi="Calibri"/>
                <w:b/>
                <w:i w:val="0"/>
                <w:color w:val="FFFFFF"/>
                <w:sz w:val="19"/>
              </w:rPr>
              <w:t>USD</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Showroom renovation — 6th October City</w:t>
            </w:r>
          </w:p>
        </w:tc>
        <w:tc>
          <w:tcPr>
            <w:tcW w:type="dxa" w:w="2304"/>
            <w:tcMar>
              <w:top w:w="60" w:type="dxa"/>
              <w:bottom w:w="60" w:type="dxa"/>
              <w:start w:w="110" w:type="dxa"/>
              <w:end w:w="110" w:type="dxa"/>
            </w:tcMar>
          </w:tcPr>
          <w:p>
            <w:pPr>
              <w:spacing w:after="0"/>
            </w:pPr>
            <w:r>
              <w:rPr>
                <w:rFonts w:ascii="Calibri" w:hAnsi="Calibri"/>
                <w:b w:val="0"/>
                <w:i w:val="0"/>
                <w:color w:val="1A1A19"/>
                <w:sz w:val="19"/>
              </w:rPr>
              <w:t>EGP 82,000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1,640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Showroom furniture &amp; fittings</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85,000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1,700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Security cameras &amp; CCTV</w:t>
            </w:r>
          </w:p>
        </w:tc>
        <w:tc>
          <w:tcPr>
            <w:tcW w:type="dxa" w:w="2304"/>
            <w:tcMar>
              <w:top w:w="60" w:type="dxa"/>
              <w:bottom w:w="60" w:type="dxa"/>
              <w:start w:w="110" w:type="dxa"/>
              <w:end w:w="110" w:type="dxa"/>
            </w:tcMar>
          </w:tcPr>
          <w:p>
            <w:pPr>
              <w:spacing w:after="0"/>
            </w:pPr>
            <w:r>
              <w:rPr>
                <w:rFonts w:ascii="Calibri" w:hAnsi="Calibri"/>
                <w:b w:val="0"/>
                <w:i w:val="0"/>
                <w:color w:val="1A1A19"/>
                <w:sz w:val="19"/>
              </w:rPr>
              <w:t>EGP 7,500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150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Additional setup &amp; equipment</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50,000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1,000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Legal &amp; licensing — Egypt registration (2025)</w:t>
            </w:r>
          </w:p>
        </w:tc>
        <w:tc>
          <w:tcPr>
            <w:tcW w:type="dxa" w:w="2304"/>
            <w:tcMar>
              <w:top w:w="60" w:type="dxa"/>
              <w:bottom w:w="60" w:type="dxa"/>
              <w:start w:w="110" w:type="dxa"/>
              <w:end w:w="110" w:type="dxa"/>
            </w:tcMar>
          </w:tcPr>
          <w:p>
            <w:pPr>
              <w:spacing w:after="0"/>
            </w:pPr>
            <w:r>
              <w:rPr>
                <w:rFonts w:ascii="Calibri" w:hAnsi="Calibri"/>
                <w:b w:val="0"/>
                <w:i w:val="0"/>
                <w:color w:val="1A1A19"/>
                <w:sz w:val="19"/>
              </w:rPr>
              <w:t>EGP 87,000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1,740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Legal &amp; licensing — import permits (2026)</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80,000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1,600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UAE business licence — NORCO LLC</w:t>
            </w:r>
          </w:p>
        </w:tc>
        <w:tc>
          <w:tcPr>
            <w:tcW w:type="dxa" w:w="2304"/>
            <w:tcMar>
              <w:top w:w="60" w:type="dxa"/>
              <w:bottom w:w="60" w:type="dxa"/>
              <w:start w:w="110" w:type="dxa"/>
              <w:end w:w="110" w:type="dxa"/>
            </w:tcMar>
          </w:tcPr>
          <w:p>
            <w:pPr>
              <w:spacing w:after="0"/>
            </w:pPr>
            <w:r>
              <w:rPr>
                <w:rFonts w:ascii="Calibri" w:hAnsi="Calibri"/>
                <w:b w:val="0"/>
                <w:i w:val="0"/>
                <w:color w:val="1A1A19"/>
                <w:sz w:val="19"/>
              </w:rPr>
              <w:t>AED 15,000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4,084</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Showroom rent — 2 months pre-operations</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20,000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400</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Sales representative — 2 months pre-launch</w:t>
            </w:r>
          </w:p>
        </w:tc>
        <w:tc>
          <w:tcPr>
            <w:tcW w:type="dxa" w:w="2304"/>
            <w:tcMar>
              <w:top w:w="60" w:type="dxa"/>
              <w:bottom w:w="60" w:type="dxa"/>
              <w:start w:w="110" w:type="dxa"/>
              <w:end w:w="110" w:type="dxa"/>
            </w:tcMar>
          </w:tcPr>
          <w:p>
            <w:pPr>
              <w:spacing w:after="0"/>
            </w:pPr>
            <w:r>
              <w:rPr>
                <w:rFonts w:ascii="Calibri" w:hAnsi="Calibri"/>
                <w:b w:val="0"/>
                <w:i w:val="0"/>
                <w:color w:val="1A1A19"/>
                <w:sz w:val="19"/>
              </w:rPr>
              <w:t>2 × USD 500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1,000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Products purchased &amp; sold in showroom (pre-launch trading)</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EGP 31,948.50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603</w:t>
            </w:r>
          </w:p>
        </w:tc>
      </w:tr>
      <w:tr>
        <w:tc>
          <w:tcPr>
            <w:tcW w:type="dxa" w:w="6336"/>
            <w:tcMar>
              <w:top w:w="60" w:type="dxa"/>
              <w:bottom w:w="60" w:type="dxa"/>
              <w:start w:w="110" w:type="dxa"/>
              <w:end w:w="110" w:type="dxa"/>
            </w:tcMar>
          </w:tcPr>
          <w:p>
            <w:pPr>
              <w:spacing w:after="0"/>
            </w:pPr>
            <w:r>
              <w:rPr>
                <w:rFonts w:ascii="Calibri" w:hAnsi="Calibri"/>
                <w:b w:val="0"/>
                <w:i w:val="0"/>
                <w:color w:val="1A1A19"/>
                <w:sz w:val="19"/>
              </w:rPr>
              <w:t>Branding, logo &amp; stationery</w:t>
            </w:r>
          </w:p>
        </w:tc>
        <w:tc>
          <w:tcPr>
            <w:tcW w:type="dxa" w:w="2304"/>
            <w:tcMar>
              <w:top w:w="60" w:type="dxa"/>
              <w:bottom w:w="60" w:type="dxa"/>
              <w:start w:w="110" w:type="dxa"/>
              <w:end w:w="110" w:type="dxa"/>
            </w:tcMar>
          </w:tcPr>
          <w:p>
            <w:pPr>
              <w:spacing w:after="0"/>
            </w:pPr>
            <w:r>
              <w:rPr>
                <w:rFonts w:ascii="Calibri" w:hAnsi="Calibri"/>
                <w:b w:val="0"/>
                <w:i w:val="0"/>
                <w:color w:val="1A1A19"/>
                <w:sz w:val="19"/>
              </w:rPr>
              <w:t>USD 300</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9"/>
              </w:rPr>
              <w:t>300</w:t>
            </w:r>
          </w:p>
        </w:tc>
      </w:tr>
      <w:tr>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9"/>
              </w:rPr>
              <w:t>Corporate website — norcotrading.com</w:t>
            </w:r>
          </w:p>
        </w:tc>
        <w:tc>
          <w:tcPr>
            <w:tcW w:type="dxa" w:w="2304"/>
            <w:tcMar>
              <w:top w:w="60" w:type="dxa"/>
              <w:bottom w:w="60" w:type="dxa"/>
              <w:start w:w="110" w:type="dxa"/>
              <w:end w:w="110" w:type="dxa"/>
            </w:tcMar>
            <w:shd w:val="clear" w:color="auto" w:fill="F5F7F9"/>
          </w:tcPr>
          <w:p>
            <w:pPr>
              <w:spacing w:after="0"/>
            </w:pPr>
            <w:r>
              <w:rPr>
                <w:rFonts w:ascii="Calibri" w:hAnsi="Calibri"/>
                <w:b w:val="0"/>
                <w:i w:val="0"/>
                <w:color w:val="1A1A19"/>
                <w:sz w:val="19"/>
              </w:rPr>
              <w:t>USD 300</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9"/>
              </w:rPr>
              <w:t>300</w:t>
            </w:r>
          </w:p>
        </w:tc>
      </w:tr>
      <w:tr>
        <w:tc>
          <w:tcPr>
            <w:tcW w:type="dxa" w:w="6336"/>
            <w:tcMar>
              <w:top w:w="60" w:type="dxa"/>
              <w:bottom w:w="60" w:type="dxa"/>
              <w:start w:w="110" w:type="dxa"/>
              <w:end w:w="110" w:type="dxa"/>
            </w:tcMar>
            <w:shd w:val="clear" w:color="auto" w:fill="E9EDF0"/>
          </w:tcPr>
          <w:p>
            <w:pPr>
              <w:spacing w:after="0"/>
            </w:pPr>
            <w:r>
              <w:rPr>
                <w:rFonts w:ascii="Calibri" w:hAnsi="Calibri"/>
                <w:b/>
                <w:i w:val="0"/>
                <w:color w:val="0F2942"/>
                <w:sz w:val="19"/>
              </w:rPr>
              <w:t>Total pre-operational investment</w:t>
            </w:r>
          </w:p>
        </w:tc>
        <w:tc>
          <w:tcPr>
            <w:tcW w:type="dxa" w:w="2304"/>
            <w:tcMar>
              <w:top w:w="60" w:type="dxa"/>
              <w:bottom w:w="60" w:type="dxa"/>
              <w:start w:w="110" w:type="dxa"/>
              <w:end w:w="110" w:type="dxa"/>
            </w:tcMar>
            <w:shd w:val="clear" w:color="auto" w:fill="E9EDF0"/>
          </w:tcPr>
          <w:p>
            <w:pPr>
              <w:spacing w:after="0"/>
            </w:pPr>
            <w:r>
              <w:rPr>
                <w:rFonts w:ascii="Calibri" w:hAnsi="Calibri"/>
                <w:b/>
                <w:i w:val="0"/>
                <w:color w:val="0F2942"/>
                <w:sz w:val="19"/>
              </w:rPr>
            </w:r>
          </w:p>
        </w:tc>
        <w:tc>
          <w:tcPr>
            <w:tcW w:type="dxa" w:w="1296"/>
            <w:tcMar>
              <w:top w:w="60" w:type="dxa"/>
              <w:bottom w:w="60" w:type="dxa"/>
              <w:start w:w="110" w:type="dxa"/>
              <w:end w:w="110" w:type="dxa"/>
            </w:tcMar>
            <w:shd w:val="clear" w:color="auto" w:fill="E9EDF0"/>
          </w:tcPr>
          <w:p>
            <w:pPr>
              <w:spacing w:after="0"/>
              <w:jc w:val="right"/>
            </w:pPr>
            <w:r>
              <w:rPr>
                <w:rFonts w:ascii="Calibri" w:hAnsi="Calibri"/>
                <w:b/>
                <w:i w:val="0"/>
                <w:color w:val="0F2942"/>
                <w:sz w:val="19"/>
              </w:rPr>
              <w:t>14,517</w:t>
            </w:r>
          </w:p>
        </w:tc>
      </w:tr>
    </w:tbl>
    <w:p>
      <w:pPr>
        <w:spacing w:after="40"/>
      </w:pPr>
    </w:p>
    <w:p>
      <w:r>
        <w:br w:type="page"/>
      </w:r>
    </w:p>
    <w:p>
      <w:pPr>
        <w:keepNext/>
        <w:spacing w:before="320" w:after="160"/>
        <w:pBdr>
          <w:bottom w:val="single" w:sz="6" w:space="4" w:color="0F2942"/>
        </w:pBdr>
      </w:pPr>
      <w:r>
        <w:rPr>
          <w:rFonts w:ascii="Calibri" w:hAnsi="Calibri"/>
          <w:b/>
          <w:i w:val="0"/>
          <w:color w:val="C8892A"/>
          <w:sz w:val="30"/>
        </w:rPr>
        <w:t xml:space="preserve">3   </w:t>
      </w:r>
      <w:r>
        <w:rPr>
          <w:rFonts w:ascii="Calibri" w:hAnsi="Calibri"/>
          <w:b/>
          <w:i w:val="0"/>
          <w:color w:val="0F2942"/>
          <w:sz w:val="30"/>
        </w:rPr>
        <w:t>The Two Divisions</w:t>
      </w:r>
    </w:p>
    <w:p>
      <w:pPr>
        <w:keepNext/>
        <w:spacing w:before="220" w:after="80"/>
      </w:pPr>
      <w:r>
        <w:rPr>
          <w:rFonts w:ascii="Calibri" w:hAnsi="Calibri"/>
          <w:b/>
          <w:i w:val="0"/>
          <w:color w:val="0F6E6A"/>
          <w:sz w:val="24"/>
        </w:rPr>
        <w:t>3.1  Vestwoods — Haier Energy battery storage</w:t>
      </w:r>
    </w:p>
    <w:p>
      <w:pPr>
        <w:spacing w:after="120" w:before="0"/>
      </w:pPr>
      <w:r>
        <w:rPr>
          <w:rFonts w:ascii="Calibri" w:hAnsi="Calibri"/>
          <w:b w:val="0"/>
          <w:i w:val="0"/>
          <w:color w:val="1A1A19"/>
          <w:sz w:val="21"/>
        </w:rPr>
        <w:t>Vestwoods is a Haier Energy brand of lithium (LFP) battery storage, hybrid inverters and telecom power. NORCO holds the exclusive Egypt agency with price control. Chronic load-shedding, diesel escalation and the national solar push make storage a purchase of necessity across residential, telecom and C&amp;I segments. Each 40ft container carries 340 units. In Egypt the container sells at a 50/50 retail-wholesale mix for USD 433,281 (21% blended margin on a 79% product cost). Export containers to Sudan, Algeria and Libya are billed at USD 393,861 each, with product cost booked at 50% of export revenue under the group's negotiated export supply pricing.</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378"/>
        <w:gridCol w:w="1378"/>
        <w:gridCol w:w="1378"/>
        <w:gridCol w:w="1378"/>
        <w:gridCol w:w="1378"/>
        <w:gridCol w:w="1378"/>
        <w:gridCol w:w="1378"/>
      </w:tblGrid>
      <w:tr>
        <w:tc>
          <w:tcPr>
            <w:tcW w:type="dxa" w:w="1656"/>
            <w:shd w:val="clear" w:color="auto" w:fill="0F2942"/>
            <w:tcMar>
              <w:top w:w="60" w:type="dxa"/>
              <w:bottom w:w="60" w:type="dxa"/>
              <w:start w:w="110" w:type="dxa"/>
              <w:end w:w="110" w:type="dxa"/>
            </w:tcMar>
          </w:tcPr>
          <w:p>
            <w:pPr>
              <w:spacing w:after="0"/>
            </w:pPr>
            <w:r>
              <w:rPr>
                <w:rFonts w:ascii="Calibri" w:hAnsi="Calibri"/>
                <w:b/>
                <w:i w:val="0"/>
                <w:color w:val="FFFFFF"/>
                <w:sz w:val="17"/>
              </w:rPr>
              <w:t>Model</w:t>
            </w:r>
          </w:p>
        </w:tc>
        <w:tc>
          <w:tcPr>
            <w:tcW w:type="dxa" w:w="2736"/>
            <w:shd w:val="clear" w:color="auto" w:fill="0F2942"/>
            <w:tcMar>
              <w:top w:w="60" w:type="dxa"/>
              <w:bottom w:w="60" w:type="dxa"/>
              <w:start w:w="110" w:type="dxa"/>
              <w:end w:w="110" w:type="dxa"/>
            </w:tcMar>
          </w:tcPr>
          <w:p>
            <w:pPr>
              <w:spacing w:after="0"/>
            </w:pPr>
            <w:r>
              <w:rPr>
                <w:rFonts w:ascii="Calibri" w:hAnsi="Calibri"/>
                <w:b/>
                <w:i w:val="0"/>
                <w:color w:val="FFFFFF"/>
                <w:sz w:val="17"/>
              </w:rPr>
              <w:t>Description</w:t>
            </w:r>
          </w:p>
        </w:tc>
        <w:tc>
          <w:tcPr>
            <w:tcW w:type="dxa" w:w="720"/>
            <w:shd w:val="clear" w:color="auto" w:fill="0F2942"/>
            <w:tcMar>
              <w:top w:w="60" w:type="dxa"/>
              <w:bottom w:w="60" w:type="dxa"/>
              <w:start w:w="110" w:type="dxa"/>
              <w:end w:w="110" w:type="dxa"/>
            </w:tcMar>
          </w:tcPr>
          <w:p>
            <w:pPr>
              <w:spacing w:after="0"/>
              <w:jc w:val="right"/>
            </w:pPr>
            <w:r>
              <w:rPr>
                <w:rFonts w:ascii="Calibri" w:hAnsi="Calibri"/>
                <w:b/>
                <w:i w:val="0"/>
                <w:color w:val="FFFFFF"/>
                <w:sz w:val="17"/>
              </w:rPr>
              <w:t>Qty</w:t>
            </w:r>
          </w:p>
        </w:tc>
        <w:tc>
          <w:tcPr>
            <w:tcW w:type="dxa" w:w="1152"/>
            <w:shd w:val="clear" w:color="auto" w:fill="0F2942"/>
            <w:tcMar>
              <w:top w:w="60" w:type="dxa"/>
              <w:bottom w:w="60" w:type="dxa"/>
              <w:start w:w="110" w:type="dxa"/>
              <w:end w:w="110" w:type="dxa"/>
            </w:tcMar>
          </w:tcPr>
          <w:p>
            <w:pPr>
              <w:spacing w:after="0"/>
              <w:jc w:val="right"/>
            </w:pPr>
            <w:r>
              <w:rPr>
                <w:rFonts w:ascii="Calibri" w:hAnsi="Calibri"/>
                <w:b/>
                <w:i w:val="0"/>
                <w:color w:val="FFFFFF"/>
                <w:sz w:val="17"/>
              </w:rPr>
              <w:t>Factory</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Landed COGS</w:t>
            </w:r>
          </w:p>
        </w:tc>
        <w:tc>
          <w:tcPr>
            <w:tcW w:type="dxa" w:w="1296"/>
            <w:shd w:val="clear" w:color="auto" w:fill="0F2942"/>
            <w:tcMar>
              <w:top w:w="60" w:type="dxa"/>
              <w:bottom w:w="60" w:type="dxa"/>
              <w:start w:w="110" w:type="dxa"/>
              <w:end w:w="110" w:type="dxa"/>
            </w:tcMar>
          </w:tcPr>
          <w:p>
            <w:pPr>
              <w:spacing w:after="0"/>
              <w:jc w:val="right"/>
            </w:pPr>
            <w:r>
              <w:rPr>
                <w:rFonts w:ascii="Calibri" w:hAnsi="Calibri"/>
                <w:b/>
                <w:i w:val="0"/>
                <w:color w:val="FFFFFF"/>
                <w:sz w:val="17"/>
              </w:rPr>
              <w:t>Wholesale</w:t>
            </w:r>
          </w:p>
        </w:tc>
        <w:tc>
          <w:tcPr>
            <w:tcW w:type="dxa" w:w="1224"/>
            <w:shd w:val="clear" w:color="auto" w:fill="0F2942"/>
            <w:tcMar>
              <w:top w:w="60" w:type="dxa"/>
              <w:bottom w:w="60" w:type="dxa"/>
              <w:start w:w="110" w:type="dxa"/>
              <w:end w:w="110" w:type="dxa"/>
            </w:tcMar>
          </w:tcPr>
          <w:p>
            <w:pPr>
              <w:spacing w:after="0"/>
              <w:jc w:val="right"/>
            </w:pPr>
            <w:r>
              <w:rPr>
                <w:rFonts w:ascii="Calibri" w:hAnsi="Calibri"/>
                <w:b/>
                <w:i w:val="0"/>
                <w:color w:val="FFFFFF"/>
                <w:sz w:val="17"/>
              </w:rPr>
              <w:t>Retail</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VE51100L</w:t>
            </w:r>
          </w:p>
        </w:tc>
        <w:tc>
          <w:tcPr>
            <w:tcW w:type="dxa" w:w="2736"/>
            <w:tcMar>
              <w:top w:w="60" w:type="dxa"/>
              <w:bottom w:w="60" w:type="dxa"/>
              <w:start w:w="110" w:type="dxa"/>
              <w:end w:w="110" w:type="dxa"/>
            </w:tcMar>
          </w:tcPr>
          <w:p>
            <w:pPr>
              <w:spacing w:after="0"/>
            </w:pPr>
            <w:r>
              <w:rPr>
                <w:rFonts w:ascii="Calibri" w:hAnsi="Calibri"/>
                <w:b w:val="0"/>
                <w:i w:val="0"/>
                <w:color w:val="1A1A19"/>
                <w:sz w:val="17"/>
              </w:rPr>
              <w:t>Smart Battery 5.12kWh</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70</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672</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988</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1,137</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1,364</w:t>
            </w:r>
          </w:p>
        </w:tc>
      </w:tr>
      <w:tr>
        <w:tc>
          <w:tcPr>
            <w:tcW w:type="dxa" w:w="1656"/>
            <w:tcMar>
              <w:top w:w="60" w:type="dxa"/>
              <w:bottom w:w="60" w:type="dxa"/>
              <w:start w:w="110" w:type="dxa"/>
              <w:end w:w="110" w:type="dxa"/>
            </w:tcMar>
            <w:shd w:val="clear" w:color="auto" w:fill="F5F7F9"/>
          </w:tcPr>
          <w:p>
            <w:pPr>
              <w:spacing w:after="0"/>
            </w:pPr>
            <w:r>
              <w:rPr>
                <w:rFonts w:ascii="Calibri" w:hAnsi="Calibri"/>
                <w:b w:val="0"/>
                <w:i w:val="0"/>
                <w:color w:val="1A1A19"/>
                <w:sz w:val="17"/>
              </w:rPr>
              <w:t>VE51200L</w:t>
            </w:r>
          </w:p>
        </w:tc>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Smart Battery 10.24kWh</w:t>
            </w:r>
          </w:p>
        </w:tc>
        <w:tc>
          <w:tcPr>
            <w:tcW w:type="dxa" w:w="72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1,200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1,748</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2,011</w:t>
            </w:r>
          </w:p>
        </w:tc>
        <w:tc>
          <w:tcPr>
            <w:tcW w:type="dxa" w:w="122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2,413</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VE51314L</w:t>
            </w:r>
          </w:p>
        </w:tc>
        <w:tc>
          <w:tcPr>
            <w:tcW w:type="dxa" w:w="2736"/>
            <w:tcMar>
              <w:top w:w="60" w:type="dxa"/>
              <w:bottom w:w="60" w:type="dxa"/>
              <w:start w:w="110" w:type="dxa"/>
              <w:end w:w="110" w:type="dxa"/>
            </w:tcMar>
          </w:tcPr>
          <w:p>
            <w:pPr>
              <w:spacing w:after="0"/>
            </w:pPr>
            <w:r>
              <w:rPr>
                <w:rFonts w:ascii="Calibri" w:hAnsi="Calibri"/>
                <w:b w:val="0"/>
                <w:i w:val="0"/>
                <w:color w:val="1A1A19"/>
                <w:sz w:val="17"/>
              </w:rPr>
              <w:t>Smart Battery 16.07kWh</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32</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1,560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2,266</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2,607</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3,129</w:t>
            </w:r>
          </w:p>
        </w:tc>
      </w:tr>
      <w:tr>
        <w:tc>
          <w:tcPr>
            <w:tcW w:type="dxa" w:w="1656"/>
            <w:tcMar>
              <w:top w:w="60" w:type="dxa"/>
              <w:bottom w:w="60" w:type="dxa"/>
              <w:start w:w="110" w:type="dxa"/>
              <w:end w:w="110" w:type="dxa"/>
            </w:tcMar>
            <w:shd w:val="clear" w:color="auto" w:fill="F5F7F9"/>
          </w:tcPr>
          <w:p>
            <w:pPr>
              <w:spacing w:after="0"/>
            </w:pPr>
            <w:r>
              <w:rPr>
                <w:rFonts w:ascii="Calibri" w:hAnsi="Calibri"/>
                <w:b w:val="0"/>
                <w:i w:val="0"/>
                <w:color w:val="1A1A19"/>
                <w:sz w:val="17"/>
              </w:rPr>
              <w:t>VEH-T20KA3</w:t>
            </w:r>
          </w:p>
        </w:tc>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3-Phase Inverter 20kW</w:t>
            </w:r>
          </w:p>
        </w:tc>
        <w:tc>
          <w:tcPr>
            <w:tcW w:type="dxa" w:w="72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1,870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2,713</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3,121</w:t>
            </w:r>
          </w:p>
        </w:tc>
        <w:tc>
          <w:tcPr>
            <w:tcW w:type="dxa" w:w="122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3,745</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HEH-S6KB3</w:t>
            </w:r>
          </w:p>
        </w:tc>
        <w:tc>
          <w:tcPr>
            <w:tcW w:type="dxa" w:w="2736"/>
            <w:tcMar>
              <w:top w:w="60" w:type="dxa"/>
              <w:bottom w:w="60" w:type="dxa"/>
              <w:start w:w="110" w:type="dxa"/>
              <w:end w:w="110" w:type="dxa"/>
            </w:tcMar>
          </w:tcPr>
          <w:p>
            <w:pPr>
              <w:spacing w:after="0"/>
            </w:pPr>
            <w:r>
              <w:rPr>
                <w:rFonts w:ascii="Calibri" w:hAnsi="Calibri"/>
                <w:b w:val="0"/>
                <w:i w:val="0"/>
                <w:color w:val="1A1A19"/>
                <w:sz w:val="17"/>
              </w:rPr>
              <w:t>Hybrid Inverter 6kW</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70</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390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582</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670</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804</w:t>
            </w:r>
          </w:p>
        </w:tc>
      </w:tr>
      <w:tr>
        <w:tc>
          <w:tcPr>
            <w:tcW w:type="dxa" w:w="1656"/>
            <w:tcMar>
              <w:top w:w="60" w:type="dxa"/>
              <w:bottom w:w="60" w:type="dxa"/>
              <w:start w:w="110" w:type="dxa"/>
              <w:end w:w="110" w:type="dxa"/>
            </w:tcMar>
            <w:shd w:val="clear" w:color="auto" w:fill="F5F7F9"/>
          </w:tcPr>
          <w:p>
            <w:pPr>
              <w:spacing w:after="0"/>
            </w:pPr>
            <w:r>
              <w:rPr>
                <w:rFonts w:ascii="Calibri" w:hAnsi="Calibri"/>
                <w:b w:val="0"/>
                <w:i w:val="0"/>
                <w:color w:val="1A1A19"/>
                <w:sz w:val="17"/>
              </w:rPr>
              <w:t>VEP500W</w:t>
            </w:r>
          </w:p>
        </w:tc>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Rescube Portable 0.5kW/1kWh</w:t>
            </w:r>
          </w:p>
        </w:tc>
        <w:tc>
          <w:tcPr>
            <w:tcW w:type="dxa" w:w="72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40</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145</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229</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264</w:t>
            </w:r>
          </w:p>
        </w:tc>
        <w:tc>
          <w:tcPr>
            <w:tcW w:type="dxa" w:w="122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317</w:t>
            </w:r>
          </w:p>
        </w:tc>
      </w:tr>
      <w:tr>
        <w:tc>
          <w:tcPr>
            <w:tcW w:type="dxa" w:w="1656"/>
            <w:tcMar>
              <w:top w:w="60" w:type="dxa"/>
              <w:bottom w:w="60" w:type="dxa"/>
              <w:start w:w="110" w:type="dxa"/>
              <w:end w:w="110" w:type="dxa"/>
            </w:tcMar>
          </w:tcPr>
          <w:p>
            <w:pPr>
              <w:spacing w:after="0"/>
            </w:pPr>
            <w:r>
              <w:rPr>
                <w:rFonts w:ascii="Calibri" w:hAnsi="Calibri"/>
                <w:b w:val="0"/>
                <w:i w:val="0"/>
                <w:color w:val="1A1A19"/>
                <w:sz w:val="17"/>
              </w:rPr>
              <w:t>VEP1K20</w:t>
            </w:r>
          </w:p>
        </w:tc>
        <w:tc>
          <w:tcPr>
            <w:tcW w:type="dxa" w:w="2736"/>
            <w:tcMar>
              <w:top w:w="60" w:type="dxa"/>
              <w:bottom w:w="60" w:type="dxa"/>
              <w:start w:w="110" w:type="dxa"/>
              <w:end w:w="110" w:type="dxa"/>
            </w:tcMar>
          </w:tcPr>
          <w:p>
            <w:pPr>
              <w:spacing w:after="0"/>
            </w:pPr>
            <w:r>
              <w:rPr>
                <w:rFonts w:ascii="Calibri" w:hAnsi="Calibri"/>
                <w:b w:val="0"/>
                <w:i w:val="0"/>
                <w:color w:val="1A1A19"/>
                <w:sz w:val="17"/>
              </w:rPr>
              <w:t>Rescube All-in-One 1kW/2kWh</w:t>
            </w:r>
          </w:p>
        </w:tc>
        <w:tc>
          <w:tcPr>
            <w:tcW w:type="dxa" w:w="720"/>
            <w:tcMar>
              <w:top w:w="60" w:type="dxa"/>
              <w:bottom w:w="60" w:type="dxa"/>
              <w:start w:w="110" w:type="dxa"/>
              <w:end w:w="110" w:type="dxa"/>
            </w:tcMar>
          </w:tcPr>
          <w:p>
            <w:pPr>
              <w:spacing w:after="0"/>
              <w:jc w:val="right"/>
            </w:pPr>
            <w:r>
              <w:rPr>
                <w:rFonts w:ascii="Calibri" w:hAnsi="Calibri"/>
                <w:b w:val="0"/>
                <w:i w:val="0"/>
                <w:color w:val="1A1A19"/>
                <w:sz w:val="17"/>
              </w:rPr>
              <w:t>80</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7"/>
              </w:rPr>
              <w:t>365</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546</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628</w:t>
            </w:r>
          </w:p>
        </w:tc>
        <w:tc>
          <w:tcPr>
            <w:tcW w:type="dxa" w:w="1224"/>
            <w:tcMar>
              <w:top w:w="60" w:type="dxa"/>
              <w:bottom w:w="60" w:type="dxa"/>
              <w:start w:w="110" w:type="dxa"/>
              <w:end w:w="110" w:type="dxa"/>
            </w:tcMar>
          </w:tcPr>
          <w:p>
            <w:pPr>
              <w:spacing w:after="0"/>
              <w:jc w:val="right"/>
            </w:pPr>
            <w:r>
              <w:rPr>
                <w:rFonts w:ascii="Calibri" w:hAnsi="Calibri"/>
                <w:b w:val="0"/>
                <w:i w:val="0"/>
                <w:color w:val="1A1A19"/>
                <w:sz w:val="17"/>
              </w:rPr>
              <w:t>754</w:t>
            </w:r>
          </w:p>
        </w:tc>
      </w:tr>
      <w:tr>
        <w:tc>
          <w:tcPr>
            <w:tcW w:type="dxa" w:w="1656"/>
            <w:tcMar>
              <w:top w:w="60" w:type="dxa"/>
              <w:bottom w:w="60" w:type="dxa"/>
              <w:start w:w="110" w:type="dxa"/>
              <w:end w:w="110" w:type="dxa"/>
            </w:tcMar>
            <w:shd w:val="clear" w:color="auto" w:fill="E9EDF0"/>
          </w:tcPr>
          <w:p>
            <w:pPr>
              <w:spacing w:after="0"/>
            </w:pPr>
            <w:r>
              <w:rPr>
                <w:rFonts w:ascii="Calibri" w:hAnsi="Calibri"/>
                <w:b/>
                <w:i w:val="0"/>
                <w:color w:val="0F2942"/>
                <w:sz w:val="17"/>
              </w:rPr>
              <w:t>Container</w:t>
            </w:r>
          </w:p>
        </w:tc>
        <w:tc>
          <w:tcPr>
            <w:tcW w:type="dxa" w:w="2736"/>
            <w:tcMar>
              <w:top w:w="60" w:type="dxa"/>
              <w:bottom w:w="60" w:type="dxa"/>
              <w:start w:w="110" w:type="dxa"/>
              <w:end w:w="110" w:type="dxa"/>
            </w:tcMar>
            <w:shd w:val="clear" w:color="auto" w:fill="E9EDF0"/>
          </w:tcPr>
          <w:p>
            <w:pPr>
              <w:spacing w:after="0"/>
            </w:pPr>
            <w:r>
              <w:rPr>
                <w:rFonts w:ascii="Calibri" w:hAnsi="Calibri"/>
                <w:b/>
                <w:i w:val="0"/>
                <w:color w:val="0F2942"/>
                <w:sz w:val="17"/>
              </w:rPr>
              <w:t>340 units, 40ft FCL</w:t>
            </w:r>
          </w:p>
        </w:tc>
        <w:tc>
          <w:tcPr>
            <w:tcW w:type="dxa" w:w="720"/>
            <w:tcMar>
              <w:top w:w="60" w:type="dxa"/>
              <w:bottom w:w="60" w:type="dxa"/>
              <w:start w:w="110" w:type="dxa"/>
              <w:end w:w="110" w:type="dxa"/>
            </w:tcMar>
            <w:shd w:val="clear" w:color="auto" w:fill="E9EDF0"/>
          </w:tcPr>
          <w:p>
            <w:pPr>
              <w:spacing w:after="0"/>
              <w:jc w:val="right"/>
            </w:pPr>
            <w:r>
              <w:rPr>
                <w:rFonts w:ascii="Calibri" w:hAnsi="Calibri"/>
                <w:b/>
                <w:i w:val="0"/>
                <w:color w:val="0F2942"/>
                <w:sz w:val="17"/>
              </w:rPr>
              <w:t>340</w:t>
            </w:r>
          </w:p>
        </w:tc>
        <w:tc>
          <w:tcPr>
            <w:tcW w:type="dxa" w:w="1152"/>
            <w:tcMar>
              <w:top w:w="60" w:type="dxa"/>
              <w:bottom w:w="60" w:type="dxa"/>
              <w:start w:w="110" w:type="dxa"/>
              <w:end w:w="110" w:type="dxa"/>
            </w:tcMar>
            <w:shd w:val="clear" w:color="auto" w:fill="E9EDF0"/>
          </w:tcPr>
          <w:p>
            <w:pPr>
              <w:spacing w:after="0"/>
              <w:jc w:val="right"/>
            </w:pPr>
            <w:r>
              <w:rPr>
                <w:rFonts w:ascii="Calibri" w:hAnsi="Calibri"/>
                <w:b/>
                <w:i w:val="0"/>
                <w:color w:val="0F2942"/>
                <w:sz w:val="17"/>
              </w:rPr>
              <w:t>232,940</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342,316</w:t>
            </w:r>
          </w:p>
        </w:tc>
        <w:tc>
          <w:tcPr>
            <w:tcW w:type="dxa" w:w="1296"/>
            <w:tcMar>
              <w:top w:w="60" w:type="dxa"/>
              <w:bottom w:w="60" w:type="dxa"/>
              <w:start w:w="110" w:type="dxa"/>
              <w:end w:w="110" w:type="dxa"/>
            </w:tcMar>
            <w:shd w:val="clear" w:color="auto" w:fill="E9EDF0"/>
          </w:tcPr>
          <w:p>
            <w:pPr>
              <w:spacing w:after="0"/>
              <w:jc w:val="right"/>
            </w:pPr>
            <w:r>
              <w:rPr>
                <w:rFonts w:ascii="Calibri" w:hAnsi="Calibri"/>
                <w:b/>
                <w:i w:val="0"/>
                <w:color w:val="0F2942"/>
                <w:sz w:val="17"/>
              </w:rPr>
              <w:t>393,861</w:t>
            </w:r>
          </w:p>
        </w:tc>
        <w:tc>
          <w:tcPr>
            <w:tcW w:type="dxa" w:w="1224"/>
            <w:tcMar>
              <w:top w:w="60" w:type="dxa"/>
              <w:bottom w:w="60" w:type="dxa"/>
              <w:start w:w="110" w:type="dxa"/>
              <w:end w:w="110" w:type="dxa"/>
            </w:tcMar>
            <w:shd w:val="clear" w:color="auto" w:fill="E9EDF0"/>
          </w:tcPr>
          <w:p>
            <w:pPr>
              <w:spacing w:after="0"/>
              <w:jc w:val="right"/>
            </w:pPr>
            <w:r>
              <w:rPr>
                <w:rFonts w:ascii="Calibri" w:hAnsi="Calibri"/>
                <w:b/>
                <w:i w:val="0"/>
                <w:color w:val="0F2942"/>
                <w:sz w:val="17"/>
              </w:rPr>
              <w:t>472,680</w:t>
            </w:r>
          </w:p>
        </w:tc>
      </w:tr>
    </w:tbl>
    <w:p>
      <w:pPr>
        <w:spacing w:after="40"/>
      </w:pPr>
    </w:p>
    <w:p>
      <w:pPr>
        <w:keepNext/>
        <w:spacing w:before="220" w:after="80"/>
      </w:pPr>
      <w:r>
        <w:rPr>
          <w:rFonts w:ascii="Calibri" w:hAnsi="Calibri"/>
          <w:b/>
          <w:i w:val="0"/>
          <w:color w:val="0F6E6A"/>
          <w:sz w:val="24"/>
        </w:rPr>
        <w:t>3.2  Al Reem Plastics — the group's Angola plant</w:t>
      </w:r>
    </w:p>
    <w:p>
      <w:pPr>
        <w:spacing w:after="120" w:before="0"/>
      </w:pPr>
      <w:r>
        <w:rPr>
          <w:rFonts w:ascii="Calibri" w:hAnsi="Calibri"/>
          <w:b w:val="0"/>
          <w:i w:val="0"/>
          <w:color w:val="1A1A19"/>
          <w:sz w:val="21"/>
        </w:rPr>
        <w:t>Al Reem Plastics is the group's affiliated houseware producer based in Angola. Because the supply relationship sits inside the group, NORCO buys on preferential credit terms that lock its margin — ~25% of revenue on the Egyptian retail/wholesale mix and ~17% on export wholesale — protected from supplier price pressure. The range covers storage, kitchen and food containers, laundry and cleaning ware, bowls, planters and furniture. The July-2026 Egypt packing list — 69 SKUs, 20,488 units per 40ft container — is costed line-by-line at USD 43,339 landed (incl. USD 2,500 freight).</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3744"/>
            <w:shd w:val="clear" w:color="auto" w:fill="0F2942"/>
            <w:tcMar>
              <w:top w:w="60" w:type="dxa"/>
              <w:bottom w:w="60" w:type="dxa"/>
              <w:start w:w="110" w:type="dxa"/>
              <w:end w:w="110" w:type="dxa"/>
            </w:tcMar>
          </w:tcPr>
          <w:p>
            <w:pPr>
              <w:spacing w:after="0"/>
            </w:pPr>
            <w:r>
              <w:rPr>
                <w:rFonts w:ascii="Calibri" w:hAnsi="Calibri"/>
                <w:b/>
                <w:i w:val="0"/>
                <w:color w:val="FFFFFF"/>
                <w:sz w:val="18"/>
              </w:rPr>
              <w:t>Container economics</w:t>
            </w:r>
          </w:p>
        </w:tc>
        <w:tc>
          <w:tcPr>
            <w:tcW w:type="dxa" w:w="1584"/>
            <w:shd w:val="clear" w:color="auto" w:fill="0F2942"/>
            <w:tcMar>
              <w:top w:w="60" w:type="dxa"/>
              <w:bottom w:w="60" w:type="dxa"/>
              <w:start w:w="110" w:type="dxa"/>
              <w:end w:w="110" w:type="dxa"/>
            </w:tcMar>
          </w:tcPr>
          <w:p>
            <w:pPr>
              <w:spacing w:after="0"/>
              <w:jc w:val="right"/>
            </w:pPr>
            <w:r>
              <w:rPr>
                <w:rFonts w:ascii="Calibri" w:hAnsi="Calibri"/>
                <w:b/>
                <w:i w:val="0"/>
                <w:color w:val="FFFFFF"/>
                <w:sz w:val="18"/>
              </w:rPr>
              <w:t>USD</w:t>
            </w:r>
          </w:p>
        </w:tc>
        <w:tc>
          <w:tcPr>
            <w:tcW w:type="dxa" w:w="4608"/>
            <w:shd w:val="clear" w:color="auto" w:fill="0F2942"/>
            <w:tcMar>
              <w:top w:w="60" w:type="dxa"/>
              <w:bottom w:w="60" w:type="dxa"/>
              <w:start w:w="110" w:type="dxa"/>
              <w:end w:w="110" w:type="dxa"/>
            </w:tcMar>
          </w:tcPr>
          <w:p>
            <w:pPr>
              <w:spacing w:after="0"/>
              <w:jc w:val="right"/>
            </w:pPr>
            <w:r>
              <w:rPr>
                <w:rFonts w:ascii="Calibri" w:hAnsi="Calibri"/>
                <w:b/>
                <w:i w:val="0"/>
                <w:color w:val="FFFFFF"/>
                <w:sz w:val="18"/>
              </w:rPr>
              <w:t>Basis</w:t>
            </w:r>
          </w:p>
        </w:tc>
      </w:tr>
      <w:tr>
        <w:tc>
          <w:tcPr>
            <w:tcW w:type="dxa" w:w="3744"/>
            <w:tcMar>
              <w:top w:w="60" w:type="dxa"/>
              <w:bottom w:w="60" w:type="dxa"/>
              <w:start w:w="110" w:type="dxa"/>
              <w:end w:w="110" w:type="dxa"/>
            </w:tcMar>
          </w:tcPr>
          <w:p>
            <w:pPr>
              <w:spacing w:after="0"/>
            </w:pPr>
            <w:r>
              <w:rPr>
                <w:rFonts w:ascii="Calibri" w:hAnsi="Calibri"/>
                <w:b w:val="0"/>
                <w:i w:val="0"/>
                <w:color w:val="1A1A19"/>
                <w:sz w:val="18"/>
              </w:rPr>
              <w:t>Units per 40ft container</w:t>
            </w:r>
          </w:p>
        </w:tc>
        <w:tc>
          <w:tcPr>
            <w:tcW w:type="dxa" w:w="1584"/>
            <w:tcMar>
              <w:top w:w="60" w:type="dxa"/>
              <w:bottom w:w="60" w:type="dxa"/>
              <w:start w:w="110" w:type="dxa"/>
              <w:end w:w="110" w:type="dxa"/>
            </w:tcMar>
          </w:tcPr>
          <w:p>
            <w:pPr>
              <w:spacing w:after="0"/>
              <w:jc w:val="right"/>
            </w:pPr>
            <w:r>
              <w:rPr>
                <w:rFonts w:ascii="Calibri" w:hAnsi="Calibri"/>
                <w:b w:val="0"/>
                <w:i w:val="0"/>
                <w:color w:val="1A1A19"/>
                <w:sz w:val="18"/>
              </w:rPr>
              <w:t>20,488</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69 SKUs (July-2026 packing list)</w:t>
            </w:r>
          </w:p>
        </w:tc>
      </w:tr>
      <w:tr>
        <w:tc>
          <w:tcPr>
            <w:tcW w:type="dxa" w:w="3744"/>
            <w:tcMar>
              <w:top w:w="60" w:type="dxa"/>
              <w:bottom w:w="60" w:type="dxa"/>
              <w:start w:w="110" w:type="dxa"/>
              <w:end w:w="110" w:type="dxa"/>
            </w:tcMar>
            <w:shd w:val="clear" w:color="auto" w:fill="F5F7F9"/>
          </w:tcPr>
          <w:p>
            <w:pPr>
              <w:spacing w:after="0"/>
            </w:pPr>
            <w:r>
              <w:rPr>
                <w:rFonts w:ascii="Calibri" w:hAnsi="Calibri"/>
                <w:b w:val="0"/>
                <w:i w:val="0"/>
                <w:color w:val="1A1A19"/>
                <w:sz w:val="18"/>
              </w:rPr>
              <w:t>Landed cost per container</w:t>
            </w:r>
          </w:p>
        </w:tc>
        <w:tc>
          <w:tcPr>
            <w:tcW w:type="dxa" w:w="1584"/>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43,339</w:t>
            </w:r>
          </w:p>
        </w:tc>
        <w:tc>
          <w:tcPr>
            <w:tcW w:type="dxa" w:w="4608"/>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group supply terms, incl. USD 2,500 freight</w:t>
            </w:r>
          </w:p>
        </w:tc>
      </w:tr>
      <w:tr>
        <w:tc>
          <w:tcPr>
            <w:tcW w:type="dxa" w:w="3744"/>
            <w:tcMar>
              <w:top w:w="60" w:type="dxa"/>
              <w:bottom w:w="60" w:type="dxa"/>
              <w:start w:w="110" w:type="dxa"/>
              <w:end w:w="110" w:type="dxa"/>
            </w:tcMar>
          </w:tcPr>
          <w:p>
            <w:pPr>
              <w:spacing w:after="0"/>
            </w:pPr>
            <w:r>
              <w:rPr>
                <w:rFonts w:ascii="Calibri" w:hAnsi="Calibri"/>
                <w:b w:val="0"/>
                <w:i w:val="0"/>
                <w:color w:val="1A1A19"/>
                <w:sz w:val="18"/>
              </w:rPr>
              <w:t>Egypt revenue per container</w:t>
            </w:r>
          </w:p>
        </w:tc>
        <w:tc>
          <w:tcPr>
            <w:tcW w:type="dxa" w:w="1584"/>
            <w:tcMar>
              <w:top w:w="60" w:type="dxa"/>
              <w:bottom w:w="60" w:type="dxa"/>
              <w:start w:w="110" w:type="dxa"/>
              <w:end w:w="110" w:type="dxa"/>
            </w:tcMar>
          </w:tcPr>
          <w:p>
            <w:pPr>
              <w:spacing w:after="0"/>
              <w:jc w:val="right"/>
            </w:pPr>
            <w:r>
              <w:rPr>
                <w:rFonts w:ascii="Calibri" w:hAnsi="Calibri"/>
                <w:b w:val="0"/>
                <w:i w:val="0"/>
                <w:color w:val="1A1A19"/>
                <w:sz w:val="18"/>
              </w:rPr>
              <w:t>57,688</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t>50% retail / 50% wholesale — 24.9% margin</w:t>
            </w:r>
          </w:p>
        </w:tc>
      </w:tr>
      <w:tr>
        <w:tc>
          <w:tcPr>
            <w:tcW w:type="dxa" w:w="3744"/>
            <w:tcMar>
              <w:top w:w="60" w:type="dxa"/>
              <w:bottom w:w="60" w:type="dxa"/>
              <w:start w:w="110" w:type="dxa"/>
              <w:end w:w="110" w:type="dxa"/>
            </w:tcMar>
            <w:shd w:val="clear" w:color="auto" w:fill="F5F7F9"/>
          </w:tcPr>
          <w:p>
            <w:pPr>
              <w:spacing w:after="0"/>
            </w:pPr>
            <w:r>
              <w:rPr>
                <w:rFonts w:ascii="Calibri" w:hAnsi="Calibri"/>
                <w:b w:val="0"/>
                <w:i w:val="0"/>
                <w:color w:val="1A1A19"/>
                <w:sz w:val="18"/>
              </w:rPr>
              <w:t>Export revenue per container</w:t>
            </w:r>
          </w:p>
        </w:tc>
        <w:tc>
          <w:tcPr>
            <w:tcW w:type="dxa" w:w="1584"/>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52,444</w:t>
            </w:r>
          </w:p>
        </w:tc>
        <w:tc>
          <w:tcPr>
            <w:tcW w:type="dxa" w:w="4608"/>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wholesale (Sudan/Nigeria) — 17.4% margin</w:t>
            </w:r>
          </w:p>
        </w:tc>
      </w:tr>
      <w:tr>
        <w:tc>
          <w:tcPr>
            <w:tcW w:type="dxa" w:w="3744"/>
            <w:tcMar>
              <w:top w:w="60" w:type="dxa"/>
              <w:bottom w:w="60" w:type="dxa"/>
              <w:start w:w="110" w:type="dxa"/>
              <w:end w:w="110" w:type="dxa"/>
            </w:tcMar>
          </w:tcPr>
          <w:p>
            <w:pPr>
              <w:spacing w:after="0"/>
            </w:pPr>
            <w:r>
              <w:rPr>
                <w:rFonts w:ascii="Calibri" w:hAnsi="Calibri"/>
                <w:b w:val="0"/>
                <w:i w:val="0"/>
                <w:color w:val="1A1A19"/>
                <w:sz w:val="18"/>
              </w:rPr>
              <w:t>Egypt gross profit per container</w:t>
            </w:r>
          </w:p>
        </w:tc>
        <w:tc>
          <w:tcPr>
            <w:tcW w:type="dxa" w:w="1584"/>
            <w:tcMar>
              <w:top w:w="60" w:type="dxa"/>
              <w:bottom w:w="60" w:type="dxa"/>
              <w:start w:w="110" w:type="dxa"/>
              <w:end w:w="110" w:type="dxa"/>
            </w:tcMar>
          </w:tcPr>
          <w:p>
            <w:pPr>
              <w:spacing w:after="0"/>
              <w:jc w:val="right"/>
            </w:pPr>
            <w:r>
              <w:rPr>
                <w:rFonts w:ascii="Calibri" w:hAnsi="Calibri"/>
                <w:b w:val="0"/>
                <w:i w:val="0"/>
                <w:color w:val="1A1A19"/>
                <w:sz w:val="18"/>
              </w:rPr>
              <w:t>14,349</w:t>
            </w:r>
          </w:p>
        </w:tc>
        <w:tc>
          <w:tcPr>
            <w:tcW w:type="dxa" w:w="4608"/>
            <w:tcMar>
              <w:top w:w="60" w:type="dxa"/>
              <w:bottom w:w="60" w:type="dxa"/>
              <w:start w:w="110" w:type="dxa"/>
              <w:end w:w="110" w:type="dxa"/>
            </w:tcMar>
          </w:tcPr>
          <w:p>
            <w:pPr>
              <w:spacing w:after="0"/>
              <w:jc w:val="right"/>
            </w:pPr>
            <w:r>
              <w:rPr>
                <w:rFonts w:ascii="Calibri" w:hAnsi="Calibri"/>
                <w:b w:val="0"/>
                <w:i w:val="0"/>
                <w:color w:val="1A1A19"/>
                <w:sz w:val="18"/>
              </w:rPr>
            </w:r>
          </w:p>
        </w:tc>
      </w:tr>
      <w:tr>
        <w:tc>
          <w:tcPr>
            <w:tcW w:type="dxa" w:w="3744"/>
            <w:tcMar>
              <w:top w:w="60" w:type="dxa"/>
              <w:bottom w:w="60" w:type="dxa"/>
              <w:start w:w="110" w:type="dxa"/>
              <w:end w:w="110" w:type="dxa"/>
            </w:tcMar>
            <w:shd w:val="clear" w:color="auto" w:fill="F5F7F9"/>
          </w:tcPr>
          <w:p>
            <w:pPr>
              <w:spacing w:after="0"/>
            </w:pPr>
            <w:r>
              <w:rPr>
                <w:rFonts w:ascii="Calibri" w:hAnsi="Calibri"/>
                <w:b w:val="0"/>
                <w:i w:val="0"/>
                <w:color w:val="1A1A19"/>
                <w:sz w:val="18"/>
              </w:rPr>
              <w:t>Export gross profit per container</w:t>
            </w:r>
          </w:p>
        </w:tc>
        <w:tc>
          <w:tcPr>
            <w:tcW w:type="dxa" w:w="1584"/>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9,105</w:t>
            </w:r>
          </w:p>
        </w:tc>
        <w:tc>
          <w:tcPr>
            <w:tcW w:type="dxa" w:w="4608"/>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r>
          </w:p>
        </w:tc>
      </w:tr>
    </w:tbl>
    <w:p>
      <w:pPr>
        <w:spacing w:after="40"/>
      </w:pPr>
    </w:p>
    <w:p>
      <w:pPr>
        <w:spacing w:after="120" w:before="0"/>
      </w:pPr>
      <w:r>
        <w:rPr>
          <w:rFonts w:ascii="Calibri" w:hAnsi="Calibri"/>
          <w:b w:val="0"/>
          <w:i w:val="0"/>
          <w:color w:val="1A1A19"/>
          <w:sz w:val="21"/>
        </w:rPr>
        <w:t>Strategically, Al Reem gives NORCO cash velocity (20,000+ units turn in weeks, not months), cycle-resistant demand, and a second reason to call on every retailer that also buys batteries — at almost no incremental overhead, since it shares the warehouse, showrooms, logistics and sales team.</w:t>
      </w:r>
    </w:p>
    <w:p>
      <w:r>
        <w:br w:type="page"/>
      </w:r>
    </w:p>
    <w:p>
      <w:pPr>
        <w:keepNext/>
        <w:spacing w:before="320" w:after="160"/>
        <w:pBdr>
          <w:bottom w:val="single" w:sz="6" w:space="4" w:color="0F2942"/>
        </w:pBdr>
      </w:pPr>
      <w:r>
        <w:rPr>
          <w:rFonts w:ascii="Calibri" w:hAnsi="Calibri"/>
          <w:b/>
          <w:i w:val="0"/>
          <w:color w:val="C8892A"/>
          <w:sz w:val="30"/>
        </w:rPr>
        <w:t xml:space="preserve">4   </w:t>
      </w:r>
      <w:r>
        <w:rPr>
          <w:rFonts w:ascii="Calibri" w:hAnsi="Calibri"/>
          <w:b/>
          <w:i w:val="0"/>
          <w:color w:val="0F2942"/>
          <w:sz w:val="30"/>
        </w:rPr>
        <w:t>Market Analysis &amp; Competitive Pricing Study</w:t>
      </w:r>
    </w:p>
    <w:p>
      <w:pPr>
        <w:keepNext/>
        <w:spacing w:before="220" w:after="80"/>
      </w:pPr>
      <w:r>
        <w:rPr>
          <w:rFonts w:ascii="Calibri" w:hAnsi="Calibri"/>
          <w:b/>
          <w:i w:val="0"/>
          <w:color w:val="0F6E6A"/>
          <w:sz w:val="24"/>
        </w:rPr>
        <w:t>4.1  Egypt energy storage — the demand driver</w:t>
      </w:r>
    </w:p>
    <w:p>
      <w:pPr>
        <w:spacing w:after="120" w:before="0"/>
      </w:pPr>
      <w:r>
        <w:rPr>
          <w:rFonts w:ascii="Calibri" w:hAnsi="Calibri"/>
          <w:b w:val="0"/>
          <w:i w:val="0"/>
          <w:color w:val="1A1A19"/>
          <w:sz w:val="21"/>
        </w:rPr>
        <w:t>Egypt's grid has run structural summer deficits since 2023; load-shedding, diesel-price escalation and net-metering under Law 87/2015 have made battery storage a mainstream purchase for villas, clinics, telecom towers and light industry. The addressable segments NORCO serves — residential hybrid systems, telecom DC power and C&amp;I backup — are precisely where lithium replaces lead-acid and diesel.</w:t>
      </w:r>
    </w:p>
    <w:p>
      <w:pPr>
        <w:keepNext/>
        <w:spacing w:before="220" w:after="80"/>
      </w:pPr>
      <w:r>
        <w:rPr>
          <w:rFonts w:ascii="Calibri" w:hAnsi="Calibri"/>
          <w:b/>
          <w:i w:val="0"/>
          <w:color w:val="0F6E6A"/>
          <w:sz w:val="24"/>
        </w:rPr>
        <w:t>4.2  Battery price benchmarking — where Vestwoods wins</w:t>
      </w:r>
    </w:p>
    <w:p>
      <w:pPr>
        <w:spacing w:after="120" w:before="0"/>
      </w:pPr>
      <w:r>
        <w:rPr>
          <w:rFonts w:ascii="Calibri" w:hAnsi="Calibri"/>
          <w:b w:val="0"/>
          <w:i w:val="0"/>
          <w:color w:val="1A1A19"/>
          <w:sz w:val="21"/>
        </w:rPr>
        <w:t>NORCO's June-2026 market survey of Cairo retail prices for 5 kWh-class lithium batteries (installed base brands, incl. VAT, at EGP 53/USD):</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1800"/>
            <w:shd w:val="clear" w:color="auto" w:fill="0F2942"/>
            <w:tcMar>
              <w:top w:w="60" w:type="dxa"/>
              <w:bottom w:w="60" w:type="dxa"/>
              <w:start w:w="110" w:type="dxa"/>
              <w:end w:w="110" w:type="dxa"/>
            </w:tcMar>
          </w:tcPr>
          <w:p>
            <w:pPr>
              <w:spacing w:after="0"/>
            </w:pPr>
            <w:r>
              <w:rPr>
                <w:rFonts w:ascii="Calibri" w:hAnsi="Calibri"/>
                <w:b/>
                <w:i w:val="0"/>
                <w:color w:val="FFFFFF"/>
                <w:sz w:val="16"/>
              </w:rPr>
              <w:t>Brand</w:t>
            </w:r>
          </w:p>
        </w:tc>
        <w:tc>
          <w:tcPr>
            <w:tcW w:type="dxa" w:w="1944"/>
            <w:shd w:val="clear" w:color="auto" w:fill="0F2942"/>
            <w:tcMar>
              <w:top w:w="60" w:type="dxa"/>
              <w:bottom w:w="60" w:type="dxa"/>
              <w:start w:w="110" w:type="dxa"/>
              <w:end w:w="110" w:type="dxa"/>
            </w:tcMar>
          </w:tcPr>
          <w:p>
            <w:pPr>
              <w:spacing w:after="0"/>
            </w:pPr>
            <w:r>
              <w:rPr>
                <w:rFonts w:ascii="Calibri" w:hAnsi="Calibri"/>
                <w:b/>
                <w:i w:val="0"/>
                <w:color w:val="FFFFFF"/>
                <w:sz w:val="16"/>
              </w:rPr>
              <w:t>Model (5 kWh class)</w:t>
            </w:r>
          </w:p>
        </w:tc>
        <w:tc>
          <w:tcPr>
            <w:tcW w:type="dxa" w:w="1152"/>
            <w:shd w:val="clear" w:color="auto" w:fill="0F2942"/>
            <w:tcMar>
              <w:top w:w="60" w:type="dxa"/>
              <w:bottom w:w="60" w:type="dxa"/>
              <w:start w:w="110" w:type="dxa"/>
              <w:end w:w="110" w:type="dxa"/>
            </w:tcMar>
          </w:tcPr>
          <w:p>
            <w:pPr>
              <w:spacing w:after="0"/>
              <w:jc w:val="right"/>
            </w:pPr>
            <w:r>
              <w:rPr>
                <w:rFonts w:ascii="Calibri" w:hAnsi="Calibri"/>
                <w:b/>
                <w:i w:val="0"/>
                <w:color w:val="FFFFFF"/>
                <w:sz w:val="16"/>
              </w:rPr>
              <w:t>Retail USD</w:t>
            </w:r>
          </w:p>
        </w:tc>
        <w:tc>
          <w:tcPr>
            <w:tcW w:type="dxa" w:w="1008"/>
            <w:shd w:val="clear" w:color="auto" w:fill="0F2942"/>
            <w:tcMar>
              <w:top w:w="60" w:type="dxa"/>
              <w:bottom w:w="60" w:type="dxa"/>
              <w:start w:w="110" w:type="dxa"/>
              <w:end w:w="110" w:type="dxa"/>
            </w:tcMar>
          </w:tcPr>
          <w:p>
            <w:pPr>
              <w:spacing w:after="0"/>
              <w:jc w:val="right"/>
            </w:pPr>
            <w:r>
              <w:rPr>
                <w:rFonts w:ascii="Calibri" w:hAnsi="Calibri"/>
                <w:b/>
                <w:i w:val="0"/>
                <w:color w:val="FFFFFF"/>
                <w:sz w:val="16"/>
              </w:rPr>
              <w:t>USD/kWh</w:t>
            </w:r>
          </w:p>
        </w:tc>
        <w:tc>
          <w:tcPr>
            <w:tcW w:type="dxa" w:w="2304"/>
            <w:shd w:val="clear" w:color="auto" w:fill="0F2942"/>
            <w:tcMar>
              <w:top w:w="60" w:type="dxa"/>
              <w:bottom w:w="60" w:type="dxa"/>
              <w:start w:w="110" w:type="dxa"/>
              <w:end w:w="110" w:type="dxa"/>
            </w:tcMar>
          </w:tcPr>
          <w:p>
            <w:pPr>
              <w:spacing w:after="0"/>
              <w:jc w:val="right"/>
            </w:pPr>
            <w:r>
              <w:rPr>
                <w:rFonts w:ascii="Calibri" w:hAnsi="Calibri"/>
                <w:b/>
                <w:i w:val="0"/>
                <w:color w:val="FFFFFF"/>
                <w:sz w:val="16"/>
              </w:rPr>
              <w:t>Warranty &amp; service</w:t>
            </w:r>
          </w:p>
        </w:tc>
        <w:tc>
          <w:tcPr>
            <w:tcW w:type="dxa" w:w="2016"/>
            <w:shd w:val="clear" w:color="auto" w:fill="0F2942"/>
            <w:tcMar>
              <w:top w:w="60" w:type="dxa"/>
              <w:bottom w:w="60" w:type="dxa"/>
              <w:start w:w="110" w:type="dxa"/>
              <w:end w:w="110" w:type="dxa"/>
            </w:tcMar>
          </w:tcPr>
          <w:p>
            <w:pPr>
              <w:spacing w:after="0"/>
              <w:jc w:val="right"/>
            </w:pPr>
            <w:r>
              <w:rPr>
                <w:rFonts w:ascii="Calibri" w:hAnsi="Calibri"/>
                <w:b/>
                <w:i w:val="0"/>
                <w:color w:val="FFFFFF"/>
                <w:sz w:val="16"/>
              </w:rPr>
              <w:t>Position</w:t>
            </w:r>
          </w:p>
        </w:tc>
      </w:tr>
      <w:tr>
        <w:tc>
          <w:tcPr>
            <w:tcW w:type="dxa" w:w="1800"/>
            <w:tcMar>
              <w:top w:w="60" w:type="dxa"/>
              <w:bottom w:w="60" w:type="dxa"/>
              <w:start w:w="110" w:type="dxa"/>
              <w:end w:w="110" w:type="dxa"/>
            </w:tcMar>
          </w:tcPr>
          <w:p>
            <w:pPr>
              <w:spacing w:after="0"/>
            </w:pPr>
            <w:r>
              <w:rPr>
                <w:rFonts w:ascii="Calibri" w:hAnsi="Calibri"/>
                <w:b w:val="0"/>
                <w:i w:val="0"/>
                <w:color w:val="1A1A19"/>
                <w:sz w:val="16"/>
              </w:rPr>
              <w:t>Vestwoods (NORCO)</w:t>
            </w:r>
          </w:p>
        </w:tc>
        <w:tc>
          <w:tcPr>
            <w:tcW w:type="dxa" w:w="1944"/>
            <w:tcMar>
              <w:top w:w="60" w:type="dxa"/>
              <w:bottom w:w="60" w:type="dxa"/>
              <w:start w:w="110" w:type="dxa"/>
              <w:end w:w="110" w:type="dxa"/>
            </w:tcMar>
          </w:tcPr>
          <w:p>
            <w:pPr>
              <w:spacing w:after="0"/>
            </w:pPr>
            <w:r>
              <w:rPr>
                <w:rFonts w:ascii="Calibri" w:hAnsi="Calibri"/>
                <w:b w:val="0"/>
                <w:i w:val="0"/>
                <w:color w:val="1A1A19"/>
                <w:sz w:val="16"/>
              </w:rPr>
              <w:t>VE51100L 5.12 kWh</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6"/>
              </w:rPr>
              <w:t>1,364</w:t>
            </w:r>
          </w:p>
        </w:tc>
        <w:tc>
          <w:tcPr>
            <w:tcW w:type="dxa" w:w="1008"/>
            <w:tcMar>
              <w:top w:w="60" w:type="dxa"/>
              <w:bottom w:w="60" w:type="dxa"/>
              <w:start w:w="110" w:type="dxa"/>
              <w:end w:w="110" w:type="dxa"/>
            </w:tcMar>
          </w:tcPr>
          <w:p>
            <w:pPr>
              <w:spacing w:after="0"/>
              <w:jc w:val="right"/>
            </w:pPr>
            <w:r>
              <w:rPr>
                <w:rFonts w:ascii="Calibri" w:hAnsi="Calibri"/>
                <w:b w:val="0"/>
                <w:i w:val="0"/>
                <w:color w:val="1A1A19"/>
                <w:sz w:val="16"/>
              </w:rPr>
              <w:t>266</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6"/>
              </w:rPr>
              <w:t>5 years + Cairo service bench</w:t>
            </w:r>
          </w:p>
        </w:tc>
        <w:tc>
          <w:tcPr>
            <w:tcW w:type="dxa" w:w="2016"/>
            <w:tcMar>
              <w:top w:w="60" w:type="dxa"/>
              <w:bottom w:w="60" w:type="dxa"/>
              <w:start w:w="110" w:type="dxa"/>
              <w:end w:w="110" w:type="dxa"/>
            </w:tcMar>
          </w:tcPr>
          <w:p>
            <w:pPr>
              <w:spacing w:after="0"/>
              <w:jc w:val="right"/>
            </w:pPr>
            <w:r>
              <w:rPr>
                <w:rFonts w:ascii="Calibri" w:hAnsi="Calibri"/>
                <w:b w:val="0"/>
                <w:i w:val="0"/>
                <w:color w:val="1A1A19"/>
                <w:sz w:val="16"/>
              </w:rPr>
              <w:t>Haier-backed challenger</w:t>
            </w:r>
          </w:p>
        </w:tc>
      </w:tr>
      <w:tr>
        <w:tc>
          <w:tcPr>
            <w:tcW w:type="dxa" w:w="1800"/>
            <w:tcMar>
              <w:top w:w="60" w:type="dxa"/>
              <w:bottom w:w="60" w:type="dxa"/>
              <w:start w:w="110" w:type="dxa"/>
              <w:end w:w="110" w:type="dxa"/>
            </w:tcMar>
            <w:shd w:val="clear" w:color="auto" w:fill="F5F7F9"/>
          </w:tcPr>
          <w:p>
            <w:pPr>
              <w:spacing w:after="0"/>
            </w:pPr>
            <w:r>
              <w:rPr>
                <w:rFonts w:ascii="Calibri" w:hAnsi="Calibri"/>
                <w:b w:val="0"/>
                <w:i w:val="0"/>
                <w:color w:val="1A1A19"/>
                <w:sz w:val="16"/>
              </w:rPr>
              <w:t>Pylontech</w:t>
            </w:r>
          </w:p>
        </w:tc>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6"/>
              </w:rPr>
              <w:t>US5000 4.8 kWh</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1,850</w:t>
            </w:r>
          </w:p>
        </w:tc>
        <w:tc>
          <w:tcPr>
            <w:tcW w:type="dxa" w:w="1008"/>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385</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7 years</w:t>
            </w:r>
          </w:p>
        </w:tc>
        <w:tc>
          <w:tcPr>
            <w:tcW w:type="dxa" w:w="2016"/>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Premium tier-1</w:t>
            </w:r>
          </w:p>
        </w:tc>
      </w:tr>
      <w:tr>
        <w:tc>
          <w:tcPr>
            <w:tcW w:type="dxa" w:w="1800"/>
            <w:tcMar>
              <w:top w:w="60" w:type="dxa"/>
              <w:bottom w:w="60" w:type="dxa"/>
              <w:start w:w="110" w:type="dxa"/>
              <w:end w:w="110" w:type="dxa"/>
            </w:tcMar>
          </w:tcPr>
          <w:p>
            <w:pPr>
              <w:spacing w:after="0"/>
            </w:pPr>
            <w:r>
              <w:rPr>
                <w:rFonts w:ascii="Calibri" w:hAnsi="Calibri"/>
                <w:b w:val="0"/>
                <w:i w:val="0"/>
                <w:color w:val="1A1A19"/>
                <w:sz w:val="16"/>
              </w:rPr>
              <w:t>Huawei</w:t>
            </w:r>
          </w:p>
        </w:tc>
        <w:tc>
          <w:tcPr>
            <w:tcW w:type="dxa" w:w="1944"/>
            <w:tcMar>
              <w:top w:w="60" w:type="dxa"/>
              <w:bottom w:w="60" w:type="dxa"/>
              <w:start w:w="110" w:type="dxa"/>
              <w:end w:w="110" w:type="dxa"/>
            </w:tcMar>
          </w:tcPr>
          <w:p>
            <w:pPr>
              <w:spacing w:after="0"/>
            </w:pPr>
            <w:r>
              <w:rPr>
                <w:rFonts w:ascii="Calibri" w:hAnsi="Calibri"/>
                <w:b w:val="0"/>
                <w:i w:val="0"/>
                <w:color w:val="1A1A19"/>
                <w:sz w:val="16"/>
              </w:rPr>
              <w:t>LUNA2000-5 5 kWh</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6"/>
              </w:rPr>
              <w:t>2,300</w:t>
            </w:r>
          </w:p>
        </w:tc>
        <w:tc>
          <w:tcPr>
            <w:tcW w:type="dxa" w:w="1008"/>
            <w:tcMar>
              <w:top w:w="60" w:type="dxa"/>
              <w:bottom w:w="60" w:type="dxa"/>
              <w:start w:w="110" w:type="dxa"/>
              <w:end w:w="110" w:type="dxa"/>
            </w:tcMar>
          </w:tcPr>
          <w:p>
            <w:pPr>
              <w:spacing w:after="0"/>
              <w:jc w:val="right"/>
            </w:pPr>
            <w:r>
              <w:rPr>
                <w:rFonts w:ascii="Calibri" w:hAnsi="Calibri"/>
                <w:b w:val="0"/>
                <w:i w:val="0"/>
                <w:color w:val="1A1A19"/>
                <w:sz w:val="16"/>
              </w:rPr>
              <w:t>460</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6"/>
              </w:rPr>
              <w:t>10 years (bundled)</w:t>
            </w:r>
          </w:p>
        </w:tc>
        <w:tc>
          <w:tcPr>
            <w:tcW w:type="dxa" w:w="2016"/>
            <w:tcMar>
              <w:top w:w="60" w:type="dxa"/>
              <w:bottom w:w="60" w:type="dxa"/>
              <w:start w:w="110" w:type="dxa"/>
              <w:end w:w="110" w:type="dxa"/>
            </w:tcMar>
          </w:tcPr>
          <w:p>
            <w:pPr>
              <w:spacing w:after="0"/>
              <w:jc w:val="right"/>
            </w:pPr>
            <w:r>
              <w:rPr>
                <w:rFonts w:ascii="Calibri" w:hAnsi="Calibri"/>
                <w:b w:val="0"/>
                <w:i w:val="0"/>
                <w:color w:val="1A1A19"/>
                <w:sz w:val="16"/>
              </w:rPr>
              <w:t>Premium tier-1</w:t>
            </w:r>
          </w:p>
        </w:tc>
      </w:tr>
      <w:tr>
        <w:tc>
          <w:tcPr>
            <w:tcW w:type="dxa" w:w="1800"/>
            <w:tcMar>
              <w:top w:w="60" w:type="dxa"/>
              <w:bottom w:w="60" w:type="dxa"/>
              <w:start w:w="110" w:type="dxa"/>
              <w:end w:w="110" w:type="dxa"/>
            </w:tcMar>
            <w:shd w:val="clear" w:color="auto" w:fill="F5F7F9"/>
          </w:tcPr>
          <w:p>
            <w:pPr>
              <w:spacing w:after="0"/>
            </w:pPr>
            <w:r>
              <w:rPr>
                <w:rFonts w:ascii="Calibri" w:hAnsi="Calibri"/>
                <w:b w:val="0"/>
                <w:i w:val="0"/>
                <w:color w:val="1A1A19"/>
                <w:sz w:val="16"/>
              </w:rPr>
              <w:t>Deye</w:t>
            </w:r>
          </w:p>
        </w:tc>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6"/>
              </w:rPr>
              <w:t>SE-G5.1 5.12 kWh</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1,550</w:t>
            </w:r>
          </w:p>
        </w:tc>
        <w:tc>
          <w:tcPr>
            <w:tcW w:type="dxa" w:w="1008"/>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303</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5 years</w:t>
            </w:r>
          </w:p>
        </w:tc>
        <w:tc>
          <w:tcPr>
            <w:tcW w:type="dxa" w:w="2016"/>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Mid-tier</w:t>
            </w:r>
          </w:p>
        </w:tc>
      </w:tr>
      <w:tr>
        <w:tc>
          <w:tcPr>
            <w:tcW w:type="dxa" w:w="1800"/>
            <w:tcMar>
              <w:top w:w="60" w:type="dxa"/>
              <w:bottom w:w="60" w:type="dxa"/>
              <w:start w:w="110" w:type="dxa"/>
              <w:end w:w="110" w:type="dxa"/>
            </w:tcMar>
          </w:tcPr>
          <w:p>
            <w:pPr>
              <w:spacing w:after="0"/>
            </w:pPr>
            <w:r>
              <w:rPr>
                <w:rFonts w:ascii="Calibri" w:hAnsi="Calibri"/>
                <w:b w:val="0"/>
                <w:i w:val="0"/>
                <w:color w:val="1A1A19"/>
                <w:sz w:val="16"/>
              </w:rPr>
              <w:t>Growatt</w:t>
            </w:r>
          </w:p>
        </w:tc>
        <w:tc>
          <w:tcPr>
            <w:tcW w:type="dxa" w:w="1944"/>
            <w:tcMar>
              <w:top w:w="60" w:type="dxa"/>
              <w:bottom w:w="60" w:type="dxa"/>
              <w:start w:w="110" w:type="dxa"/>
              <w:end w:w="110" w:type="dxa"/>
            </w:tcMar>
          </w:tcPr>
          <w:p>
            <w:pPr>
              <w:spacing w:after="0"/>
            </w:pPr>
            <w:r>
              <w:rPr>
                <w:rFonts w:ascii="Calibri" w:hAnsi="Calibri"/>
                <w:b w:val="0"/>
                <w:i w:val="0"/>
                <w:color w:val="1A1A19"/>
                <w:sz w:val="16"/>
              </w:rPr>
              <w:t>ARK 5.12 kWh</w:t>
            </w:r>
          </w:p>
        </w:tc>
        <w:tc>
          <w:tcPr>
            <w:tcW w:type="dxa" w:w="1152"/>
            <w:tcMar>
              <w:top w:w="60" w:type="dxa"/>
              <w:bottom w:w="60" w:type="dxa"/>
              <w:start w:w="110" w:type="dxa"/>
              <w:end w:w="110" w:type="dxa"/>
            </w:tcMar>
          </w:tcPr>
          <w:p>
            <w:pPr>
              <w:spacing w:after="0"/>
              <w:jc w:val="right"/>
            </w:pPr>
            <w:r>
              <w:rPr>
                <w:rFonts w:ascii="Calibri" w:hAnsi="Calibri"/>
                <w:b w:val="0"/>
                <w:i w:val="0"/>
                <w:color w:val="1A1A19"/>
                <w:sz w:val="16"/>
              </w:rPr>
              <w:t>1,600</w:t>
            </w:r>
          </w:p>
        </w:tc>
        <w:tc>
          <w:tcPr>
            <w:tcW w:type="dxa" w:w="1008"/>
            <w:tcMar>
              <w:top w:w="60" w:type="dxa"/>
              <w:bottom w:w="60" w:type="dxa"/>
              <w:start w:w="110" w:type="dxa"/>
              <w:end w:w="110" w:type="dxa"/>
            </w:tcMar>
          </w:tcPr>
          <w:p>
            <w:pPr>
              <w:spacing w:after="0"/>
              <w:jc w:val="right"/>
            </w:pPr>
            <w:r>
              <w:rPr>
                <w:rFonts w:ascii="Calibri" w:hAnsi="Calibri"/>
                <w:b w:val="0"/>
                <w:i w:val="0"/>
                <w:color w:val="1A1A19"/>
                <w:sz w:val="16"/>
              </w:rPr>
              <w:t>312</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6"/>
              </w:rPr>
              <w:t>5 years</w:t>
            </w:r>
          </w:p>
        </w:tc>
        <w:tc>
          <w:tcPr>
            <w:tcW w:type="dxa" w:w="2016"/>
            <w:tcMar>
              <w:top w:w="60" w:type="dxa"/>
              <w:bottom w:w="60" w:type="dxa"/>
              <w:start w:w="110" w:type="dxa"/>
              <w:end w:w="110" w:type="dxa"/>
            </w:tcMar>
          </w:tcPr>
          <w:p>
            <w:pPr>
              <w:spacing w:after="0"/>
              <w:jc w:val="right"/>
            </w:pPr>
            <w:r>
              <w:rPr>
                <w:rFonts w:ascii="Calibri" w:hAnsi="Calibri"/>
                <w:b w:val="0"/>
                <w:i w:val="0"/>
                <w:color w:val="1A1A19"/>
                <w:sz w:val="16"/>
              </w:rPr>
              <w:t>Mid-tier</w:t>
            </w:r>
          </w:p>
        </w:tc>
      </w:tr>
      <w:tr>
        <w:tc>
          <w:tcPr>
            <w:tcW w:type="dxa" w:w="1800"/>
            <w:tcMar>
              <w:top w:w="60" w:type="dxa"/>
              <w:bottom w:w="60" w:type="dxa"/>
              <w:start w:w="110" w:type="dxa"/>
              <w:end w:w="110" w:type="dxa"/>
            </w:tcMar>
            <w:shd w:val="clear" w:color="auto" w:fill="F5F7F9"/>
          </w:tcPr>
          <w:p>
            <w:pPr>
              <w:spacing w:after="0"/>
            </w:pPr>
            <w:r>
              <w:rPr>
                <w:rFonts w:ascii="Calibri" w:hAnsi="Calibri"/>
                <w:b w:val="0"/>
                <w:i w:val="0"/>
                <w:color w:val="1A1A19"/>
                <w:sz w:val="16"/>
              </w:rPr>
              <w:t>Grey-market imports</w:t>
            </w:r>
          </w:p>
        </w:tc>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6"/>
              </w:rPr>
              <w:t>unbranded 5.12 kWh</w:t>
            </w:r>
          </w:p>
        </w:tc>
        <w:tc>
          <w:tcPr>
            <w:tcW w:type="dxa" w:w="1152"/>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1,150</w:t>
            </w:r>
          </w:p>
        </w:tc>
        <w:tc>
          <w:tcPr>
            <w:tcW w:type="dxa" w:w="1008"/>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225</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None / seller-only</w:t>
            </w:r>
          </w:p>
        </w:tc>
        <w:tc>
          <w:tcPr>
            <w:tcW w:type="dxa" w:w="2016"/>
            <w:tcMar>
              <w:top w:w="60" w:type="dxa"/>
              <w:bottom w:w="60" w:type="dxa"/>
              <w:start w:w="110" w:type="dxa"/>
              <w:end w:w="110" w:type="dxa"/>
            </w:tcMar>
            <w:shd w:val="clear" w:color="auto" w:fill="F5F7F9"/>
          </w:tcPr>
          <w:p>
            <w:pPr>
              <w:spacing w:after="0"/>
              <w:jc w:val="right"/>
            </w:pPr>
            <w:r>
              <w:rPr>
                <w:rFonts w:ascii="Calibri" w:hAnsi="Calibri"/>
                <w:b w:val="0"/>
                <w:i w:val="0"/>
                <w:color w:val="1A1A19"/>
                <w:sz w:val="16"/>
              </w:rPr>
              <w:t>No service, no warranty</w:t>
            </w:r>
          </w:p>
        </w:tc>
      </w:tr>
    </w:tbl>
    <w:p>
      <w:pPr>
        <w:spacing w:after="40"/>
      </w:pPr>
    </w:p>
    <w:p>
      <w:pPr>
        <w:jc w:val="center"/>
      </w:pPr>
      <w:r>
        <w:drawing>
          <wp:inline xmlns:a="http://schemas.openxmlformats.org/drawingml/2006/main" xmlns:pic="http://schemas.openxmlformats.org/drawingml/2006/picture">
            <wp:extent cx="5669280" cy="2830840"/>
            <wp:docPr id="2" name="Picture 2"/>
            <wp:cNvGraphicFramePr>
              <a:graphicFrameLocks noChangeAspect="1"/>
            </wp:cNvGraphicFramePr>
            <a:graphic>
              <a:graphicData uri="http://schemas.openxmlformats.org/drawingml/2006/picture">
                <pic:pic>
                  <pic:nvPicPr>
                    <pic:cNvPr id="0" name="battery_prices.png"/>
                    <pic:cNvPicPr/>
                  </pic:nvPicPr>
                  <pic:blipFill>
                    <a:blip r:embed="rId11"/>
                    <a:stretch>
                      <a:fillRect/>
                    </a:stretch>
                  </pic:blipFill>
                  <pic:spPr>
                    <a:xfrm>
                      <a:off x="0" y="0"/>
                      <a:ext cx="5669280" cy="2830840"/>
                    </a:xfrm>
                    <a:prstGeom prst="rect"/>
                  </pic:spPr>
                </pic:pic>
              </a:graphicData>
            </a:graphic>
          </wp:inline>
        </w:drawing>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The pricing wedge — </w:t>
      </w:r>
      <w:r>
        <w:rPr>
          <w:rFonts w:ascii="Calibri" w:hAnsi="Calibri"/>
          <w:b w:val="0"/>
          <w:i w:val="0"/>
          <w:color w:val="1A1A19"/>
          <w:sz w:val="21"/>
        </w:rPr>
        <w:t>Vestwoods retails 15–26% below tier-1 premium brands (Pylontech, Huawei) on a per-kWh basis while carrying Haier manufacturing pedigree and a 5-year warranty backed by NORCO's Cairo service bench.</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Against the grey market — </w:t>
      </w:r>
      <w:r>
        <w:rPr>
          <w:rFonts w:ascii="Calibri" w:hAnsi="Calibri"/>
          <w:b w:val="0"/>
          <w:i w:val="0"/>
          <w:color w:val="1A1A19"/>
          <w:sz w:val="21"/>
        </w:rPr>
        <w:t>unbranded imports undercut everyone by ~15% but carry no warranty, no BMS support and no spare parts. Vestwoods' exclusive agency lets NORCO hold price while winning the warranty-sensitive buyer — installers, telecoms and C&amp;I clients.</w:t>
      </w:r>
    </w:p>
    <w:p>
      <w:pPr>
        <w:spacing w:after="160" w:before="0"/>
      </w:pPr>
      <w:r>
        <w:rPr>
          <w:rFonts w:ascii="Calibri" w:hAnsi="Calibri"/>
          <w:b w:val="0"/>
          <w:i/>
          <w:color w:val="5C5B57"/>
          <w:sz w:val="17"/>
        </w:rPr>
        <w:t>Indicative street prices, NORCO market survey June 2026; tier-1 pricing varies with FX and customs cycles.</w:t>
      </w:r>
    </w:p>
    <w:p>
      <w:pPr>
        <w:keepNext/>
        <w:spacing w:before="220" w:after="80"/>
      </w:pPr>
      <w:r>
        <w:rPr>
          <w:rFonts w:ascii="Calibri" w:hAnsi="Calibri"/>
          <w:b/>
          <w:i w:val="0"/>
          <w:color w:val="0F6E6A"/>
          <w:sz w:val="24"/>
        </w:rPr>
        <w:t>4.3  Egypt houseware — Al Reem vs. the local shelf</w:t>
      </w:r>
    </w:p>
    <w:p>
      <w:pPr>
        <w:spacing w:after="120" w:before="0"/>
      </w:pPr>
      <w:r>
        <w:rPr>
          <w:rFonts w:ascii="Calibri" w:hAnsi="Calibri"/>
          <w:b w:val="0"/>
          <w:i w:val="0"/>
          <w:color w:val="1A1A19"/>
          <w:sz w:val="21"/>
        </w:rPr>
        <w:t>Egypt's houseware market is dominated by capable local producers (El Helal &amp; Silver Star, Winner Plast, Max Plast, Bager) with imported Turkish and Chinese brands at a 25–40% premium on modern-trade shelves (Carrefour, Jumia, Noon). Al Reem enters at local-brand price points with imported-brand finish — and NORCO's 30% supply discount preserves full margin at those prices:</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2412"/>
        <w:gridCol w:w="2412"/>
        <w:gridCol w:w="2412"/>
        <w:gridCol w:w="2412"/>
      </w:tblGrid>
      <w:tr>
        <w:tc>
          <w:tcPr>
            <w:tcW w:type="dxa" w:w="3456"/>
            <w:shd w:val="clear" w:color="auto" w:fill="0F2942"/>
            <w:tcMar>
              <w:top w:w="60" w:type="dxa"/>
              <w:bottom w:w="60" w:type="dxa"/>
              <w:start w:w="110" w:type="dxa"/>
              <w:end w:w="110" w:type="dxa"/>
            </w:tcMar>
          </w:tcPr>
          <w:p>
            <w:pPr>
              <w:spacing w:after="0"/>
            </w:pPr>
            <w:r>
              <w:rPr>
                <w:rFonts w:ascii="Calibri" w:hAnsi="Calibri"/>
                <w:b/>
                <w:i w:val="0"/>
                <w:color w:val="FFFFFF"/>
                <w:sz w:val="17"/>
              </w:rPr>
              <w:t>Category (retail, EGP)</w:t>
            </w:r>
          </w:p>
        </w:tc>
        <w:tc>
          <w:tcPr>
            <w:tcW w:type="dxa" w:w="1296"/>
            <w:shd w:val="clear" w:color="auto" w:fill="0F2942"/>
            <w:tcMar>
              <w:top w:w="60" w:type="dxa"/>
              <w:bottom w:w="60" w:type="dxa"/>
              <w:start w:w="110" w:type="dxa"/>
              <w:end w:w="110" w:type="dxa"/>
            </w:tcMar>
          </w:tcPr>
          <w:p>
            <w:pPr>
              <w:spacing w:after="0"/>
              <w:jc w:val="right"/>
            </w:pPr>
            <w:r>
              <w:rPr>
                <w:rFonts w:ascii="Calibri" w:hAnsi="Calibri"/>
                <w:b/>
                <w:i w:val="0"/>
                <w:color w:val="FFFFFF"/>
                <w:sz w:val="17"/>
              </w:rPr>
              <w:t>Al Reem</w:t>
            </w:r>
          </w:p>
        </w:tc>
        <w:tc>
          <w:tcPr>
            <w:tcW w:type="dxa" w:w="2880"/>
            <w:shd w:val="clear" w:color="auto" w:fill="0F2942"/>
            <w:tcMar>
              <w:top w:w="60" w:type="dxa"/>
              <w:bottom w:w="60" w:type="dxa"/>
              <w:start w:w="110" w:type="dxa"/>
              <w:end w:w="110" w:type="dxa"/>
            </w:tcMar>
          </w:tcPr>
          <w:p>
            <w:pPr>
              <w:spacing w:after="0"/>
              <w:jc w:val="right"/>
            </w:pPr>
            <w:r>
              <w:rPr>
                <w:rFonts w:ascii="Calibri" w:hAnsi="Calibri"/>
                <w:b/>
                <w:i w:val="0"/>
                <w:color w:val="FFFFFF"/>
                <w:sz w:val="17"/>
              </w:rPr>
              <w:t>Local brands</w:t>
            </w:r>
          </w:p>
        </w:tc>
        <w:tc>
          <w:tcPr>
            <w:tcW w:type="dxa" w:w="2304"/>
            <w:shd w:val="clear" w:color="auto" w:fill="0F2942"/>
            <w:tcMar>
              <w:top w:w="60" w:type="dxa"/>
              <w:bottom w:w="60" w:type="dxa"/>
              <w:start w:w="110" w:type="dxa"/>
              <w:end w:w="110" w:type="dxa"/>
            </w:tcMar>
          </w:tcPr>
          <w:p>
            <w:pPr>
              <w:spacing w:after="0"/>
              <w:jc w:val="right"/>
            </w:pPr>
            <w:r>
              <w:rPr>
                <w:rFonts w:ascii="Calibri" w:hAnsi="Calibri"/>
                <w:b/>
                <w:i w:val="0"/>
                <w:color w:val="FFFFFF"/>
                <w:sz w:val="17"/>
              </w:rPr>
              <w:t>Imported brands</w:t>
            </w:r>
          </w:p>
        </w:tc>
      </w:tr>
      <w:tr>
        <w:tc>
          <w:tcPr>
            <w:tcW w:type="dxa" w:w="3456"/>
            <w:tcMar>
              <w:top w:w="60" w:type="dxa"/>
              <w:bottom w:w="60" w:type="dxa"/>
              <w:start w:w="110" w:type="dxa"/>
              <w:end w:w="110" w:type="dxa"/>
            </w:tcMar>
          </w:tcPr>
          <w:p>
            <w:pPr>
              <w:spacing w:after="0"/>
            </w:pPr>
            <w:r>
              <w:rPr>
                <w:rFonts w:ascii="Calibri" w:hAnsi="Calibri"/>
                <w:b w:val="0"/>
                <w:i w:val="0"/>
                <w:color w:val="1A1A19"/>
                <w:sz w:val="17"/>
              </w:rPr>
              <w:t>90L waste bin with cover</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869</w:t>
            </w:r>
          </w:p>
        </w:tc>
        <w:tc>
          <w:tcPr>
            <w:tcW w:type="dxa" w:w="2880"/>
            <w:tcMar>
              <w:top w:w="60" w:type="dxa"/>
              <w:bottom w:w="60" w:type="dxa"/>
              <w:start w:w="110" w:type="dxa"/>
              <w:end w:w="110" w:type="dxa"/>
            </w:tcMar>
          </w:tcPr>
          <w:p>
            <w:pPr>
              <w:spacing w:after="0"/>
              <w:jc w:val="right"/>
            </w:pPr>
            <w:r>
              <w:rPr>
                <w:rFonts w:ascii="Calibri" w:hAnsi="Calibri"/>
                <w:b w:val="0"/>
                <w:i w:val="0"/>
                <w:color w:val="1A1A19"/>
                <w:sz w:val="17"/>
              </w:rPr>
              <w:t>800 – 1,000 (El Helal, Winner Plast)</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7"/>
              </w:rPr>
              <w:t>1,100 – 1,400</w:t>
            </w:r>
          </w:p>
        </w:tc>
      </w:tr>
      <w:tr>
        <w:tc>
          <w:tcPr>
            <w:tcW w:type="dxa" w:w="3456"/>
            <w:tcMar>
              <w:top w:w="60" w:type="dxa"/>
              <w:bottom w:w="60" w:type="dxa"/>
              <w:start w:w="110" w:type="dxa"/>
              <w:end w:w="110" w:type="dxa"/>
            </w:tcMar>
            <w:shd w:val="clear" w:color="auto" w:fill="F5F7F9"/>
          </w:tcPr>
          <w:p>
            <w:pPr>
              <w:spacing w:after="0"/>
            </w:pPr>
            <w:r>
              <w:rPr>
                <w:rFonts w:ascii="Calibri" w:hAnsi="Calibri"/>
                <w:b w:val="0"/>
                <w:i w:val="0"/>
                <w:color w:val="1A1A19"/>
                <w:sz w:val="17"/>
              </w:rPr>
              <w:t>Clothes drier (large)</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1,522</w:t>
            </w:r>
          </w:p>
        </w:tc>
        <w:tc>
          <w:tcPr>
            <w:tcW w:type="dxa" w:w="28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1,400 – 1,900 (El Helal, Max Plast)</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1,900 – 2,600</w:t>
            </w:r>
          </w:p>
        </w:tc>
      </w:tr>
      <w:tr>
        <w:tc>
          <w:tcPr>
            <w:tcW w:type="dxa" w:w="3456"/>
            <w:tcMar>
              <w:top w:w="60" w:type="dxa"/>
              <w:bottom w:w="60" w:type="dxa"/>
              <w:start w:w="110" w:type="dxa"/>
              <w:end w:w="110" w:type="dxa"/>
            </w:tcMar>
          </w:tcPr>
          <w:p>
            <w:pPr>
              <w:spacing w:after="0"/>
            </w:pPr>
            <w:r>
              <w:rPr>
                <w:rFonts w:ascii="Calibri" w:hAnsi="Calibri"/>
                <w:b w:val="0"/>
                <w:i w:val="0"/>
                <w:color w:val="1A1A19"/>
                <w:sz w:val="17"/>
              </w:rPr>
              <w:t>Large laundry basket with lid</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752</w:t>
            </w:r>
          </w:p>
        </w:tc>
        <w:tc>
          <w:tcPr>
            <w:tcW w:type="dxa" w:w="2880"/>
            <w:tcMar>
              <w:top w:w="60" w:type="dxa"/>
              <w:bottom w:w="60" w:type="dxa"/>
              <w:start w:w="110" w:type="dxa"/>
              <w:end w:w="110" w:type="dxa"/>
            </w:tcMar>
          </w:tcPr>
          <w:p>
            <w:pPr>
              <w:spacing w:after="0"/>
              <w:jc w:val="right"/>
            </w:pPr>
            <w:r>
              <w:rPr>
                <w:rFonts w:ascii="Calibri" w:hAnsi="Calibri"/>
                <w:b w:val="0"/>
                <w:i w:val="0"/>
                <w:color w:val="1A1A19"/>
                <w:sz w:val="17"/>
              </w:rPr>
              <w:t>700 – 900</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7"/>
              </w:rPr>
              <w:t>950 – 1,300</w:t>
            </w:r>
          </w:p>
        </w:tc>
      </w:tr>
      <w:tr>
        <w:tc>
          <w:tcPr>
            <w:tcW w:type="dxa" w:w="3456"/>
            <w:tcMar>
              <w:top w:w="60" w:type="dxa"/>
              <w:bottom w:w="60" w:type="dxa"/>
              <w:start w:w="110" w:type="dxa"/>
              <w:end w:w="110" w:type="dxa"/>
            </w:tcMar>
            <w:shd w:val="clear" w:color="auto" w:fill="F5F7F9"/>
          </w:tcPr>
          <w:p>
            <w:pPr>
              <w:spacing w:after="0"/>
            </w:pPr>
            <w:r>
              <w:rPr>
                <w:rFonts w:ascii="Calibri" w:hAnsi="Calibri"/>
                <w:b w:val="0"/>
                <w:i w:val="0"/>
                <w:color w:val="1A1A19"/>
                <w:sz w:val="17"/>
              </w:rPr>
              <w:t>8L rectangular food container</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226</w:t>
            </w:r>
          </w:p>
        </w:tc>
        <w:tc>
          <w:tcPr>
            <w:tcW w:type="dxa" w:w="28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200 – 300</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320 – 450</w:t>
            </w:r>
          </w:p>
        </w:tc>
      </w:tr>
      <w:tr>
        <w:tc>
          <w:tcPr>
            <w:tcW w:type="dxa" w:w="3456"/>
            <w:tcMar>
              <w:top w:w="60" w:type="dxa"/>
              <w:bottom w:w="60" w:type="dxa"/>
              <w:start w:w="110" w:type="dxa"/>
              <w:end w:w="110" w:type="dxa"/>
            </w:tcMar>
          </w:tcPr>
          <w:p>
            <w:pPr>
              <w:spacing w:after="0"/>
            </w:pPr>
            <w:r>
              <w:rPr>
                <w:rFonts w:ascii="Calibri" w:hAnsi="Calibri"/>
                <w:b w:val="0"/>
                <w:i w:val="0"/>
                <w:color w:val="1A1A19"/>
                <w:sz w:val="17"/>
              </w:rPr>
              <w:t>Storage drawers (4-tier)</w:t>
            </w:r>
          </w:p>
        </w:tc>
        <w:tc>
          <w:tcPr>
            <w:tcW w:type="dxa" w:w="1296"/>
            <w:tcMar>
              <w:top w:w="60" w:type="dxa"/>
              <w:bottom w:w="60" w:type="dxa"/>
              <w:start w:w="110" w:type="dxa"/>
              <w:end w:w="110" w:type="dxa"/>
            </w:tcMar>
          </w:tcPr>
          <w:p>
            <w:pPr>
              <w:spacing w:after="0"/>
              <w:jc w:val="right"/>
            </w:pPr>
            <w:r>
              <w:rPr>
                <w:rFonts w:ascii="Calibri" w:hAnsi="Calibri"/>
                <w:b w:val="0"/>
                <w:i w:val="0"/>
                <w:color w:val="1A1A19"/>
                <w:sz w:val="17"/>
              </w:rPr>
              <w:t>1,786</w:t>
            </w:r>
          </w:p>
        </w:tc>
        <w:tc>
          <w:tcPr>
            <w:tcW w:type="dxa" w:w="2880"/>
            <w:tcMar>
              <w:top w:w="60" w:type="dxa"/>
              <w:bottom w:w="60" w:type="dxa"/>
              <w:start w:w="110" w:type="dxa"/>
              <w:end w:w="110" w:type="dxa"/>
            </w:tcMar>
          </w:tcPr>
          <w:p>
            <w:pPr>
              <w:spacing w:after="0"/>
              <w:jc w:val="right"/>
            </w:pPr>
            <w:r>
              <w:rPr>
                <w:rFonts w:ascii="Calibri" w:hAnsi="Calibri"/>
                <w:b w:val="0"/>
                <w:i w:val="0"/>
                <w:color w:val="1A1A19"/>
                <w:sz w:val="17"/>
              </w:rPr>
              <w:t>1,600 – 2,100</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7"/>
              </w:rPr>
              <w:t>2,200 – 3,000</w:t>
            </w:r>
          </w:p>
        </w:tc>
      </w:tr>
      <w:tr>
        <w:tc>
          <w:tcPr>
            <w:tcW w:type="dxa" w:w="3456"/>
            <w:tcMar>
              <w:top w:w="60" w:type="dxa"/>
              <w:bottom w:w="60" w:type="dxa"/>
              <w:start w:w="110" w:type="dxa"/>
              <w:end w:w="110" w:type="dxa"/>
            </w:tcMar>
            <w:shd w:val="clear" w:color="auto" w:fill="F5F7F9"/>
          </w:tcPr>
          <w:p>
            <w:pPr>
              <w:spacing w:after="0"/>
            </w:pPr>
            <w:r>
              <w:rPr>
                <w:rFonts w:ascii="Calibri" w:hAnsi="Calibri"/>
                <w:b w:val="0"/>
                <w:i w:val="0"/>
                <w:color w:val="1A1A19"/>
                <w:sz w:val="17"/>
              </w:rPr>
              <w:t>Baby bathtub</w:t>
            </w:r>
          </w:p>
        </w:tc>
        <w:tc>
          <w:tcPr>
            <w:tcW w:type="dxa" w:w="129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470</w:t>
            </w:r>
          </w:p>
        </w:tc>
        <w:tc>
          <w:tcPr>
            <w:tcW w:type="dxa" w:w="28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420 – 560</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600 – 850</w:t>
            </w:r>
          </w:p>
        </w:tc>
      </w:tr>
    </w:tbl>
    <w:p>
      <w:pPr>
        <w:spacing w:after="40"/>
      </w:pPr>
    </w:p>
    <w:p>
      <w:pPr>
        <w:spacing w:after="160" w:before="0"/>
      </w:pPr>
      <w:r>
        <w:rPr>
          <w:rFonts w:ascii="Calibri" w:hAnsi="Calibri"/>
          <w:b w:val="0"/>
          <w:i/>
          <w:color w:val="5C5B57"/>
          <w:sz w:val="17"/>
        </w:rPr>
        <w:t>Local-brand ranges from Egyptian modern-trade shelf checks (Carrefour Egypt, Jumia, Noon), June 2026.</w:t>
      </w:r>
    </w:p>
    <w:p>
      <w:pPr>
        <w:keepNext/>
        <w:spacing w:before="220" w:after="80"/>
      </w:pPr>
      <w:r>
        <w:rPr>
          <w:rFonts w:ascii="Calibri" w:hAnsi="Calibri"/>
          <w:b/>
          <w:i w:val="0"/>
          <w:color w:val="0F6E6A"/>
          <w:sz w:val="24"/>
        </w:rPr>
        <w:t>4.4  Export corridors</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Sudan — </w:t>
      </w:r>
      <w:r>
        <w:rPr>
          <w:rFonts w:ascii="Calibri" w:hAnsi="Calibri"/>
          <w:b w:val="0"/>
          <w:i w:val="0"/>
          <w:color w:val="1A1A19"/>
          <w:sz w:val="21"/>
        </w:rPr>
        <w:t>committed buyer identified; orders trigger on arrival of the first containers at NORCO's warehouse on 50% advance + 50% delivery terms. Post-conflict reconstruction demand covers both divisions: solar-household kits and affordable houseware.</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Algeria — </w:t>
      </w:r>
      <w:r>
        <w:rPr>
          <w:rFonts w:ascii="Calibri" w:hAnsi="Calibri"/>
          <w:b w:val="0"/>
          <w:i w:val="0"/>
          <w:color w:val="1A1A19"/>
          <w:sz w:val="21"/>
        </w:rPr>
        <w:t>agency negotiation in progress with first Vestwoods orders by Month 8; structured FOB Jebel Ali to a licensed importer under the bank-domiciliation regime, 100% LC before shipment — zero in-country exposure.</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Libya — </w:t>
      </w:r>
      <w:r>
        <w:rPr>
          <w:rFonts w:ascii="Calibri" w:hAnsi="Calibri"/>
          <w:b w:val="0"/>
          <w:i w:val="0"/>
          <w:color w:val="1A1A19"/>
          <w:sz w:val="21"/>
        </w:rPr>
        <w:t>dual-hub distributors (Tripoli + Benghazi) from Year 2 on advance/LC terms; chronic-outage residential and telecom demand.</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Nigeria (Al Reem) — </w:t>
      </w:r>
      <w:r>
        <w:rPr>
          <w:rFonts w:ascii="Calibri" w:hAnsi="Calibri"/>
          <w:b w:val="0"/>
          <w:i w:val="0"/>
          <w:color w:val="1A1A19"/>
          <w:sz w:val="21"/>
        </w:rPr>
        <w:t>houseware export corridor from Year 2 through a Lagos sub-distributor on 50% advance + 50% delivery terms; 8 growing to 25 containers by Year 5.</w:t>
      </w:r>
    </w:p>
    <w:p>
      <w:pPr>
        <w:keepNext/>
        <w:spacing w:before="220" w:after="80"/>
      </w:pPr>
      <w:r>
        <w:rPr>
          <w:rFonts w:ascii="Calibri" w:hAnsi="Calibri"/>
          <w:b/>
          <w:i w:val="0"/>
          <w:color w:val="0F6E6A"/>
          <w:sz w:val="24"/>
        </w:rPr>
        <w:t>4.5  SWOT — NORCO Egypt</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4824"/>
        <w:gridCol w:w="4824"/>
      </w:tblGrid>
      <w:tr>
        <w:tc>
          <w:tcPr>
            <w:tcW w:type="dxa" w:w="4824"/>
            <w:shd w:val="clear" w:color="auto" w:fill="F0F6F2"/>
            <w:tcMar>
              <w:top w:w="110" w:type="dxa"/>
              <w:bottom w:w="110" w:type="dxa"/>
              <w:start w:w="140" w:type="dxa"/>
              <w:end w:w="140" w:type="dxa"/>
            </w:tcMar>
          </w:tcPr>
          <w:p>
            <w:pPr>
              <w:spacing w:after="60"/>
            </w:pPr>
            <w:r>
              <w:rPr>
                <w:rFonts w:ascii="Calibri" w:hAnsi="Calibri"/>
                <w:b/>
                <w:i w:val="0"/>
                <w:color w:val="0F2942"/>
                <w:sz w:val="22"/>
              </w:rPr>
              <w:t>Strengths</w:t>
            </w:r>
          </w:p>
          <w:p>
            <w:pPr>
              <w:spacing w:after="0"/>
            </w:pPr>
            <w:r>
              <w:rPr>
                <w:rFonts w:ascii="Calibri" w:hAnsi="Calibri"/>
                <w:b w:val="0"/>
                <w:i w:val="0"/>
                <w:color w:val="1A1A19"/>
                <w:sz w:val="18"/>
              </w:rPr>
              <w:t>Exclusive Vestwoods agency + price control; group-owned Al Reem supply at locked 30%/20% margins; operating showroom with pre-launch sales; committed Sudan buyer; verified SKU-level costing.</w:t>
            </w:r>
          </w:p>
        </w:tc>
        <w:tc>
          <w:tcPr>
            <w:tcW w:type="dxa" w:w="4824"/>
            <w:shd w:val="clear" w:color="auto" w:fill="FBF3F0"/>
            <w:tcMar>
              <w:top w:w="110" w:type="dxa"/>
              <w:bottom w:w="110" w:type="dxa"/>
              <w:start w:w="140" w:type="dxa"/>
              <w:end w:w="140" w:type="dxa"/>
            </w:tcMar>
          </w:tcPr>
          <w:p>
            <w:pPr>
              <w:spacing w:after="60"/>
            </w:pPr>
            <w:r>
              <w:rPr>
                <w:rFonts w:ascii="Calibri" w:hAnsi="Calibri"/>
                <w:b/>
                <w:i w:val="0"/>
                <w:color w:val="0F2942"/>
                <w:sz w:val="22"/>
              </w:rPr>
              <w:t>Weaknesses</w:t>
            </w:r>
          </w:p>
          <w:p>
            <w:pPr>
              <w:spacing w:after="0"/>
            </w:pPr>
            <w:r>
              <w:rPr>
                <w:rFonts w:ascii="Calibri" w:hAnsi="Calibri"/>
                <w:b w:val="0"/>
                <w:i w:val="0"/>
                <w:color w:val="1A1A19"/>
                <w:sz w:val="18"/>
              </w:rPr>
              <w:t>Year-1 Vestwoods prepayment strains working capital; thin wholesale margins demand volume discipline; two supply chains to coordinate; new houseware brand in Egypt.</w:t>
            </w:r>
          </w:p>
        </w:tc>
      </w:tr>
      <w:tr>
        <w:tc>
          <w:tcPr>
            <w:tcW w:type="dxa" w:w="4824"/>
            <w:shd w:val="clear" w:color="auto" w:fill="F0F6F2"/>
            <w:tcMar>
              <w:top w:w="110" w:type="dxa"/>
              <w:bottom w:w="110" w:type="dxa"/>
              <w:start w:w="140" w:type="dxa"/>
              <w:end w:w="140" w:type="dxa"/>
            </w:tcMar>
          </w:tcPr>
          <w:p>
            <w:pPr>
              <w:spacing w:after="60"/>
            </w:pPr>
            <w:r>
              <w:rPr>
                <w:rFonts w:ascii="Calibri" w:hAnsi="Calibri"/>
                <w:b/>
                <w:i w:val="0"/>
                <w:color w:val="0F2942"/>
                <w:sz w:val="22"/>
              </w:rPr>
              <w:t>Opportunities</w:t>
            </w:r>
          </w:p>
          <w:p>
            <w:pPr>
              <w:spacing w:after="0"/>
            </w:pPr>
            <w:r>
              <w:rPr>
                <w:rFonts w:ascii="Calibri" w:hAnsi="Calibri"/>
                <w:b w:val="0"/>
                <w:i w:val="0"/>
                <w:color w:val="1A1A19"/>
                <w:sz w:val="18"/>
              </w:rPr>
              <w:t>Egypt tenders (NUCA/EEHC); telecom fleet contracts; hypermarket listings for Al Reem; Libya launch; CKD assembly under Egypt's localisation programme.</w:t>
            </w:r>
          </w:p>
        </w:tc>
        <w:tc>
          <w:tcPr>
            <w:tcW w:type="dxa" w:w="4824"/>
            <w:shd w:val="clear" w:color="auto" w:fill="FBF3F0"/>
            <w:tcMar>
              <w:top w:w="110" w:type="dxa"/>
              <w:bottom w:w="110" w:type="dxa"/>
              <w:start w:w="140" w:type="dxa"/>
              <w:end w:w="140" w:type="dxa"/>
            </w:tcMar>
          </w:tcPr>
          <w:p>
            <w:pPr>
              <w:spacing w:after="60"/>
            </w:pPr>
            <w:r>
              <w:rPr>
                <w:rFonts w:ascii="Calibri" w:hAnsi="Calibri"/>
                <w:b/>
                <w:i w:val="0"/>
                <w:color w:val="0F2942"/>
                <w:sz w:val="22"/>
              </w:rPr>
              <w:t>Threats</w:t>
            </w:r>
          </w:p>
          <w:p>
            <w:pPr>
              <w:spacing w:after="0"/>
            </w:pPr>
            <w:r>
              <w:rPr>
                <w:rFonts w:ascii="Calibri" w:hAnsi="Calibri"/>
                <w:b w:val="0"/>
                <w:i w:val="0"/>
                <w:color w:val="1A1A19"/>
                <w:sz w:val="18"/>
              </w:rPr>
              <w:t>EGP devaluation; customs delays; grey-market battery pricing; local plastics price wars; regional instability in export corridors.</w:t>
            </w:r>
          </w:p>
        </w:tc>
      </w:tr>
    </w:tbl>
    <w:p>
      <w:r>
        <w:br w:type="page"/>
      </w:r>
    </w:p>
    <w:p>
      <w:pPr>
        <w:keepNext/>
        <w:spacing w:before="320" w:after="160"/>
        <w:pBdr>
          <w:bottom w:val="single" w:sz="6" w:space="4" w:color="0F2942"/>
        </w:pBdr>
      </w:pPr>
      <w:r>
        <w:rPr>
          <w:rFonts w:ascii="Calibri" w:hAnsi="Calibri"/>
          <w:b/>
          <w:i w:val="0"/>
          <w:color w:val="C8892A"/>
          <w:sz w:val="30"/>
        </w:rPr>
        <w:t xml:space="preserve">5   </w:t>
      </w:r>
      <w:r>
        <w:rPr>
          <w:rFonts w:ascii="Calibri" w:hAnsi="Calibri"/>
          <w:b/>
          <w:i w:val="0"/>
          <w:color w:val="0F2942"/>
          <w:sz w:val="30"/>
        </w:rPr>
        <w:t>Supplier &amp; Customer Terms — the Cash-Flow Engine</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3312"/>
            <w:shd w:val="clear" w:color="auto" w:fill="0F2942"/>
            <w:tcMar>
              <w:top w:w="60" w:type="dxa"/>
              <w:bottom w:w="60" w:type="dxa"/>
              <w:start w:w="110" w:type="dxa"/>
              <w:end w:w="110" w:type="dxa"/>
            </w:tcMar>
          </w:tcPr>
          <w:p>
            <w:pPr>
              <w:spacing w:after="0"/>
            </w:pPr>
            <w:r>
              <w:rPr>
                <w:rFonts w:ascii="Calibri" w:hAnsi="Calibri"/>
                <w:b/>
                <w:i w:val="0"/>
                <w:color w:val="FFFFFF"/>
                <w:sz w:val="17"/>
              </w:rPr>
              <w:t>Party / period</w:t>
            </w:r>
          </w:p>
        </w:tc>
        <w:tc>
          <w:tcPr>
            <w:tcW w:type="dxa" w:w="3024"/>
            <w:shd w:val="clear" w:color="auto" w:fill="0F2942"/>
            <w:tcMar>
              <w:top w:w="60" w:type="dxa"/>
              <w:bottom w:w="60" w:type="dxa"/>
              <w:start w:w="110" w:type="dxa"/>
              <w:end w:w="110" w:type="dxa"/>
            </w:tcMar>
          </w:tcPr>
          <w:p>
            <w:pPr>
              <w:spacing w:after="0"/>
            </w:pPr>
            <w:r>
              <w:rPr>
                <w:rFonts w:ascii="Calibri" w:hAnsi="Calibri"/>
                <w:b/>
                <w:i w:val="0"/>
                <w:color w:val="FFFFFF"/>
                <w:sz w:val="17"/>
              </w:rPr>
              <w:t>Terms</w:t>
            </w:r>
          </w:p>
        </w:tc>
        <w:tc>
          <w:tcPr>
            <w:tcW w:type="dxa" w:w="3744"/>
            <w:shd w:val="clear" w:color="auto" w:fill="0F2942"/>
            <w:tcMar>
              <w:top w:w="60" w:type="dxa"/>
              <w:bottom w:w="60" w:type="dxa"/>
              <w:start w:w="110" w:type="dxa"/>
              <w:end w:w="110" w:type="dxa"/>
            </w:tcMar>
          </w:tcPr>
          <w:p>
            <w:pPr>
              <w:spacing w:after="0"/>
            </w:pPr>
            <w:r>
              <w:rPr>
                <w:rFonts w:ascii="Calibri" w:hAnsi="Calibri"/>
                <w:b/>
                <w:i w:val="0"/>
                <w:color w:val="FFFFFF"/>
                <w:sz w:val="17"/>
              </w:rPr>
              <w:t>Cash impact</w:t>
            </w:r>
          </w:p>
        </w:tc>
      </w:tr>
      <w:tr>
        <w:tc>
          <w:tcPr>
            <w:tcW w:type="dxa" w:w="3312"/>
            <w:tcMar>
              <w:top w:w="60" w:type="dxa"/>
              <w:bottom w:w="60" w:type="dxa"/>
              <w:start w:w="110" w:type="dxa"/>
              <w:end w:w="110" w:type="dxa"/>
            </w:tcMar>
          </w:tcPr>
          <w:p>
            <w:pPr>
              <w:spacing w:after="0"/>
            </w:pPr>
            <w:r>
              <w:rPr>
                <w:rFonts w:ascii="Calibri" w:hAnsi="Calibri"/>
                <w:b w:val="0"/>
                <w:i w:val="0"/>
                <w:color w:val="1A1A19"/>
                <w:sz w:val="17"/>
              </w:rPr>
              <w:t>Vestwoods — Year 1 (Sinosure approved)</w:t>
            </w:r>
          </w:p>
        </w:tc>
        <w:tc>
          <w:tcPr>
            <w:tcW w:type="dxa" w:w="3024"/>
            <w:tcMar>
              <w:top w:w="60" w:type="dxa"/>
              <w:bottom w:w="60" w:type="dxa"/>
              <w:start w:w="110" w:type="dxa"/>
              <w:end w:w="110" w:type="dxa"/>
            </w:tcMar>
          </w:tcPr>
          <w:p>
            <w:pPr>
              <w:spacing w:after="0"/>
            </w:pPr>
            <w:r>
              <w:rPr>
                <w:rFonts w:ascii="Calibri" w:hAnsi="Calibri"/>
                <w:b w:val="0"/>
                <w:i w:val="0"/>
                <w:color w:val="1A1A19"/>
                <w:sz w:val="17"/>
              </w:rPr>
              <w:t>Containers 1–4 paid in full; containers 5–13 at 10% down + 90% on 3-month credit</w:t>
            </w:r>
          </w:p>
        </w:tc>
        <w:tc>
          <w:tcPr>
            <w:tcW w:type="dxa" w:w="3744"/>
            <w:tcMar>
              <w:top w:w="60" w:type="dxa"/>
              <w:bottom w:w="60" w:type="dxa"/>
              <w:start w:w="110" w:type="dxa"/>
              <w:end w:w="110" w:type="dxa"/>
            </w:tcMar>
          </w:tcPr>
          <w:p>
            <w:pPr>
              <w:spacing w:after="0"/>
            </w:pPr>
            <w:r>
              <w:rPr>
                <w:rFonts w:ascii="Calibri" w:hAnsi="Calibri"/>
                <w:b w:val="0"/>
                <w:i w:val="0"/>
                <w:color w:val="1A1A19"/>
                <w:sz w:val="17"/>
              </w:rPr>
              <w:t>Sinosure cover converts most Year-1 container capital to credit — the raise shrinks to USD 1.0M</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Vestwoods — Year 2+</w:t>
            </w:r>
          </w:p>
        </w:tc>
        <w:tc>
          <w:tcPr>
            <w:tcW w:type="dxa" w:w="3024"/>
            <w:tcMar>
              <w:top w:w="60" w:type="dxa"/>
              <w:bottom w:w="60" w:type="dxa"/>
              <w:start w:w="110" w:type="dxa"/>
              <w:end w:w="110" w:type="dxa"/>
            </w:tcMar>
            <w:shd w:val="clear" w:color="auto" w:fill="F5F7F9"/>
          </w:tcPr>
          <w:p>
            <w:pPr>
              <w:spacing w:after="0"/>
            </w:pPr>
            <w:r>
              <w:rPr>
                <w:rFonts w:ascii="Calibri" w:hAnsi="Calibri"/>
                <w:b w:val="0"/>
                <w:i w:val="0"/>
                <w:color w:val="1A1A19"/>
                <w:sz w:val="17"/>
              </w:rPr>
              <w:t>10% down + 90% at 3-month credit on all POs</w:t>
            </w:r>
          </w:p>
        </w:tc>
        <w:tc>
          <w:tcPr>
            <w:tcW w:type="dxa" w:w="3744"/>
            <w:tcMar>
              <w:top w:w="60" w:type="dxa"/>
              <w:bottom w:w="60" w:type="dxa"/>
              <w:start w:w="110" w:type="dxa"/>
              <w:end w:w="110" w:type="dxa"/>
            </w:tcMar>
            <w:shd w:val="clear" w:color="auto" w:fill="F5F7F9"/>
          </w:tcPr>
          <w:p>
            <w:pPr>
              <w:spacing w:after="0"/>
            </w:pPr>
            <w:r>
              <w:rPr>
                <w:rFonts w:ascii="Calibri" w:hAnsi="Calibri"/>
                <w:b w:val="0"/>
                <w:i w:val="0"/>
                <w:color w:val="1A1A19"/>
                <w:sz w:val="17"/>
              </w:rPr>
              <w:t>~22.5% of purchases outstanding at year end; growth self-funding</w:t>
            </w:r>
          </w:p>
        </w:tc>
      </w:tr>
      <w:tr>
        <w:tc>
          <w:tcPr>
            <w:tcW w:type="dxa" w:w="3312"/>
            <w:tcMar>
              <w:top w:w="60" w:type="dxa"/>
              <w:bottom w:w="60" w:type="dxa"/>
              <w:start w:w="110" w:type="dxa"/>
              <w:end w:w="110" w:type="dxa"/>
            </w:tcMar>
          </w:tcPr>
          <w:p>
            <w:pPr>
              <w:spacing w:after="0"/>
            </w:pPr>
            <w:r>
              <w:rPr>
                <w:rFonts w:ascii="Calibri" w:hAnsi="Calibri"/>
                <w:b w:val="0"/>
                <w:i w:val="0"/>
                <w:color w:val="1A1A19"/>
                <w:sz w:val="17"/>
              </w:rPr>
              <w:t>Al Reem Plastics (Angola, affiliate)</w:t>
            </w:r>
          </w:p>
        </w:tc>
        <w:tc>
          <w:tcPr>
            <w:tcW w:type="dxa" w:w="3024"/>
            <w:tcMar>
              <w:top w:w="60" w:type="dxa"/>
              <w:bottom w:w="60" w:type="dxa"/>
              <w:start w:w="110" w:type="dxa"/>
              <w:end w:w="110" w:type="dxa"/>
            </w:tcMar>
          </w:tcPr>
          <w:p>
            <w:pPr>
              <w:spacing w:after="0"/>
            </w:pPr>
            <w:r>
              <w:rPr>
                <w:rFonts w:ascii="Calibri" w:hAnsi="Calibri"/>
                <w:b w:val="0"/>
                <w:i w:val="0"/>
                <w:color w:val="1A1A19"/>
                <w:sz w:val="17"/>
              </w:rPr>
              <w:t>Group credit terms, paid against documents</w:t>
            </w:r>
          </w:p>
        </w:tc>
        <w:tc>
          <w:tcPr>
            <w:tcW w:type="dxa" w:w="3744"/>
            <w:tcMar>
              <w:top w:w="60" w:type="dxa"/>
              <w:bottom w:w="60" w:type="dxa"/>
              <w:start w:w="110" w:type="dxa"/>
              <w:end w:w="110" w:type="dxa"/>
            </w:tcMar>
          </w:tcPr>
          <w:p>
            <w:pPr>
              <w:spacing w:after="0"/>
            </w:pPr>
            <w:r>
              <w:rPr>
                <w:rFonts w:ascii="Calibri" w:hAnsi="Calibri"/>
                <w:b w:val="0"/>
                <w:i w:val="0"/>
                <w:color w:val="1A1A19"/>
                <w:sz w:val="17"/>
              </w:rPr>
              <w:t>USD 158,571 payable carried at Year-1 end; settled from Year-2 cash</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Egypt customers</w:t>
            </w:r>
          </w:p>
        </w:tc>
        <w:tc>
          <w:tcPr>
            <w:tcW w:type="dxa" w:w="3024"/>
            <w:tcMar>
              <w:top w:w="60" w:type="dxa"/>
              <w:bottom w:w="60" w:type="dxa"/>
              <w:start w:w="110" w:type="dxa"/>
              <w:end w:w="110" w:type="dxa"/>
            </w:tcMar>
            <w:shd w:val="clear" w:color="auto" w:fill="F5F7F9"/>
          </w:tcPr>
          <w:p>
            <w:pPr>
              <w:spacing w:after="0"/>
            </w:pPr>
            <w:r>
              <w:rPr>
                <w:rFonts w:ascii="Calibri" w:hAnsi="Calibri"/>
                <w:b w:val="0"/>
                <w:i w:val="0"/>
                <w:color w:val="1A1A19"/>
                <w:sz w:val="17"/>
              </w:rPr>
              <w:t>30–60 days (avg 45); 1-month lag</w:t>
            </w:r>
          </w:p>
        </w:tc>
        <w:tc>
          <w:tcPr>
            <w:tcW w:type="dxa" w:w="3744"/>
            <w:tcMar>
              <w:top w:w="60" w:type="dxa"/>
              <w:bottom w:w="60" w:type="dxa"/>
              <w:start w:w="110" w:type="dxa"/>
              <w:end w:w="110" w:type="dxa"/>
            </w:tcMar>
            <w:shd w:val="clear" w:color="auto" w:fill="F5F7F9"/>
          </w:tcPr>
          <w:p>
            <w:pPr>
              <w:spacing w:after="0"/>
            </w:pPr>
            <w:r>
              <w:rPr>
                <w:rFonts w:ascii="Calibri" w:hAnsi="Calibri"/>
                <w:b w:val="0"/>
                <w:i w:val="0"/>
                <w:color w:val="1A1A19"/>
                <w:sz w:val="17"/>
              </w:rPr>
              <w:t>Anchor accounts on agreed limits; stop-supply discipline</w:t>
            </w:r>
          </w:p>
        </w:tc>
      </w:tr>
      <w:tr>
        <w:tc>
          <w:tcPr>
            <w:tcW w:type="dxa" w:w="3312"/>
            <w:tcMar>
              <w:top w:w="60" w:type="dxa"/>
              <w:bottom w:w="60" w:type="dxa"/>
              <w:start w:w="110" w:type="dxa"/>
              <w:end w:w="110" w:type="dxa"/>
            </w:tcMar>
          </w:tcPr>
          <w:p>
            <w:pPr>
              <w:spacing w:after="0"/>
            </w:pPr>
            <w:r>
              <w:rPr>
                <w:rFonts w:ascii="Calibri" w:hAnsi="Calibri"/>
                <w:b w:val="0"/>
                <w:i w:val="0"/>
                <w:color w:val="1A1A19"/>
                <w:sz w:val="17"/>
              </w:rPr>
              <w:t>Sudan (both divisions)</w:t>
            </w:r>
          </w:p>
        </w:tc>
        <w:tc>
          <w:tcPr>
            <w:tcW w:type="dxa" w:w="3024"/>
            <w:tcMar>
              <w:top w:w="60" w:type="dxa"/>
              <w:bottom w:w="60" w:type="dxa"/>
              <w:start w:w="110" w:type="dxa"/>
              <w:end w:w="110" w:type="dxa"/>
            </w:tcMar>
          </w:tcPr>
          <w:p>
            <w:pPr>
              <w:spacing w:after="0"/>
            </w:pPr>
            <w:r>
              <w:rPr>
                <w:rFonts w:ascii="Calibri" w:hAnsi="Calibri"/>
                <w:b w:val="0"/>
                <w:i w:val="0"/>
                <w:color w:val="1A1A19"/>
                <w:sz w:val="17"/>
              </w:rPr>
              <w:t>50% advance at order + 50% on delivery</w:t>
            </w:r>
          </w:p>
        </w:tc>
        <w:tc>
          <w:tcPr>
            <w:tcW w:type="dxa" w:w="3744"/>
            <w:tcMar>
              <w:top w:w="60" w:type="dxa"/>
              <w:bottom w:w="60" w:type="dxa"/>
              <w:start w:w="110" w:type="dxa"/>
              <w:end w:w="110" w:type="dxa"/>
            </w:tcMar>
          </w:tcPr>
          <w:p>
            <w:pPr>
              <w:spacing w:after="0"/>
            </w:pPr>
            <w:r>
              <w:rPr>
                <w:rFonts w:ascii="Calibri" w:hAnsi="Calibri"/>
                <w:b w:val="0"/>
                <w:i w:val="0"/>
                <w:color w:val="1A1A19"/>
                <w:sz w:val="17"/>
              </w:rPr>
              <w:t>Advances arrive ~2 months before delivery — offsets prepayments</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7"/>
              </w:rPr>
              <w:t>Algeria</w:t>
            </w:r>
          </w:p>
        </w:tc>
        <w:tc>
          <w:tcPr>
            <w:tcW w:type="dxa" w:w="3024"/>
            <w:tcMar>
              <w:top w:w="60" w:type="dxa"/>
              <w:bottom w:w="60" w:type="dxa"/>
              <w:start w:w="110" w:type="dxa"/>
              <w:end w:w="110" w:type="dxa"/>
            </w:tcMar>
            <w:shd w:val="clear" w:color="auto" w:fill="F5F7F9"/>
          </w:tcPr>
          <w:p>
            <w:pPr>
              <w:spacing w:after="0"/>
            </w:pPr>
            <w:r>
              <w:rPr>
                <w:rFonts w:ascii="Calibri" w:hAnsi="Calibri"/>
                <w:b w:val="0"/>
                <w:i w:val="0"/>
                <w:color w:val="1A1A19"/>
                <w:sz w:val="17"/>
              </w:rPr>
              <w:t>100% LC before shipment</w:t>
            </w:r>
          </w:p>
        </w:tc>
        <w:tc>
          <w:tcPr>
            <w:tcW w:type="dxa" w:w="3744"/>
            <w:tcMar>
              <w:top w:w="60" w:type="dxa"/>
              <w:bottom w:w="60" w:type="dxa"/>
              <w:start w:w="110" w:type="dxa"/>
              <w:end w:w="110" w:type="dxa"/>
            </w:tcMar>
            <w:shd w:val="clear" w:color="auto" w:fill="F5F7F9"/>
          </w:tcPr>
          <w:p>
            <w:pPr>
              <w:spacing w:after="0"/>
            </w:pPr>
            <w:r>
              <w:rPr>
                <w:rFonts w:ascii="Calibri" w:hAnsi="Calibri"/>
                <w:b w:val="0"/>
                <w:i w:val="0"/>
                <w:color w:val="1A1A19"/>
                <w:sz w:val="17"/>
              </w:rPr>
              <w:t>Zero receivable risk; zero in-country exposure</w:t>
            </w:r>
          </w:p>
        </w:tc>
      </w:tr>
      <w:tr>
        <w:tc>
          <w:tcPr>
            <w:tcW w:type="dxa" w:w="3312"/>
            <w:tcMar>
              <w:top w:w="60" w:type="dxa"/>
              <w:bottom w:w="60" w:type="dxa"/>
              <w:start w:w="110" w:type="dxa"/>
              <w:end w:w="110" w:type="dxa"/>
            </w:tcMar>
          </w:tcPr>
          <w:p>
            <w:pPr>
              <w:spacing w:after="0"/>
            </w:pPr>
            <w:r>
              <w:rPr>
                <w:rFonts w:ascii="Calibri" w:hAnsi="Calibri"/>
                <w:b w:val="0"/>
                <w:i w:val="0"/>
                <w:color w:val="1A1A19"/>
                <w:sz w:val="17"/>
              </w:rPr>
              <w:t>Libya (Year 2+)</w:t>
            </w:r>
          </w:p>
        </w:tc>
        <w:tc>
          <w:tcPr>
            <w:tcW w:type="dxa" w:w="3024"/>
            <w:tcMar>
              <w:top w:w="60" w:type="dxa"/>
              <w:bottom w:w="60" w:type="dxa"/>
              <w:start w:w="110" w:type="dxa"/>
              <w:end w:w="110" w:type="dxa"/>
            </w:tcMar>
          </w:tcPr>
          <w:p>
            <w:pPr>
              <w:spacing w:after="0"/>
            </w:pPr>
            <w:r>
              <w:rPr>
                <w:rFonts w:ascii="Calibri" w:hAnsi="Calibri"/>
                <w:b w:val="0"/>
                <w:i w:val="0"/>
                <w:color w:val="1A1A19"/>
                <w:sz w:val="17"/>
              </w:rPr>
              <w:t>Advance / confirmed LC</w:t>
            </w:r>
          </w:p>
        </w:tc>
        <w:tc>
          <w:tcPr>
            <w:tcW w:type="dxa" w:w="3744"/>
            <w:tcMar>
              <w:top w:w="60" w:type="dxa"/>
              <w:bottom w:w="60" w:type="dxa"/>
              <w:start w:w="110" w:type="dxa"/>
              <w:end w:w="110" w:type="dxa"/>
            </w:tcMar>
          </w:tcPr>
          <w:p>
            <w:pPr>
              <w:spacing w:after="0"/>
            </w:pPr>
            <w:r>
              <w:rPr>
                <w:rFonts w:ascii="Calibri" w:hAnsi="Calibri"/>
                <w:b w:val="0"/>
                <w:i w:val="0"/>
                <w:color w:val="1A1A19"/>
                <w:sz w:val="17"/>
              </w:rPr>
              <w:t>Cash before shipment</w:t>
            </w:r>
          </w:p>
        </w:tc>
      </w:tr>
    </w:tbl>
    <w:p>
      <w:pPr>
        <w:spacing w:after="40"/>
      </w:pPr>
    </w:p>
    <w:p>
      <w:r>
        <w:br w:type="page"/>
      </w:r>
    </w:p>
    <w:p>
      <w:pPr>
        <w:keepNext/>
        <w:spacing w:before="320" w:after="160"/>
        <w:pBdr>
          <w:bottom w:val="single" w:sz="6" w:space="4" w:color="0F2942"/>
        </w:pBdr>
      </w:pPr>
      <w:r>
        <w:rPr>
          <w:rFonts w:ascii="Calibri" w:hAnsi="Calibri"/>
          <w:b/>
          <w:i w:val="0"/>
          <w:color w:val="C8892A"/>
          <w:sz w:val="30"/>
        </w:rPr>
        <w:t xml:space="preserve">6   </w:t>
      </w:r>
      <w:r>
        <w:rPr>
          <w:rFonts w:ascii="Calibri" w:hAnsi="Calibri"/>
          <w:b/>
          <w:i w:val="0"/>
          <w:color w:val="0F2942"/>
          <w:sz w:val="30"/>
        </w:rPr>
        <w:t>Financial Plan</w:t>
      </w:r>
    </w:p>
    <w:p>
      <w:pPr>
        <w:spacing w:after="160" w:before="0"/>
      </w:pPr>
      <w:r>
        <w:rPr>
          <w:rFonts w:ascii="Calibri" w:hAnsi="Calibri"/>
          <w:b w:val="0"/>
          <w:i/>
          <w:color w:val="5C5B57"/>
          <w:sz w:val="19"/>
        </w:rPr>
        <w:t>All figures USD, tying 1:1 to the companion workbook. Egypt Vestwoods product cost is 79% of revenue (50/50 retail-wholesale mix); export product cost is booked at 50% of export revenue per the group's negotiated export pricing. Al Reem margins are locked by the group supply agreement. Planning FX EGP 53; corporate tax 22.5% with Year-1 loss carry-forward.</w:t>
      </w:r>
    </w:p>
    <w:p>
      <w:pPr>
        <w:keepNext/>
        <w:spacing w:before="220" w:after="80"/>
      </w:pPr>
      <w:r>
        <w:rPr>
          <w:rFonts w:ascii="Calibri" w:hAnsi="Calibri"/>
          <w:b/>
          <w:i w:val="0"/>
          <w:color w:val="0F6E6A"/>
          <w:sz w:val="24"/>
        </w:rPr>
        <w:t>6.1  Consolidated 5-year P&amp;L</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2736"/>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1</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2</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3</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4</w:t>
            </w:r>
          </w:p>
        </w:tc>
        <w:tc>
          <w:tcPr>
            <w:tcW w:type="dxa" w:w="151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5</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Vestwoods revenue</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5,356,510</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8,003,813</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9,604,575</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11,525,489</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13,830,588</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Al Reem Plastics revenue</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839,103</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2,097,758</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3,408,857</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3,985,741</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5,191,951</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Total revenue</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6,195,613</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10,101,570</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13,013,431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15,511,230</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19,022,538</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Gross profit</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2,114,147</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3,446,656</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4,440,183</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5,292,432</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6,490,490</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Gross margin %</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34.1%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34.1%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34.1%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34.1%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34.1%</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Operating expenses</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783,321</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982,328</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1,242,390</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1,550,096</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2,038,137</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EBIT</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1,330,826</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2,464,328</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3,197,793</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3,742,336</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4,452,353</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Corporate tax (22.5%)</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299,436</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554,474</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719,503</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842,026</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1,001,779</w:t>
            </w:r>
          </w:p>
        </w:tc>
      </w:tr>
      <w:tr>
        <w:tc>
          <w:tcPr>
            <w:tcW w:type="dxa" w:w="2736"/>
            <w:tcMar>
              <w:top w:w="60" w:type="dxa"/>
              <w:bottom w:w="60" w:type="dxa"/>
              <w:start w:w="110" w:type="dxa"/>
              <w:end w:w="110" w:type="dxa"/>
            </w:tcMar>
          </w:tcPr>
          <w:p>
            <w:pPr>
              <w:spacing w:after="0"/>
            </w:pPr>
            <w:r>
              <w:rPr>
                <w:rFonts w:ascii="Calibri" w:hAnsi="Calibri"/>
                <w:b w:val="0"/>
                <w:i w:val="0"/>
                <w:color w:val="1A1A19"/>
                <w:sz w:val="17"/>
              </w:rPr>
              <w:t>Net profit</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1,031,391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1,909,854</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2,478,290</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2,900,311</w:t>
            </w:r>
          </w:p>
        </w:tc>
        <w:tc>
          <w:tcPr>
            <w:tcW w:type="dxa" w:w="1512"/>
            <w:tcMar>
              <w:top w:w="60" w:type="dxa"/>
              <w:bottom w:w="60" w:type="dxa"/>
              <w:start w:w="110" w:type="dxa"/>
              <w:end w:w="110" w:type="dxa"/>
            </w:tcMar>
          </w:tcPr>
          <w:p>
            <w:pPr>
              <w:spacing w:after="0"/>
              <w:jc w:val="right"/>
            </w:pPr>
            <w:r>
              <w:rPr>
                <w:rFonts w:ascii="Calibri" w:hAnsi="Calibri"/>
                <w:b w:val="0"/>
                <w:i w:val="0"/>
                <w:color w:val="1A1A19"/>
                <w:sz w:val="17"/>
              </w:rPr>
              <w:t>3,450,573</w:t>
            </w:r>
          </w:p>
        </w:tc>
      </w:tr>
      <w:tr>
        <w:tc>
          <w:tcPr>
            <w:tcW w:type="dxa" w:w="2736"/>
            <w:tcMar>
              <w:top w:w="60" w:type="dxa"/>
              <w:bottom w:w="60" w:type="dxa"/>
              <w:start w:w="110" w:type="dxa"/>
              <w:end w:w="110" w:type="dxa"/>
            </w:tcMar>
            <w:shd w:val="clear" w:color="auto" w:fill="F5F7F9"/>
          </w:tcPr>
          <w:p>
            <w:pPr>
              <w:spacing w:after="0"/>
            </w:pPr>
            <w:r>
              <w:rPr>
                <w:rFonts w:ascii="Calibri" w:hAnsi="Calibri"/>
                <w:b w:val="0"/>
                <w:i w:val="0"/>
                <w:color w:val="1A1A19"/>
                <w:sz w:val="17"/>
              </w:rPr>
              <w:t>Net margin %</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16.6%</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18.9%</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19.0%</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18.7%</w:t>
            </w:r>
          </w:p>
        </w:tc>
        <w:tc>
          <w:tcPr>
            <w:tcW w:type="dxa" w:w="151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18.1%</w:t>
            </w:r>
          </w:p>
        </w:tc>
      </w:tr>
    </w:tbl>
    <w:p>
      <w:pPr>
        <w:spacing w:after="40"/>
      </w:pPr>
    </w:p>
    <w:p>
      <w:pPr>
        <w:jc w:val="center"/>
      </w:pPr>
      <w:r>
        <w:drawing>
          <wp:inline xmlns:a="http://schemas.openxmlformats.org/drawingml/2006/main" xmlns:pic="http://schemas.openxmlformats.org/drawingml/2006/picture">
            <wp:extent cx="5486400" cy="3240804"/>
            <wp:docPr id="3" name="Picture 3"/>
            <wp:cNvGraphicFramePr>
              <a:graphicFrameLocks noChangeAspect="1"/>
            </wp:cNvGraphicFramePr>
            <a:graphic>
              <a:graphicData uri="http://schemas.openxmlformats.org/drawingml/2006/picture">
                <pic:pic>
                  <pic:nvPicPr>
                    <pic:cNvPr id="0" name="profit_trend.png"/>
                    <pic:cNvPicPr/>
                  </pic:nvPicPr>
                  <pic:blipFill>
                    <a:blip r:embed="rId12"/>
                    <a:stretch>
                      <a:fillRect/>
                    </a:stretch>
                  </pic:blipFill>
                  <pic:spPr>
                    <a:xfrm>
                      <a:off x="0" y="0"/>
                      <a:ext cx="5486400" cy="3240804"/>
                    </a:xfrm>
                    <a:prstGeom prst="rect"/>
                  </pic:spPr>
                </pic:pic>
              </a:graphicData>
            </a:graphic>
          </wp:inline>
        </w:drawing>
      </w:r>
    </w:p>
    <w:p>
      <w:pPr>
        <w:keepNext/>
        <w:spacing w:before="220" w:after="80"/>
      </w:pPr>
      <w:r>
        <w:rPr>
          <w:rFonts w:ascii="Calibri" w:hAnsi="Calibri"/>
          <w:b/>
          <w:i w:val="0"/>
          <w:color w:val="0F6E6A"/>
          <w:sz w:val="24"/>
        </w:rPr>
        <w:t>6.2  Revenue build — markets, divisions and containers</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3384"/>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1</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2</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3</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4</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5</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Egypt — Vestwoods (6→15 containers)</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2,599,483</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3,119,380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3,743,256</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4,491,907</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5,390,288</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Egypt — Al Reem (10→40 containers)</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576,883</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1,153,766</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1,730,649</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1,730,649</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2,307,531</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Sudan — Vestwoods (4→10 containers)</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1,575,444</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1,890,533</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2,268,639</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2,722,367</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3,266,841</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Sudan — Al Reem (5→30 containers)</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262,220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524,440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1,048,880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1,311,100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1,573,320</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Nigeria — Al Reem (0→25, from Y2)</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419,552</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629,328</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943,992</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1,311,100</w:t>
            </w:r>
          </w:p>
        </w:tc>
      </w:tr>
      <w:tr>
        <w:tc>
          <w:tcPr>
            <w:tcW w:type="dxa" w:w="3384"/>
            <w:tcMar>
              <w:top w:w="60" w:type="dxa"/>
              <w:bottom w:w="60" w:type="dxa"/>
              <w:start w:w="110" w:type="dxa"/>
              <w:end w:w="110" w:type="dxa"/>
            </w:tcMar>
            <w:shd w:val="clear" w:color="auto" w:fill="F5F7F9"/>
          </w:tcPr>
          <w:p>
            <w:pPr>
              <w:spacing w:after="0"/>
            </w:pPr>
            <w:r>
              <w:rPr>
                <w:rFonts w:ascii="Calibri" w:hAnsi="Calibri"/>
                <w:b w:val="0"/>
                <w:i w:val="0"/>
                <w:color w:val="1A1A19"/>
                <w:sz w:val="17"/>
              </w:rPr>
              <w:t>Algeria — Vestwoods (3→8, 100% LC)</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1,181,583</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1,417,900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1,701,480</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2,041,775</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2,450,131</w:t>
            </w:r>
          </w:p>
        </w:tc>
      </w:tr>
      <w:tr>
        <w:tc>
          <w:tcPr>
            <w:tcW w:type="dxa" w:w="3384"/>
            <w:tcMar>
              <w:top w:w="60" w:type="dxa"/>
              <w:bottom w:w="60" w:type="dxa"/>
              <w:start w:w="110" w:type="dxa"/>
              <w:end w:w="110" w:type="dxa"/>
            </w:tcMar>
          </w:tcPr>
          <w:p>
            <w:pPr>
              <w:spacing w:after="0"/>
            </w:pPr>
            <w:r>
              <w:rPr>
                <w:rFonts w:ascii="Calibri" w:hAnsi="Calibri"/>
                <w:b w:val="0"/>
                <w:i w:val="0"/>
                <w:color w:val="1A1A19"/>
                <w:sz w:val="17"/>
              </w:rPr>
              <w:t>Libya — Vestwoods (0→8, from Y2)</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1,576,000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1,891,200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2,269,440</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2,723,328</w:t>
            </w:r>
          </w:p>
        </w:tc>
      </w:tr>
      <w:tr>
        <w:tc>
          <w:tcPr>
            <w:tcW w:type="dxa" w:w="3384"/>
            <w:tcMar>
              <w:top w:w="60" w:type="dxa"/>
              <w:bottom w:w="60" w:type="dxa"/>
              <w:start w:w="110" w:type="dxa"/>
              <w:end w:w="110" w:type="dxa"/>
            </w:tcMar>
            <w:shd w:val="clear" w:color="auto" w:fill="E9EDF0"/>
          </w:tcPr>
          <w:p>
            <w:pPr>
              <w:spacing w:after="0"/>
            </w:pPr>
            <w:r>
              <w:rPr>
                <w:rFonts w:ascii="Calibri" w:hAnsi="Calibri"/>
                <w:b/>
                <w:i w:val="0"/>
                <w:color w:val="0F2942"/>
                <w:sz w:val="17"/>
              </w:rPr>
              <w:t>Total group revenue</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6,195,613</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10,101,570</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13,013,431</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15,511,230</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19,022,538</w:t>
            </w:r>
          </w:p>
        </w:tc>
      </w:tr>
    </w:tbl>
    <w:p>
      <w:pPr>
        <w:spacing w:after="40"/>
      </w:pPr>
    </w:p>
    <w:p>
      <w:pPr>
        <w:jc w:val="center"/>
      </w:pPr>
      <w:r>
        <w:drawing>
          <wp:inline xmlns:a="http://schemas.openxmlformats.org/drawingml/2006/main" xmlns:pic="http://schemas.openxmlformats.org/drawingml/2006/picture">
            <wp:extent cx="5394960" cy="3209180"/>
            <wp:docPr id="4" name="Picture 4"/>
            <wp:cNvGraphicFramePr>
              <a:graphicFrameLocks noChangeAspect="1"/>
            </wp:cNvGraphicFramePr>
            <a:graphic>
              <a:graphicData uri="http://schemas.openxmlformats.org/drawingml/2006/picture">
                <pic:pic>
                  <pic:nvPicPr>
                    <pic:cNvPr id="0" name="revenue_by_market.png"/>
                    <pic:cNvPicPr/>
                  </pic:nvPicPr>
                  <pic:blipFill>
                    <a:blip r:embed="rId13"/>
                    <a:stretch>
                      <a:fillRect/>
                    </a:stretch>
                  </pic:blipFill>
                  <pic:spPr>
                    <a:xfrm>
                      <a:off x="0" y="0"/>
                      <a:ext cx="5394960" cy="3209180"/>
                    </a:xfrm>
                    <a:prstGeom prst="rect"/>
                  </pic:spPr>
                </pic:pic>
              </a:graphicData>
            </a:graphic>
          </wp:inline>
        </w:drawing>
      </w:r>
    </w:p>
    <w:p>
      <w:pPr>
        <w:jc w:val="center"/>
      </w:pPr>
      <w:r>
        <w:drawing>
          <wp:inline xmlns:a="http://schemas.openxmlformats.org/drawingml/2006/main" xmlns:pic="http://schemas.openxmlformats.org/drawingml/2006/picture">
            <wp:extent cx="5394960" cy="3004842"/>
            <wp:docPr id="5" name="Picture 5"/>
            <wp:cNvGraphicFramePr>
              <a:graphicFrameLocks noChangeAspect="1"/>
            </wp:cNvGraphicFramePr>
            <a:graphic>
              <a:graphicData uri="http://schemas.openxmlformats.org/drawingml/2006/picture">
                <pic:pic>
                  <pic:nvPicPr>
                    <pic:cNvPr id="0" name="containers.png"/>
                    <pic:cNvPicPr/>
                  </pic:nvPicPr>
                  <pic:blipFill>
                    <a:blip r:embed="rId14"/>
                    <a:stretch>
                      <a:fillRect/>
                    </a:stretch>
                  </pic:blipFill>
                  <pic:spPr>
                    <a:xfrm>
                      <a:off x="0" y="0"/>
                      <a:ext cx="5394960" cy="3004842"/>
                    </a:xfrm>
                    <a:prstGeom prst="rect"/>
                  </pic:spPr>
                </pic:pic>
              </a:graphicData>
            </a:graphic>
          </wp:inline>
        </w:drawing>
      </w:r>
    </w:p>
    <w:p>
      <w:r>
        <w:br w:type="page"/>
      </w:r>
    </w:p>
    <w:p>
      <w:pPr>
        <w:keepNext/>
        <w:spacing w:before="220" w:after="80"/>
      </w:pPr>
      <w:r>
        <w:rPr>
          <w:rFonts w:ascii="Calibri" w:hAnsi="Calibri"/>
          <w:b/>
          <w:i w:val="0"/>
          <w:color w:val="0F6E6A"/>
          <w:sz w:val="24"/>
        </w:rPr>
        <w:t>6.3  Year 1 — monthly profitability and cash</w:t>
      </w:r>
    </w:p>
    <w:p>
      <w:pPr>
        <w:spacing w:after="120" w:before="0"/>
      </w:pPr>
      <w:r>
        <w:rPr>
          <w:rFonts w:ascii="Calibri" w:hAnsi="Calibri"/>
          <w:b w:val="0"/>
          <w:i w:val="0"/>
          <w:color w:val="1A1A19"/>
          <w:sz w:val="21"/>
        </w:rPr>
        <w:t>Year 1 is modelled month-by-month in the workbook. Egypt revenue ramps from the operating showroom in August to a two-showroom, ten-dealer run-rate by summer; Sudan orders land in alternate months from January; Algeria's first LC orders ship from March. Operating and cumulative break-even both arrive in Month 6 (January 2027), and Year-1 net profit of USD 1,031,391 already exceeds the full raise.</w:t>
      </w:r>
    </w:p>
    <w:p>
      <w:pPr>
        <w:jc w:val="center"/>
      </w:pPr>
      <w:r>
        <w:drawing>
          <wp:inline xmlns:a="http://schemas.openxmlformats.org/drawingml/2006/main" xmlns:pic="http://schemas.openxmlformats.org/drawingml/2006/picture">
            <wp:extent cx="5486400" cy="2947345"/>
            <wp:docPr id="6" name="Picture 6"/>
            <wp:cNvGraphicFramePr>
              <a:graphicFrameLocks noChangeAspect="1"/>
            </wp:cNvGraphicFramePr>
            <a:graphic>
              <a:graphicData uri="http://schemas.openxmlformats.org/drawingml/2006/picture">
                <pic:pic>
                  <pic:nvPicPr>
                    <pic:cNvPr id="0" name="y1_cash.png"/>
                    <pic:cNvPicPr/>
                  </pic:nvPicPr>
                  <pic:blipFill>
                    <a:blip r:embed="rId15"/>
                    <a:stretch>
                      <a:fillRect/>
                    </a:stretch>
                  </pic:blipFill>
                  <pic:spPr>
                    <a:xfrm>
                      <a:off x="0" y="0"/>
                      <a:ext cx="5486400" cy="2947345"/>
                    </a:xfrm>
                    <a:prstGeom prst="rect"/>
                  </pic:spPr>
                </pic:pic>
              </a:graphicData>
            </a:graphic>
          </wp:inline>
        </w:drawing>
      </w:r>
    </w:p>
    <w:p>
      <w:pPr>
        <w:spacing w:after="200" w:before="0"/>
        <w:jc w:val="center"/>
      </w:pPr>
      <w:r>
        <w:rPr>
          <w:rFonts w:ascii="Calibri" w:hAnsi="Calibri"/>
          <w:b w:val="0"/>
          <w:i/>
          <w:color w:val="5C5B57"/>
          <w:sz w:val="17"/>
        </w:rPr>
        <w:t>Minimum cash USD 96,046 (Jan-27); Year-1 ending cash USD 2,021,553.</w:t>
      </w:r>
    </w:p>
    <w:p>
      <w:pPr>
        <w:keepNext/>
        <w:spacing w:before="220" w:after="80"/>
      </w:pPr>
      <w:r>
        <w:rPr>
          <w:rFonts w:ascii="Calibri" w:hAnsi="Calibri"/>
          <w:b/>
          <w:i w:val="0"/>
          <w:color w:val="0F6E6A"/>
          <w:sz w:val="24"/>
        </w:rPr>
        <w:t>6.4  Five-year cash flow</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608"/>
        <w:gridCol w:w="1608"/>
        <w:gridCol w:w="1608"/>
        <w:gridCol w:w="1608"/>
        <w:gridCol w:w="1608"/>
        <w:gridCol w:w="1608"/>
      </w:tblGrid>
      <w:tr>
        <w:tc>
          <w:tcPr>
            <w:tcW w:type="dxa" w:w="3096"/>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1</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2</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3</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4</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Year 5</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Customer collections</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5,587,787</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10,449,448</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12,961,442</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15,448,843</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18,947,673</w:t>
            </w:r>
          </w:p>
        </w:tc>
      </w:tr>
      <w:tr>
        <w:tc>
          <w:tcPr>
            <w:tcW w:type="dxa" w:w="3096"/>
            <w:tcMar>
              <w:top w:w="60" w:type="dxa"/>
              <w:bottom w:w="60" w:type="dxa"/>
              <w:start w:w="110" w:type="dxa"/>
              <w:end w:w="110" w:type="dxa"/>
            </w:tcMar>
            <w:shd w:val="clear" w:color="auto" w:fill="F5F7F9"/>
          </w:tcPr>
          <w:p>
            <w:pPr>
              <w:spacing w:after="0"/>
            </w:pPr>
            <w:r>
              <w:rPr>
                <w:rFonts w:ascii="Calibri" w:hAnsi="Calibri"/>
                <w:b w:val="0"/>
                <w:i w:val="0"/>
                <w:color w:val="1A1A19"/>
                <w:sz w:val="17"/>
              </w:rPr>
              <w:t>Investor capital (T1 + T2)</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1,000,000</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Supplier &amp; inventory payments</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(3,738,413)</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(6,689,517)</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(8,352,455)</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(9,953,846)</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(12,214,105)</w:t>
            </w:r>
          </w:p>
        </w:tc>
      </w:tr>
      <w:tr>
        <w:tc>
          <w:tcPr>
            <w:tcW w:type="dxa" w:w="3096"/>
            <w:tcMar>
              <w:top w:w="60" w:type="dxa"/>
              <w:bottom w:w="60" w:type="dxa"/>
              <w:start w:w="110" w:type="dxa"/>
              <w:end w:w="110" w:type="dxa"/>
            </w:tcMar>
            <w:shd w:val="clear" w:color="auto" w:fill="F5F7F9"/>
          </w:tcPr>
          <w:p>
            <w:pPr>
              <w:spacing w:after="0"/>
            </w:pPr>
            <w:r>
              <w:rPr>
                <w:rFonts w:ascii="Calibri" w:hAnsi="Calibri"/>
                <w:b w:val="0"/>
                <w:i w:val="0"/>
                <w:color w:val="1A1A19"/>
                <w:sz w:val="17"/>
              </w:rPr>
              <w:t>Operating expenses (cash)</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(827,821)</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(965,528)</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(1,225,590)</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(1,530,096)</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(2,008,137)</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Tax paid (prior year, arrears)</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(299,436)</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(554,474)</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(719,503)</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(842,026)</w:t>
            </w:r>
          </w:p>
        </w:tc>
      </w:tr>
      <w:tr>
        <w:tc>
          <w:tcPr>
            <w:tcW w:type="dxa" w:w="3096"/>
            <w:tcMar>
              <w:top w:w="60" w:type="dxa"/>
              <w:bottom w:w="60" w:type="dxa"/>
              <w:start w:w="110" w:type="dxa"/>
              <w:end w:w="110" w:type="dxa"/>
            </w:tcMar>
            <w:shd w:val="clear" w:color="auto" w:fill="F5F7F9"/>
          </w:tcPr>
          <w:p>
            <w:pPr>
              <w:spacing w:after="0"/>
            </w:pPr>
            <w:r>
              <w:rPr>
                <w:rFonts w:ascii="Calibri" w:hAnsi="Calibri"/>
                <w:b w:val="0"/>
                <w:i w:val="0"/>
                <w:color w:val="1A1A19"/>
                <w:sz w:val="17"/>
              </w:rPr>
              <w:t>Dividends (100% of prior-year profit)</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(1,031,391)</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(1,909,854)</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(2,478,290)</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(2,900,311)</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Capex</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(25,000)</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(30,000)</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(35,000)</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7"/>
              </w:rPr>
              <w:t>(40,000)</w:t>
            </w:r>
          </w:p>
        </w:tc>
      </w:tr>
      <w:tr>
        <w:tc>
          <w:tcPr>
            <w:tcW w:type="dxa" w:w="3096"/>
            <w:tcMar>
              <w:top w:w="60" w:type="dxa"/>
              <w:bottom w:w="60" w:type="dxa"/>
              <w:start w:w="110" w:type="dxa"/>
              <w:end w:w="110" w:type="dxa"/>
            </w:tcMar>
            <w:shd w:val="clear" w:color="auto" w:fill="F5F7F9"/>
          </w:tcPr>
          <w:p>
            <w:pPr>
              <w:spacing w:after="0"/>
            </w:pPr>
            <w:r>
              <w:rPr>
                <w:rFonts w:ascii="Calibri" w:hAnsi="Calibri"/>
                <w:b w:val="0"/>
                <w:i w:val="0"/>
                <w:color w:val="1A1A19"/>
                <w:sz w:val="17"/>
              </w:rPr>
              <w:t>Net annual cash flow</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2,021,553</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1,438,576</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889,070</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732,108</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943,094</w:t>
            </w:r>
          </w:p>
        </w:tc>
      </w:tr>
      <w:tr>
        <w:tc>
          <w:tcPr>
            <w:tcW w:type="dxa" w:w="3096"/>
            <w:tcMar>
              <w:top w:w="60" w:type="dxa"/>
              <w:bottom w:w="60" w:type="dxa"/>
              <w:start w:w="110" w:type="dxa"/>
              <w:end w:w="110" w:type="dxa"/>
            </w:tcMar>
            <w:shd w:val="clear" w:color="auto" w:fill="E9EDF0"/>
          </w:tcPr>
          <w:p>
            <w:pPr>
              <w:spacing w:after="0"/>
            </w:pPr>
            <w:r>
              <w:rPr>
                <w:rFonts w:ascii="Calibri" w:hAnsi="Calibri"/>
                <w:b/>
                <w:i w:val="0"/>
                <w:color w:val="0F2942"/>
                <w:sz w:val="17"/>
              </w:rPr>
              <w:t>Closing cash position</w:t>
            </w:r>
          </w:p>
        </w:tc>
        <w:tc>
          <w:tcPr>
            <w:tcW w:type="dxa" w:w="1440"/>
            <w:tcMar>
              <w:top w:w="60" w:type="dxa"/>
              <w:bottom w:w="60" w:type="dxa"/>
              <w:start w:w="110" w:type="dxa"/>
              <w:end w:w="110" w:type="dxa"/>
            </w:tcMar>
            <w:shd w:val="clear" w:color="auto" w:fill="E9EDF0"/>
          </w:tcPr>
          <w:p>
            <w:pPr>
              <w:spacing w:after="0"/>
              <w:jc w:val="right"/>
            </w:pPr>
            <w:r>
              <w:rPr>
                <w:rFonts w:ascii="Calibri" w:hAnsi="Calibri"/>
                <w:b/>
                <w:i w:val="0"/>
                <w:color w:val="0F2942"/>
                <w:sz w:val="17"/>
              </w:rPr>
              <w:t>2,021,553</w:t>
            </w:r>
          </w:p>
        </w:tc>
        <w:tc>
          <w:tcPr>
            <w:tcW w:type="dxa" w:w="1440"/>
            <w:tcMar>
              <w:top w:w="60" w:type="dxa"/>
              <w:bottom w:w="60" w:type="dxa"/>
              <w:start w:w="110" w:type="dxa"/>
              <w:end w:w="110" w:type="dxa"/>
            </w:tcMar>
            <w:shd w:val="clear" w:color="auto" w:fill="E9EDF0"/>
          </w:tcPr>
          <w:p>
            <w:pPr>
              <w:spacing w:after="0"/>
              <w:jc w:val="right"/>
            </w:pPr>
            <w:r>
              <w:rPr>
                <w:rFonts w:ascii="Calibri" w:hAnsi="Calibri"/>
                <w:b/>
                <w:i w:val="0"/>
                <w:color w:val="0F2942"/>
                <w:sz w:val="17"/>
              </w:rPr>
              <w:t>3,460,129</w:t>
            </w:r>
          </w:p>
        </w:tc>
        <w:tc>
          <w:tcPr>
            <w:tcW w:type="dxa" w:w="1440"/>
            <w:tcMar>
              <w:top w:w="60" w:type="dxa"/>
              <w:bottom w:w="60" w:type="dxa"/>
              <w:start w:w="110" w:type="dxa"/>
              <w:end w:w="110" w:type="dxa"/>
            </w:tcMar>
            <w:shd w:val="clear" w:color="auto" w:fill="E9EDF0"/>
          </w:tcPr>
          <w:p>
            <w:pPr>
              <w:spacing w:after="0"/>
              <w:jc w:val="right"/>
            </w:pPr>
            <w:r>
              <w:rPr>
                <w:rFonts w:ascii="Calibri" w:hAnsi="Calibri"/>
                <w:b/>
                <w:i w:val="0"/>
                <w:color w:val="0F2942"/>
                <w:sz w:val="17"/>
              </w:rPr>
              <w:t>4,349,199</w:t>
            </w:r>
          </w:p>
        </w:tc>
        <w:tc>
          <w:tcPr>
            <w:tcW w:type="dxa" w:w="1440"/>
            <w:tcMar>
              <w:top w:w="60" w:type="dxa"/>
              <w:bottom w:w="60" w:type="dxa"/>
              <w:start w:w="110" w:type="dxa"/>
              <w:end w:w="110" w:type="dxa"/>
            </w:tcMar>
            <w:shd w:val="clear" w:color="auto" w:fill="E9EDF0"/>
          </w:tcPr>
          <w:p>
            <w:pPr>
              <w:spacing w:after="0"/>
              <w:jc w:val="right"/>
            </w:pPr>
            <w:r>
              <w:rPr>
                <w:rFonts w:ascii="Calibri" w:hAnsi="Calibri"/>
                <w:b/>
                <w:i w:val="0"/>
                <w:color w:val="0F2942"/>
                <w:sz w:val="17"/>
              </w:rPr>
              <w:t>5,081,307</w:t>
            </w:r>
          </w:p>
        </w:tc>
        <w:tc>
          <w:tcPr>
            <w:tcW w:type="dxa" w:w="1440"/>
            <w:tcMar>
              <w:top w:w="60" w:type="dxa"/>
              <w:bottom w:w="60" w:type="dxa"/>
              <w:start w:w="110" w:type="dxa"/>
              <w:end w:w="110" w:type="dxa"/>
            </w:tcMar>
            <w:shd w:val="clear" w:color="auto" w:fill="E9EDF0"/>
          </w:tcPr>
          <w:p>
            <w:pPr>
              <w:spacing w:after="0"/>
              <w:jc w:val="right"/>
            </w:pPr>
            <w:r>
              <w:rPr>
                <w:rFonts w:ascii="Calibri" w:hAnsi="Calibri"/>
                <w:b/>
                <w:i w:val="0"/>
                <w:color w:val="0F2942"/>
                <w:sz w:val="17"/>
              </w:rPr>
              <w:t>6,024,401</w:t>
            </w:r>
          </w:p>
        </w:tc>
      </w:tr>
    </w:tbl>
    <w:p>
      <w:pPr>
        <w:spacing w:after="40"/>
      </w:pP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Credit-powered growth — </w:t>
      </w:r>
      <w:r>
        <w:rPr>
          <w:rFonts w:ascii="Calibri" w:hAnsi="Calibri"/>
          <w:b w:val="0"/>
          <w:i w:val="0"/>
          <w:color w:val="1A1A19"/>
          <w:sz w:val="21"/>
        </w:rPr>
        <w:t>Sinosure-backed supplier credit (10% down + 90% at 3-month credit) carries ~22.5% of each year's Vestwoods purchases into the next year. Closing cash rises every year even while distributing 100% of profits — no capital call after Tranche 2.</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Risk stated plainly — </w:t>
      </w:r>
      <w:r>
        <w:rPr>
          <w:rFonts w:ascii="Calibri" w:hAnsi="Calibri"/>
          <w:b w:val="0"/>
          <w:i w:val="0"/>
          <w:color w:val="1A1A19"/>
          <w:sz w:val="21"/>
        </w:rPr>
        <w:t>Year 1 depends on the raise: the peak self-funded deficit is USD 903,954 in January 2027, and minimum cash with the raise is USD 96,046 — a thin buffer that the optional accelerator widens. This is a working-capital risk, not a demand risk.</w:t>
      </w:r>
    </w:p>
    <w:p>
      <w:r>
        <w:br w:type="page"/>
      </w:r>
    </w:p>
    <w:p>
      <w:pPr>
        <w:keepNext/>
        <w:spacing w:before="320" w:after="160"/>
        <w:pBdr>
          <w:bottom w:val="single" w:sz="6" w:space="4" w:color="0F2942"/>
        </w:pBdr>
      </w:pPr>
      <w:r>
        <w:rPr>
          <w:rFonts w:ascii="Calibri" w:hAnsi="Calibri"/>
          <w:b/>
          <w:i w:val="0"/>
          <w:color w:val="C8892A"/>
          <w:sz w:val="30"/>
        </w:rPr>
        <w:t xml:space="preserve">7   </w:t>
      </w:r>
      <w:r>
        <w:rPr>
          <w:rFonts w:ascii="Calibri" w:hAnsi="Calibri"/>
          <w:b/>
          <w:i w:val="0"/>
          <w:color w:val="0F2942"/>
          <w:sz w:val="30"/>
        </w:rPr>
        <w:t>Staffing Plan</w:t>
      </w:r>
    </w:p>
    <w:p>
      <w:pPr>
        <w:spacing w:after="160" w:before="0"/>
      </w:pPr>
      <w:r>
        <w:rPr>
          <w:rFonts w:ascii="Calibri" w:hAnsi="Calibri"/>
          <w:b w:val="0"/>
          <w:i w:val="0"/>
          <w:color w:val="1A1A19"/>
          <w:sz w:val="21"/>
        </w:rPr>
        <w:t>Institutional management from day one, shared across both divisions: CEO, Financial Manager and Operations Manager in Month 1, Sales Manager in Month 2, Marketing and HR in Month 3. Two showroom managers run 6th October and New Cairo. Headcount reaches 21 by Month 12 and 55 by Year 5. Sales staff earn salary plus 4% commission on Egypt sales across both divisions; social insurance at 15% of base is included.</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6192"/>
            <w:shd w:val="clear" w:color="auto" w:fill="0F2942"/>
            <w:tcMar>
              <w:top w:w="60" w:type="dxa"/>
              <w:bottom w:w="60" w:type="dxa"/>
              <w:start w:w="110" w:type="dxa"/>
              <w:end w:w="110" w:type="dxa"/>
            </w:tcMar>
          </w:tcPr>
          <w:p>
            <w:pPr>
              <w:spacing w:after="0"/>
            </w:pPr>
            <w:r>
              <w:rPr>
                <w:rFonts w:ascii="Calibri" w:hAnsi="Calibri"/>
                <w:b/>
                <w:i w:val="0"/>
                <w:color w:val="FFFFFF"/>
                <w:sz w:val="18"/>
              </w:rPr>
              <w:t>Year &amp; additions</w:t>
            </w:r>
          </w:p>
        </w:tc>
        <w:tc>
          <w:tcPr>
            <w:tcW w:type="dxa" w:w="1440"/>
            <w:shd w:val="clear" w:color="auto" w:fill="0F2942"/>
            <w:tcMar>
              <w:top w:w="60" w:type="dxa"/>
              <w:bottom w:w="60" w:type="dxa"/>
              <w:start w:w="110" w:type="dxa"/>
              <w:end w:w="110" w:type="dxa"/>
            </w:tcMar>
          </w:tcPr>
          <w:p>
            <w:pPr>
              <w:spacing w:after="0"/>
              <w:jc w:val="right"/>
            </w:pPr>
            <w:r>
              <w:rPr>
                <w:rFonts w:ascii="Calibri" w:hAnsi="Calibri"/>
                <w:b/>
                <w:i w:val="0"/>
                <w:color w:val="FFFFFF"/>
                <w:sz w:val="18"/>
              </w:rPr>
              <w:t>Headcount</w:t>
            </w:r>
          </w:p>
        </w:tc>
        <w:tc>
          <w:tcPr>
            <w:tcW w:type="dxa" w:w="2304"/>
            <w:shd w:val="clear" w:color="auto" w:fill="0F2942"/>
            <w:tcMar>
              <w:top w:w="60" w:type="dxa"/>
              <w:bottom w:w="60" w:type="dxa"/>
              <w:start w:w="110" w:type="dxa"/>
              <w:end w:w="110" w:type="dxa"/>
            </w:tcMar>
          </w:tcPr>
          <w:p>
            <w:pPr>
              <w:spacing w:after="0"/>
              <w:jc w:val="right"/>
            </w:pPr>
            <w:r>
              <w:rPr>
                <w:rFonts w:ascii="Calibri" w:hAnsi="Calibri"/>
                <w:b/>
                <w:i w:val="0"/>
                <w:color w:val="FFFFFF"/>
                <w:sz w:val="18"/>
              </w:rPr>
              <w:t>Personnel cost (USD)</w:t>
            </w:r>
          </w:p>
        </w:tc>
      </w:tr>
      <w:tr>
        <w:tc>
          <w:tcPr>
            <w:tcW w:type="dxa" w:w="6192"/>
            <w:tcMar>
              <w:top w:w="60" w:type="dxa"/>
              <w:bottom w:w="60" w:type="dxa"/>
              <w:start w:w="110" w:type="dxa"/>
              <w:end w:w="110" w:type="dxa"/>
            </w:tcMar>
          </w:tcPr>
          <w:p>
            <w:pPr>
              <w:spacing w:after="0"/>
            </w:pPr>
            <w:r>
              <w:rPr>
                <w:rFonts w:ascii="Calibri" w:hAnsi="Calibri"/>
                <w:b w:val="0"/>
                <w:i w:val="0"/>
                <w:color w:val="1A1A19"/>
                <w:sz w:val="18"/>
              </w:rPr>
              <w:t>Year 1 — launch team (CEO, managers, 2 showrooms, warehouse, 4 sales, drivers)</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21</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8"/>
              </w:rPr>
              <w:t>513,321</w:t>
            </w:r>
          </w:p>
        </w:tc>
      </w:tr>
      <w:tr>
        <w:tc>
          <w:tcPr>
            <w:tcW w:type="dxa" w:w="6192"/>
            <w:tcMar>
              <w:top w:w="60" w:type="dxa"/>
              <w:bottom w:w="60" w:type="dxa"/>
              <w:start w:w="110" w:type="dxa"/>
              <w:end w:w="110" w:type="dxa"/>
            </w:tcMar>
            <w:shd w:val="clear" w:color="auto" w:fill="F5F7F9"/>
          </w:tcPr>
          <w:p>
            <w:pPr>
              <w:spacing w:after="0"/>
            </w:pPr>
            <w:r>
              <w:rPr>
                <w:rFonts w:ascii="Calibri" w:hAnsi="Calibri"/>
                <w:b w:val="0"/>
                <w:i w:val="0"/>
                <w:color w:val="1A1A19"/>
                <w:sz w:val="18"/>
              </w:rPr>
              <w:t>Year 2 — + logistics coordinator, customer service, technical specialist, 2 sales</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26</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660,328</w:t>
            </w:r>
          </w:p>
        </w:tc>
      </w:tr>
      <w:tr>
        <w:tc>
          <w:tcPr>
            <w:tcW w:type="dxa" w:w="6192"/>
            <w:tcMar>
              <w:top w:w="60" w:type="dxa"/>
              <w:bottom w:w="60" w:type="dxa"/>
              <w:start w:w="110" w:type="dxa"/>
              <w:end w:w="110" w:type="dxa"/>
            </w:tcMar>
          </w:tcPr>
          <w:p>
            <w:pPr>
              <w:spacing w:after="0"/>
            </w:pPr>
            <w:r>
              <w:rPr>
                <w:rFonts w:ascii="Calibri" w:hAnsi="Calibri"/>
                <w:b w:val="0"/>
                <w:i w:val="0"/>
                <w:color w:val="1A1A19"/>
                <w:sz w:val="18"/>
              </w:rPr>
              <w:t>Year 3 — + Alexandria branch, installation engineers, analysts</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35</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8"/>
              </w:rPr>
              <w:t>840,590</w:t>
            </w:r>
          </w:p>
        </w:tc>
      </w:tr>
      <w:tr>
        <w:tc>
          <w:tcPr>
            <w:tcW w:type="dxa" w:w="6192"/>
            <w:tcMar>
              <w:top w:w="60" w:type="dxa"/>
              <w:bottom w:w="60" w:type="dxa"/>
              <w:start w:w="110" w:type="dxa"/>
              <w:end w:w="110" w:type="dxa"/>
            </w:tcMar>
            <w:shd w:val="clear" w:color="auto" w:fill="F5F7F9"/>
          </w:tcPr>
          <w:p>
            <w:pPr>
              <w:spacing w:after="0"/>
            </w:pPr>
            <w:r>
              <w:rPr>
                <w:rFonts w:ascii="Calibri" w:hAnsi="Calibri"/>
                <w:b w:val="0"/>
                <w:i w:val="0"/>
                <w:color w:val="1A1A19"/>
                <w:sz w:val="18"/>
              </w:rPr>
              <w:t>Year 4 — + B2G/tenders, C&amp;I sales desk, IT/CRM, Sudan coordinator</w:t>
            </w:r>
          </w:p>
        </w:tc>
        <w:tc>
          <w:tcPr>
            <w:tcW w:type="dxa" w:w="1440"/>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44</w:t>
            </w:r>
          </w:p>
        </w:tc>
        <w:tc>
          <w:tcPr>
            <w:tcW w:type="dxa" w:w="2304"/>
            <w:tcMar>
              <w:top w:w="60" w:type="dxa"/>
              <w:bottom w:w="60" w:type="dxa"/>
              <w:start w:w="110" w:type="dxa"/>
              <w:end w:w="110" w:type="dxa"/>
            </w:tcMar>
            <w:shd w:val="clear" w:color="auto" w:fill="F5F7F9"/>
          </w:tcPr>
          <w:p>
            <w:pPr>
              <w:spacing w:after="0"/>
              <w:jc w:val="right"/>
            </w:pPr>
            <w:r>
              <w:rPr>
                <w:rFonts w:ascii="Calibri" w:hAnsi="Calibri"/>
                <w:b w:val="0"/>
                <w:i w:val="0"/>
                <w:color w:val="1A1A19"/>
                <w:sz w:val="18"/>
              </w:rPr>
              <w:t>1,025,096</w:t>
            </w:r>
          </w:p>
        </w:tc>
      </w:tr>
      <w:tr>
        <w:tc>
          <w:tcPr>
            <w:tcW w:type="dxa" w:w="6192"/>
            <w:tcMar>
              <w:top w:w="60" w:type="dxa"/>
              <w:bottom w:w="60" w:type="dxa"/>
              <w:start w:w="110" w:type="dxa"/>
              <w:end w:w="110" w:type="dxa"/>
            </w:tcMar>
          </w:tcPr>
          <w:p>
            <w:pPr>
              <w:spacing w:after="0"/>
            </w:pPr>
            <w:r>
              <w:rPr>
                <w:rFonts w:ascii="Calibri" w:hAnsi="Calibri"/>
                <w:b w:val="0"/>
                <w:i w:val="0"/>
                <w:color w:val="1A1A19"/>
                <w:sz w:val="18"/>
              </w:rPr>
              <w:t>Year 5 — + Libya market manager, field engineers, compliance (senior raises applied)</w:t>
            </w:r>
          </w:p>
        </w:tc>
        <w:tc>
          <w:tcPr>
            <w:tcW w:type="dxa" w:w="1440"/>
            <w:tcMar>
              <w:top w:w="60" w:type="dxa"/>
              <w:bottom w:w="60" w:type="dxa"/>
              <w:start w:w="110" w:type="dxa"/>
              <w:end w:w="110" w:type="dxa"/>
            </w:tcMar>
          </w:tcPr>
          <w:p>
            <w:pPr>
              <w:spacing w:after="0"/>
              <w:jc w:val="right"/>
            </w:pPr>
            <w:r>
              <w:rPr>
                <w:rFonts w:ascii="Calibri" w:hAnsi="Calibri"/>
                <w:b w:val="0"/>
                <w:i w:val="0"/>
                <w:color w:val="1A1A19"/>
                <w:sz w:val="18"/>
              </w:rPr>
              <w:t>55</w:t>
            </w:r>
          </w:p>
        </w:tc>
        <w:tc>
          <w:tcPr>
            <w:tcW w:type="dxa" w:w="2304"/>
            <w:tcMar>
              <w:top w:w="60" w:type="dxa"/>
              <w:bottom w:w="60" w:type="dxa"/>
              <w:start w:w="110" w:type="dxa"/>
              <w:end w:w="110" w:type="dxa"/>
            </w:tcMar>
          </w:tcPr>
          <w:p>
            <w:pPr>
              <w:spacing w:after="0"/>
              <w:jc w:val="right"/>
            </w:pPr>
            <w:r>
              <w:rPr>
                <w:rFonts w:ascii="Calibri" w:hAnsi="Calibri"/>
                <w:b w:val="0"/>
                <w:i w:val="0"/>
                <w:color w:val="1A1A19"/>
                <w:sz w:val="18"/>
              </w:rPr>
              <w:t>1,368,137</w:t>
            </w:r>
          </w:p>
        </w:tc>
      </w:tr>
    </w:tbl>
    <w:p>
      <w:pPr>
        <w:spacing w:after="40"/>
      </w:pPr>
    </w:p>
    <w:p>
      <w:pPr>
        <w:spacing w:after="120" w:before="0"/>
      </w:pPr>
      <w:r>
        <w:rPr>
          <w:rFonts w:ascii="Calibri" w:hAnsi="Calibri"/>
          <w:b w:val="0"/>
          <w:i/>
          <w:color w:val="5C5B57"/>
          <w:sz w:val="18"/>
        </w:rPr>
        <w:t>Full role-by-role rosters with salaries and start months are in the Staff Plan sheet of the companion workbook.</w:t>
      </w:r>
    </w:p>
    <w:p>
      <w:pPr>
        <w:keepNext/>
        <w:spacing w:before="320" w:after="160"/>
        <w:pBdr>
          <w:bottom w:val="single" w:sz="6" w:space="4" w:color="0F2942"/>
        </w:pBdr>
      </w:pPr>
      <w:r>
        <w:rPr>
          <w:rFonts w:ascii="Calibri" w:hAnsi="Calibri"/>
          <w:b/>
          <w:i w:val="0"/>
          <w:color w:val="C8892A"/>
          <w:sz w:val="30"/>
        </w:rPr>
        <w:t xml:space="preserve">8   </w:t>
      </w:r>
      <w:r>
        <w:rPr>
          <w:rFonts w:ascii="Calibri" w:hAnsi="Calibri"/>
          <w:b/>
          <w:i w:val="0"/>
          <w:color w:val="0F2942"/>
          <w:sz w:val="30"/>
        </w:rPr>
        <w:t>Funding Requirements &amp; Investor Proposal</w:t>
      </w:r>
    </w:p>
    <w:p>
      <w:pPr>
        <w:keepNext/>
        <w:spacing w:before="220" w:after="80"/>
      </w:pPr>
      <w:r>
        <w:rPr>
          <w:rFonts w:ascii="Calibri" w:hAnsi="Calibri"/>
          <w:b/>
          <w:i w:val="0"/>
          <w:color w:val="0F6E6A"/>
          <w:sz w:val="24"/>
        </w:rPr>
        <w:t>8.1  The ask</w:t>
      </w:r>
    </w:p>
    <w:p>
      <w:pPr>
        <w:spacing w:after="120" w:before="0"/>
      </w:pPr>
      <w:r>
        <w:rPr>
          <w:rFonts w:ascii="Calibri" w:hAnsi="Calibri"/>
          <w:b w:val="0"/>
          <w:i w:val="0"/>
          <w:color w:val="1A1A19"/>
          <w:sz w:val="21"/>
        </w:rPr>
        <w:t>USD 1,000,000 into NORCO Egypt for 50% of its shares, released in two milestone-gated tranches of USD 500,000. An optional USD 500,000 accelerator (by mutual agreement, Months 6–12) lifts the ceiling to USD 1.5M — adding standing buffer and pulling Al Reem and Libya volumes forward.</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2412"/>
        <w:gridCol w:w="2412"/>
        <w:gridCol w:w="2412"/>
        <w:gridCol w:w="2412"/>
      </w:tblGrid>
      <w:tr>
        <w:tc>
          <w:tcPr>
            <w:tcW w:type="dxa" w:w="1944"/>
            <w:shd w:val="clear" w:color="auto" w:fill="0F2942"/>
            <w:tcMar>
              <w:top w:w="60" w:type="dxa"/>
              <w:bottom w:w="60" w:type="dxa"/>
              <w:start w:w="110" w:type="dxa"/>
              <w:end w:w="110" w:type="dxa"/>
            </w:tcMar>
          </w:tcPr>
          <w:p>
            <w:pPr>
              <w:spacing w:after="0"/>
            </w:pPr>
            <w:r>
              <w:rPr>
                <w:rFonts w:ascii="Calibri" w:hAnsi="Calibri"/>
                <w:b/>
                <w:i w:val="0"/>
                <w:color w:val="FFFFFF"/>
                <w:sz w:val="17"/>
              </w:rPr>
              <w:t>Tranche</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USD</w:t>
            </w:r>
          </w:p>
        </w:tc>
        <w:tc>
          <w:tcPr>
            <w:tcW w:type="dxa" w:w="2592"/>
            <w:shd w:val="clear" w:color="auto" w:fill="0F2942"/>
            <w:tcMar>
              <w:top w:w="60" w:type="dxa"/>
              <w:bottom w:w="60" w:type="dxa"/>
              <w:start w:w="110" w:type="dxa"/>
              <w:end w:w="110" w:type="dxa"/>
            </w:tcMar>
          </w:tcPr>
          <w:p>
            <w:pPr>
              <w:spacing w:after="0"/>
              <w:jc w:val="right"/>
            </w:pPr>
            <w:r>
              <w:rPr>
                <w:rFonts w:ascii="Calibri" w:hAnsi="Calibri"/>
                <w:b/>
                <w:i w:val="0"/>
                <w:color w:val="FFFFFF"/>
                <w:sz w:val="17"/>
              </w:rPr>
              <w:t>Timing</w:t>
            </w:r>
          </w:p>
        </w:tc>
        <w:tc>
          <w:tcPr>
            <w:tcW w:type="dxa" w:w="4176"/>
            <w:shd w:val="clear" w:color="auto" w:fill="0F2942"/>
            <w:tcMar>
              <w:top w:w="60" w:type="dxa"/>
              <w:bottom w:w="60" w:type="dxa"/>
              <w:start w:w="110" w:type="dxa"/>
              <w:end w:w="110" w:type="dxa"/>
            </w:tcMar>
          </w:tcPr>
          <w:p>
            <w:pPr>
              <w:spacing w:after="0"/>
              <w:jc w:val="right"/>
            </w:pPr>
            <w:r>
              <w:rPr>
                <w:rFonts w:ascii="Calibri" w:hAnsi="Calibri"/>
                <w:b/>
                <w:i w:val="0"/>
                <w:color w:val="FFFFFF"/>
                <w:sz w:val="17"/>
              </w:rPr>
              <w:t>Purpose / gate</w:t>
            </w:r>
          </w:p>
        </w:tc>
      </w:tr>
      <w:tr>
        <w:tc>
          <w:tcPr>
            <w:tcW w:type="dxa" w:w="1944"/>
            <w:tcMar>
              <w:top w:w="60" w:type="dxa"/>
              <w:bottom w:w="60" w:type="dxa"/>
              <w:start w:w="110" w:type="dxa"/>
              <w:end w:w="110" w:type="dxa"/>
            </w:tcMar>
          </w:tcPr>
          <w:p>
            <w:pPr>
              <w:spacing w:after="0"/>
            </w:pPr>
            <w:r>
              <w:rPr>
                <w:rFonts w:ascii="Calibri" w:hAnsi="Calibri"/>
                <w:b w:val="0"/>
                <w:i w:val="0"/>
                <w:color w:val="1A1A19"/>
                <w:sz w:val="17"/>
              </w:rPr>
              <w:t>Tranche 1 — Launch</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500,000</w:t>
            </w:r>
          </w:p>
        </w:tc>
        <w:tc>
          <w:tcPr>
            <w:tcW w:type="dxa" w:w="2592"/>
            <w:tcMar>
              <w:top w:w="60" w:type="dxa"/>
              <w:bottom w:w="60" w:type="dxa"/>
              <w:start w:w="110" w:type="dxa"/>
              <w:end w:w="110" w:type="dxa"/>
            </w:tcMar>
          </w:tcPr>
          <w:p>
            <w:pPr>
              <w:spacing w:after="0"/>
              <w:jc w:val="right"/>
            </w:pPr>
            <w:r>
              <w:rPr>
                <w:rFonts w:ascii="Calibri" w:hAnsi="Calibri"/>
                <w:b w:val="0"/>
                <w:i w:val="0"/>
                <w:color w:val="1A1A19"/>
                <w:sz w:val="17"/>
              </w:rPr>
              <w:t>Month 1 (Aug-26, at close)</w:t>
            </w:r>
          </w:p>
        </w:tc>
        <w:tc>
          <w:tcPr>
            <w:tcW w:type="dxa" w:w="4176"/>
            <w:tcMar>
              <w:top w:w="60" w:type="dxa"/>
              <w:bottom w:w="60" w:type="dxa"/>
              <w:start w:w="110" w:type="dxa"/>
              <w:end w:w="110" w:type="dxa"/>
            </w:tcMar>
          </w:tcPr>
          <w:p>
            <w:pPr>
              <w:spacing w:after="0"/>
              <w:jc w:val="right"/>
            </w:pPr>
            <w:r>
              <w:rPr>
                <w:rFonts w:ascii="Calibri" w:hAnsi="Calibri"/>
                <w:b w:val="0"/>
                <w:i w:val="0"/>
                <w:color w:val="1A1A19"/>
                <w:sz w:val="17"/>
              </w:rPr>
              <w:t>First Vestwoods containers (Sinosure credit approved), first Al Reem containers, setup, opex runway</w:t>
            </w:r>
          </w:p>
        </w:tc>
      </w:tr>
      <w:tr>
        <w:tc>
          <w:tcPr>
            <w:tcW w:type="dxa" w:w="1944"/>
            <w:tcMar>
              <w:top w:w="60" w:type="dxa"/>
              <w:bottom w:w="60" w:type="dxa"/>
              <w:start w:w="110" w:type="dxa"/>
              <w:end w:w="110" w:type="dxa"/>
            </w:tcMar>
            <w:shd w:val="clear" w:color="auto" w:fill="F5F7F9"/>
          </w:tcPr>
          <w:p>
            <w:pPr>
              <w:spacing w:after="0"/>
            </w:pPr>
            <w:r>
              <w:rPr>
                <w:rFonts w:ascii="Calibri" w:hAnsi="Calibri"/>
                <w:b w:val="0"/>
                <w:i w:val="0"/>
                <w:color w:val="1A1A19"/>
                <w:sz w:val="17"/>
              </w:rPr>
              <w:t>Tranche 2 — Scale</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500,000</w:t>
            </w:r>
          </w:p>
        </w:tc>
        <w:tc>
          <w:tcPr>
            <w:tcW w:type="dxa" w:w="259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Month 4 (Nov-26), milestone-gated</w:t>
            </w:r>
          </w:p>
        </w:tc>
        <w:tc>
          <w:tcPr>
            <w:tcW w:type="dxa" w:w="4176"/>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Released on ≥3 containers sold through + Sudan advances received; funds container waves 4–13</w:t>
            </w:r>
          </w:p>
        </w:tc>
      </w:tr>
      <w:tr>
        <w:tc>
          <w:tcPr>
            <w:tcW w:type="dxa" w:w="1944"/>
            <w:tcMar>
              <w:top w:w="60" w:type="dxa"/>
              <w:bottom w:w="60" w:type="dxa"/>
              <w:start w:w="110" w:type="dxa"/>
              <w:end w:w="110" w:type="dxa"/>
            </w:tcMar>
          </w:tcPr>
          <w:p>
            <w:pPr>
              <w:spacing w:after="0"/>
            </w:pPr>
            <w:r>
              <w:rPr>
                <w:rFonts w:ascii="Calibri" w:hAnsi="Calibri"/>
                <w:b w:val="0"/>
                <w:i w:val="0"/>
                <w:color w:val="1A1A19"/>
                <w:sz w:val="17"/>
              </w:rPr>
              <w:t>Optional accelerator</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500,000</w:t>
            </w:r>
          </w:p>
        </w:tc>
        <w:tc>
          <w:tcPr>
            <w:tcW w:type="dxa" w:w="2592"/>
            <w:tcMar>
              <w:top w:w="60" w:type="dxa"/>
              <w:bottom w:w="60" w:type="dxa"/>
              <w:start w:w="110" w:type="dxa"/>
              <w:end w:w="110" w:type="dxa"/>
            </w:tcMar>
          </w:tcPr>
          <w:p>
            <w:pPr>
              <w:spacing w:after="0"/>
              <w:jc w:val="right"/>
            </w:pPr>
            <w:r>
              <w:rPr>
                <w:rFonts w:ascii="Calibri" w:hAnsi="Calibri"/>
                <w:b w:val="0"/>
                <w:i w:val="0"/>
                <w:color w:val="1A1A19"/>
                <w:sz w:val="17"/>
              </w:rPr>
              <w:t>Months 6–12, by mutual agreement</w:t>
            </w:r>
          </w:p>
        </w:tc>
        <w:tc>
          <w:tcPr>
            <w:tcW w:type="dxa" w:w="4176"/>
            <w:tcMar>
              <w:top w:w="60" w:type="dxa"/>
              <w:bottom w:w="60" w:type="dxa"/>
              <w:start w:w="110" w:type="dxa"/>
              <w:end w:w="110" w:type="dxa"/>
            </w:tcMar>
          </w:tcPr>
          <w:p>
            <w:pPr>
              <w:spacing w:after="0"/>
              <w:jc w:val="right"/>
            </w:pPr>
            <w:r>
              <w:rPr>
                <w:rFonts w:ascii="Calibri" w:hAnsi="Calibri"/>
                <w:b w:val="0"/>
                <w:i w:val="0"/>
                <w:color w:val="1A1A19"/>
                <w:sz w:val="17"/>
              </w:rPr>
              <w:t>Buffer / faster Al Reem &amp; Libya ramp; brings total to the USD 1.5M ceiling</w:t>
            </w:r>
          </w:p>
        </w:tc>
      </w:tr>
      <w:tr>
        <w:tc>
          <w:tcPr>
            <w:tcW w:type="dxa" w:w="1944"/>
            <w:tcMar>
              <w:top w:w="60" w:type="dxa"/>
              <w:bottom w:w="60" w:type="dxa"/>
              <w:start w:w="110" w:type="dxa"/>
              <w:end w:w="110" w:type="dxa"/>
            </w:tcMar>
            <w:shd w:val="clear" w:color="auto" w:fill="E9EDF0"/>
          </w:tcPr>
          <w:p>
            <w:pPr>
              <w:spacing w:after="0"/>
            </w:pPr>
            <w:r>
              <w:rPr>
                <w:rFonts w:ascii="Calibri" w:hAnsi="Calibri"/>
                <w:b/>
                <w:i w:val="0"/>
                <w:color w:val="0F2942"/>
                <w:sz w:val="17"/>
              </w:rPr>
              <w:t>Core total (T1 + T2)</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1,000,000</w:t>
            </w:r>
          </w:p>
        </w:tc>
        <w:tc>
          <w:tcPr>
            <w:tcW w:type="dxa" w:w="2592"/>
            <w:tcMar>
              <w:top w:w="60" w:type="dxa"/>
              <w:bottom w:w="60" w:type="dxa"/>
              <w:start w:w="110" w:type="dxa"/>
              <w:end w:w="110" w:type="dxa"/>
            </w:tcMar>
            <w:shd w:val="clear" w:color="auto" w:fill="E9EDF0"/>
          </w:tcPr>
          <w:p>
            <w:pPr>
              <w:spacing w:after="0"/>
              <w:jc w:val="right"/>
            </w:pPr>
            <w:r>
              <w:rPr>
                <w:rFonts w:ascii="Calibri" w:hAnsi="Calibri"/>
                <w:b/>
                <w:i w:val="0"/>
                <w:color w:val="0F2942"/>
                <w:sz w:val="17"/>
              </w:rPr>
            </w:r>
          </w:p>
        </w:tc>
        <w:tc>
          <w:tcPr>
            <w:tcW w:type="dxa" w:w="4176"/>
            <w:tcMar>
              <w:top w:w="60" w:type="dxa"/>
              <w:bottom w:w="60" w:type="dxa"/>
              <w:start w:w="110" w:type="dxa"/>
              <w:end w:w="110" w:type="dxa"/>
            </w:tcMar>
            <w:shd w:val="clear" w:color="auto" w:fill="E9EDF0"/>
          </w:tcPr>
          <w:p>
            <w:pPr>
              <w:spacing w:after="0"/>
              <w:jc w:val="right"/>
            </w:pPr>
            <w:r>
              <w:rPr>
                <w:rFonts w:ascii="Calibri" w:hAnsi="Calibri"/>
                <w:b/>
                <w:i w:val="0"/>
                <w:color w:val="0F2942"/>
                <w:sz w:val="17"/>
              </w:rPr>
            </w:r>
          </w:p>
        </w:tc>
      </w:tr>
    </w:tbl>
    <w:p>
      <w:pPr>
        <w:spacing w:after="40"/>
      </w:pPr>
    </w:p>
    <w:p>
      <w:pPr>
        <w:jc w:val="center"/>
      </w:pPr>
      <w:r>
        <w:drawing>
          <wp:inline xmlns:a="http://schemas.openxmlformats.org/drawingml/2006/main" xmlns:pic="http://schemas.openxmlformats.org/drawingml/2006/picture">
            <wp:extent cx="4023360" cy="5223411"/>
            <wp:docPr id="7" name="Picture 7"/>
            <wp:cNvGraphicFramePr>
              <a:graphicFrameLocks noChangeAspect="1"/>
            </wp:cNvGraphicFramePr>
            <a:graphic>
              <a:graphicData uri="http://schemas.openxmlformats.org/drawingml/2006/picture">
                <pic:pic>
                  <pic:nvPicPr>
                    <pic:cNvPr id="0" name="use_of_funds.png"/>
                    <pic:cNvPicPr/>
                  </pic:nvPicPr>
                  <pic:blipFill>
                    <a:blip r:embed="rId16"/>
                    <a:stretch>
                      <a:fillRect/>
                    </a:stretch>
                  </pic:blipFill>
                  <pic:spPr>
                    <a:xfrm>
                      <a:off x="0" y="0"/>
                      <a:ext cx="4023360" cy="5223411"/>
                    </a:xfrm>
                    <a:prstGeom prst="rect"/>
                  </pic:spPr>
                </pic:pic>
              </a:graphicData>
            </a:graphic>
          </wp:inline>
        </w:drawing>
      </w:r>
    </w:p>
    <w:p>
      <w:pPr>
        <w:keepNext/>
        <w:spacing w:before="220" w:after="80"/>
      </w:pPr>
      <w:r>
        <w:rPr>
          <w:rFonts w:ascii="Calibri" w:hAnsi="Calibri"/>
          <w:b/>
          <w:i w:val="0"/>
          <w:color w:val="0F6E6A"/>
          <w:sz w:val="24"/>
        </w:rPr>
        <w:t>8.2  Investor returns</w:t>
      </w:r>
    </w:p>
    <w:p>
      <w:pPr>
        <w:spacing w:after="120" w:before="0"/>
      </w:pPr>
      <w:r>
        <w:rPr>
          <w:rFonts w:ascii="Calibri" w:hAnsi="Calibri"/>
          <w:b w:val="0"/>
          <w:i w:val="0"/>
          <w:color w:val="1A1A19"/>
          <w:sz w:val="21"/>
        </w:rPr>
        <w:t>Dividend policy: 100% of net profit distributed annually in arrears — the investor receives half of every distribution: USD 4,159,922 over the five-year window, 4.2x the capital from dividends alone (48% IRR). Valuing the retained 50% stake at 5× Year-5 net profit adds USD 8,626,433 of terminal value, lifting the total return to 12.8x (79% IRR):</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1378"/>
        <w:gridCol w:w="1378"/>
        <w:gridCol w:w="1378"/>
        <w:gridCol w:w="1378"/>
        <w:gridCol w:w="1378"/>
        <w:gridCol w:w="1378"/>
        <w:gridCol w:w="1378"/>
      </w:tblGrid>
      <w:tr>
        <w:tc>
          <w:tcPr>
            <w:tcW w:type="dxa" w:w="3096"/>
            <w:shd w:val="clear" w:color="auto" w:fill="0F2942"/>
            <w:tcMar>
              <w:top w:w="60" w:type="dxa"/>
              <w:bottom w:w="60" w:type="dxa"/>
              <w:start w:w="110" w:type="dxa"/>
              <w:end w:w="110" w:type="dxa"/>
            </w:tcMar>
          </w:tcPr>
          <w:p>
            <w:pPr>
              <w:spacing w:after="0"/>
            </w:pPr>
            <w:r>
              <w:rPr>
                <w:rFonts w:ascii="Calibri" w:hAnsi="Calibri"/>
                <w:b/>
                <w:i w:val="0"/>
                <w:color w:val="FFFFFF"/>
                <w:sz w:val="17"/>
              </w:rPr>
              <w:t>USD</w:t>
            </w:r>
          </w:p>
        </w:tc>
        <w:tc>
          <w:tcPr>
            <w:tcW w:type="dxa" w:w="1368"/>
            <w:shd w:val="clear" w:color="auto" w:fill="0F2942"/>
            <w:tcMar>
              <w:top w:w="60" w:type="dxa"/>
              <w:bottom w:w="60" w:type="dxa"/>
              <w:start w:w="110" w:type="dxa"/>
              <w:end w:w="110" w:type="dxa"/>
            </w:tcMar>
          </w:tcPr>
          <w:p>
            <w:pPr>
              <w:spacing w:after="0"/>
              <w:jc w:val="right"/>
            </w:pPr>
            <w:r>
              <w:rPr>
                <w:rFonts w:ascii="Calibri" w:hAnsi="Calibri"/>
                <w:b/>
                <w:i w:val="0"/>
                <w:color w:val="FFFFFF"/>
                <w:sz w:val="17"/>
              </w:rPr>
              <w:t>Y0</w:t>
            </w:r>
          </w:p>
        </w:tc>
        <w:tc>
          <w:tcPr>
            <w:tcW w:type="dxa" w:w="792"/>
            <w:shd w:val="clear" w:color="auto" w:fill="0F2942"/>
            <w:tcMar>
              <w:top w:w="60" w:type="dxa"/>
              <w:bottom w:w="60" w:type="dxa"/>
              <w:start w:w="110" w:type="dxa"/>
              <w:end w:w="110" w:type="dxa"/>
            </w:tcMar>
          </w:tcPr>
          <w:p>
            <w:pPr>
              <w:spacing w:after="0"/>
              <w:jc w:val="right"/>
            </w:pPr>
            <w:r>
              <w:rPr>
                <w:rFonts w:ascii="Calibri" w:hAnsi="Calibri"/>
                <w:b/>
                <w:i w:val="0"/>
                <w:color w:val="FFFFFF"/>
                <w:sz w:val="17"/>
              </w:rPr>
              <w:t>Y1</w:t>
            </w:r>
          </w:p>
        </w:tc>
        <w:tc>
          <w:tcPr>
            <w:tcW w:type="dxa" w:w="108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Y2</w:t>
            </w:r>
          </w:p>
        </w:tc>
        <w:tc>
          <w:tcPr>
            <w:tcW w:type="dxa" w:w="108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Y3</w:t>
            </w:r>
          </w:p>
        </w:tc>
        <w:tc>
          <w:tcPr>
            <w:tcW w:type="dxa" w:w="1080"/>
            <w:shd w:val="clear" w:color="auto" w:fill="0F2942"/>
            <w:tcMar>
              <w:top w:w="60" w:type="dxa"/>
              <w:bottom w:w="60" w:type="dxa"/>
              <w:start w:w="110" w:type="dxa"/>
              <w:end w:w="110" w:type="dxa"/>
            </w:tcMar>
          </w:tcPr>
          <w:p>
            <w:pPr>
              <w:spacing w:after="0"/>
              <w:jc w:val="right"/>
            </w:pPr>
            <w:r>
              <w:rPr>
                <w:rFonts w:ascii="Calibri" w:hAnsi="Calibri"/>
                <w:b/>
                <w:i w:val="0"/>
                <w:color w:val="FFFFFF"/>
                <w:sz w:val="17"/>
              </w:rPr>
              <w:t>Y4</w:t>
            </w:r>
          </w:p>
        </w:tc>
        <w:tc>
          <w:tcPr>
            <w:tcW w:type="dxa" w:w="1584"/>
            <w:shd w:val="clear" w:color="auto" w:fill="0F2942"/>
            <w:tcMar>
              <w:top w:w="60" w:type="dxa"/>
              <w:bottom w:w="60" w:type="dxa"/>
              <w:start w:w="110" w:type="dxa"/>
              <w:end w:w="110" w:type="dxa"/>
            </w:tcMar>
          </w:tcPr>
          <w:p>
            <w:pPr>
              <w:spacing w:after="0"/>
              <w:jc w:val="right"/>
            </w:pPr>
            <w:r>
              <w:rPr>
                <w:rFonts w:ascii="Calibri" w:hAnsi="Calibri"/>
                <w:b/>
                <w:i w:val="0"/>
                <w:color w:val="FFFFFF"/>
                <w:sz w:val="17"/>
              </w:rPr>
              <w:t>Y5</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Capital invested</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(1,000,000)</w:t>
            </w:r>
          </w:p>
        </w:tc>
        <w:tc>
          <w:tcPr>
            <w:tcW w:type="dxa" w:w="792"/>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584"/>
            <w:tcMar>
              <w:top w:w="60" w:type="dxa"/>
              <w:bottom w:w="60" w:type="dxa"/>
              <w:start w:w="110" w:type="dxa"/>
              <w:end w:w="110" w:type="dxa"/>
            </w:tcMar>
          </w:tcPr>
          <w:p>
            <w:pPr>
              <w:spacing w:after="0"/>
              <w:jc w:val="right"/>
            </w:pPr>
            <w:r>
              <w:rPr>
                <w:rFonts w:ascii="Calibri" w:hAnsi="Calibri"/>
                <w:b w:val="0"/>
                <w:i w:val="0"/>
                <w:color w:val="1A1A19"/>
                <w:sz w:val="17"/>
              </w:rPr>
              <w:t>—</w:t>
            </w:r>
          </w:p>
        </w:tc>
      </w:tr>
      <w:tr>
        <w:tc>
          <w:tcPr>
            <w:tcW w:type="dxa" w:w="3096"/>
            <w:tcMar>
              <w:top w:w="60" w:type="dxa"/>
              <w:bottom w:w="60" w:type="dxa"/>
              <w:start w:w="110" w:type="dxa"/>
              <w:end w:w="110" w:type="dxa"/>
            </w:tcMar>
            <w:shd w:val="clear" w:color="auto" w:fill="F5F7F9"/>
          </w:tcPr>
          <w:p>
            <w:pPr>
              <w:spacing w:after="0"/>
            </w:pPr>
            <w:r>
              <w:rPr>
                <w:rFonts w:ascii="Calibri" w:hAnsi="Calibri"/>
                <w:b w:val="0"/>
                <w:i w:val="0"/>
                <w:color w:val="1A1A19"/>
                <w:sz w:val="17"/>
              </w:rPr>
              <w:t>Dividends (50% of prior-year NP)</w:t>
            </w:r>
          </w:p>
        </w:tc>
        <w:tc>
          <w:tcPr>
            <w:tcW w:type="dxa" w:w="1368"/>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792"/>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515,695</w:t>
            </w:r>
          </w:p>
        </w:tc>
        <w:tc>
          <w:tcPr>
            <w:tcW w:type="dxa" w:w="10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954,927</w:t>
            </w:r>
          </w:p>
        </w:tc>
        <w:tc>
          <w:tcPr>
            <w:tcW w:type="dxa" w:w="1080"/>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1,239,145</w:t>
            </w:r>
          </w:p>
        </w:tc>
        <w:tc>
          <w:tcPr>
            <w:tcW w:type="dxa" w:w="1584"/>
            <w:tcMar>
              <w:top w:w="60" w:type="dxa"/>
              <w:bottom w:w="60" w:type="dxa"/>
              <w:start w:w="110" w:type="dxa"/>
              <w:end w:w="110" w:type="dxa"/>
            </w:tcMar>
            <w:shd w:val="clear" w:color="auto" w:fill="F5F7F9"/>
          </w:tcPr>
          <w:p>
            <w:pPr>
              <w:spacing w:after="0"/>
              <w:jc w:val="right"/>
            </w:pPr>
            <w:r>
              <w:rPr>
                <w:rFonts w:ascii="Calibri" w:hAnsi="Calibri"/>
                <w:b w:val="0"/>
                <w:i w:val="0"/>
                <w:color w:val="1A1A19"/>
                <w:sz w:val="17"/>
              </w:rPr>
              <w:t>1,450,155</w:t>
            </w:r>
          </w:p>
        </w:tc>
      </w:tr>
      <w:tr>
        <w:tc>
          <w:tcPr>
            <w:tcW w:type="dxa" w:w="3096"/>
            <w:tcMar>
              <w:top w:w="60" w:type="dxa"/>
              <w:bottom w:w="60" w:type="dxa"/>
              <w:start w:w="110" w:type="dxa"/>
              <w:end w:w="110" w:type="dxa"/>
            </w:tcMar>
          </w:tcPr>
          <w:p>
            <w:pPr>
              <w:spacing w:after="0"/>
            </w:pPr>
            <w:r>
              <w:rPr>
                <w:rFonts w:ascii="Calibri" w:hAnsi="Calibri"/>
                <w:b w:val="0"/>
                <w:i w:val="0"/>
                <w:color w:val="1A1A19"/>
                <w:sz w:val="17"/>
              </w:rPr>
              <w:t>Terminal value (50% × 5 × Y5 NP)</w:t>
            </w:r>
          </w:p>
        </w:tc>
        <w:tc>
          <w:tcPr>
            <w:tcW w:type="dxa" w:w="1368"/>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792"/>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080"/>
            <w:tcMar>
              <w:top w:w="60" w:type="dxa"/>
              <w:bottom w:w="60" w:type="dxa"/>
              <w:start w:w="110" w:type="dxa"/>
              <w:end w:w="110" w:type="dxa"/>
            </w:tcMar>
          </w:tcPr>
          <w:p>
            <w:pPr>
              <w:spacing w:after="0"/>
              <w:jc w:val="right"/>
            </w:pPr>
            <w:r>
              <w:rPr>
                <w:rFonts w:ascii="Calibri" w:hAnsi="Calibri"/>
                <w:b w:val="0"/>
                <w:i w:val="0"/>
                <w:color w:val="1A1A19"/>
                <w:sz w:val="17"/>
              </w:rPr>
              <w:t>—</w:t>
            </w:r>
          </w:p>
        </w:tc>
        <w:tc>
          <w:tcPr>
            <w:tcW w:type="dxa" w:w="1584"/>
            <w:tcMar>
              <w:top w:w="60" w:type="dxa"/>
              <w:bottom w:w="60" w:type="dxa"/>
              <w:start w:w="110" w:type="dxa"/>
              <w:end w:w="110" w:type="dxa"/>
            </w:tcMar>
          </w:tcPr>
          <w:p>
            <w:pPr>
              <w:spacing w:after="0"/>
              <w:jc w:val="right"/>
            </w:pPr>
            <w:r>
              <w:rPr>
                <w:rFonts w:ascii="Calibri" w:hAnsi="Calibri"/>
                <w:b w:val="0"/>
                <w:i w:val="0"/>
                <w:color w:val="1A1A19"/>
                <w:sz w:val="17"/>
              </w:rPr>
              <w:t>8,626,433</w:t>
            </w:r>
          </w:p>
        </w:tc>
      </w:tr>
      <w:tr>
        <w:tc>
          <w:tcPr>
            <w:tcW w:type="dxa" w:w="3096"/>
            <w:tcMar>
              <w:top w:w="60" w:type="dxa"/>
              <w:bottom w:w="60" w:type="dxa"/>
              <w:start w:w="110" w:type="dxa"/>
              <w:end w:w="110" w:type="dxa"/>
            </w:tcMar>
            <w:shd w:val="clear" w:color="auto" w:fill="E9EDF0"/>
          </w:tcPr>
          <w:p>
            <w:pPr>
              <w:spacing w:after="0"/>
            </w:pPr>
            <w:r>
              <w:rPr>
                <w:rFonts w:ascii="Calibri" w:hAnsi="Calibri"/>
                <w:b/>
                <w:i w:val="0"/>
                <w:color w:val="0F2942"/>
                <w:sz w:val="17"/>
              </w:rPr>
              <w:t>Net investor cash flow</w:t>
            </w:r>
          </w:p>
        </w:tc>
        <w:tc>
          <w:tcPr>
            <w:tcW w:type="dxa" w:w="1368"/>
            <w:tcMar>
              <w:top w:w="60" w:type="dxa"/>
              <w:bottom w:w="60" w:type="dxa"/>
              <w:start w:w="110" w:type="dxa"/>
              <w:end w:w="110" w:type="dxa"/>
            </w:tcMar>
            <w:shd w:val="clear" w:color="auto" w:fill="E9EDF0"/>
          </w:tcPr>
          <w:p>
            <w:pPr>
              <w:spacing w:after="0"/>
              <w:jc w:val="right"/>
            </w:pPr>
            <w:r>
              <w:rPr>
                <w:rFonts w:ascii="Calibri" w:hAnsi="Calibri"/>
                <w:b/>
                <w:i w:val="0"/>
                <w:color w:val="0F2942"/>
                <w:sz w:val="17"/>
              </w:rPr>
              <w:t>(1,000,000)</w:t>
            </w:r>
          </w:p>
        </w:tc>
        <w:tc>
          <w:tcPr>
            <w:tcW w:type="dxa" w:w="792"/>
            <w:tcMar>
              <w:top w:w="60" w:type="dxa"/>
              <w:bottom w:w="60" w:type="dxa"/>
              <w:start w:w="110" w:type="dxa"/>
              <w:end w:w="110" w:type="dxa"/>
            </w:tcMar>
            <w:shd w:val="clear" w:color="auto" w:fill="E9EDF0"/>
          </w:tcPr>
          <w:p>
            <w:pPr>
              <w:spacing w:after="0"/>
              <w:jc w:val="right"/>
            </w:pPr>
            <w:r>
              <w:rPr>
                <w:rFonts w:ascii="Calibri" w:hAnsi="Calibri"/>
                <w:b/>
                <w:i w:val="0"/>
                <w:color w:val="0F2942"/>
                <w:sz w:val="17"/>
              </w:rPr>
              <w:t>—</w:t>
            </w:r>
          </w:p>
        </w:tc>
        <w:tc>
          <w:tcPr>
            <w:tcW w:type="dxa" w:w="1080"/>
            <w:tcMar>
              <w:top w:w="60" w:type="dxa"/>
              <w:bottom w:w="60" w:type="dxa"/>
              <w:start w:w="110" w:type="dxa"/>
              <w:end w:w="110" w:type="dxa"/>
            </w:tcMar>
            <w:shd w:val="clear" w:color="auto" w:fill="E9EDF0"/>
          </w:tcPr>
          <w:p>
            <w:pPr>
              <w:spacing w:after="0"/>
              <w:jc w:val="right"/>
            </w:pPr>
            <w:r>
              <w:rPr>
                <w:rFonts w:ascii="Calibri" w:hAnsi="Calibri"/>
                <w:b/>
                <w:i w:val="0"/>
                <w:color w:val="0F2942"/>
                <w:sz w:val="17"/>
              </w:rPr>
              <w:t>515,695</w:t>
            </w:r>
          </w:p>
        </w:tc>
        <w:tc>
          <w:tcPr>
            <w:tcW w:type="dxa" w:w="1080"/>
            <w:tcMar>
              <w:top w:w="60" w:type="dxa"/>
              <w:bottom w:w="60" w:type="dxa"/>
              <w:start w:w="110" w:type="dxa"/>
              <w:end w:w="110" w:type="dxa"/>
            </w:tcMar>
            <w:shd w:val="clear" w:color="auto" w:fill="E9EDF0"/>
          </w:tcPr>
          <w:p>
            <w:pPr>
              <w:spacing w:after="0"/>
              <w:jc w:val="right"/>
            </w:pPr>
            <w:r>
              <w:rPr>
                <w:rFonts w:ascii="Calibri" w:hAnsi="Calibri"/>
                <w:b/>
                <w:i w:val="0"/>
                <w:color w:val="0F2942"/>
                <w:sz w:val="17"/>
              </w:rPr>
              <w:t>954,927</w:t>
            </w:r>
          </w:p>
        </w:tc>
        <w:tc>
          <w:tcPr>
            <w:tcW w:type="dxa" w:w="1080"/>
            <w:tcMar>
              <w:top w:w="60" w:type="dxa"/>
              <w:bottom w:w="60" w:type="dxa"/>
              <w:start w:w="110" w:type="dxa"/>
              <w:end w:w="110" w:type="dxa"/>
            </w:tcMar>
            <w:shd w:val="clear" w:color="auto" w:fill="E9EDF0"/>
          </w:tcPr>
          <w:p>
            <w:pPr>
              <w:spacing w:after="0"/>
              <w:jc w:val="right"/>
            </w:pPr>
            <w:r>
              <w:rPr>
                <w:rFonts w:ascii="Calibri" w:hAnsi="Calibri"/>
                <w:b/>
                <w:i w:val="0"/>
                <w:color w:val="0F2942"/>
                <w:sz w:val="17"/>
              </w:rPr>
              <w:t>1,239,145</w:t>
            </w:r>
          </w:p>
        </w:tc>
        <w:tc>
          <w:tcPr>
            <w:tcW w:type="dxa" w:w="1584"/>
            <w:tcMar>
              <w:top w:w="60" w:type="dxa"/>
              <w:bottom w:w="60" w:type="dxa"/>
              <w:start w:w="110" w:type="dxa"/>
              <w:end w:w="110" w:type="dxa"/>
            </w:tcMar>
            <w:shd w:val="clear" w:color="auto" w:fill="E9EDF0"/>
          </w:tcPr>
          <w:p>
            <w:pPr>
              <w:spacing w:after="0"/>
              <w:jc w:val="right"/>
            </w:pPr>
            <w:r>
              <w:rPr>
                <w:rFonts w:ascii="Calibri" w:hAnsi="Calibri"/>
                <w:b/>
                <w:i w:val="0"/>
                <w:color w:val="0F2942"/>
                <w:sz w:val="17"/>
              </w:rPr>
              <w:t>10,076,588</w:t>
            </w:r>
          </w:p>
        </w:tc>
      </w:tr>
    </w:tbl>
    <w:p>
      <w:pPr>
        <w:spacing w:after="40"/>
      </w:pPr>
    </w:p>
    <w:p>
      <w:pPr>
        <w:jc w:val="center"/>
      </w:pPr>
      <w:r>
        <w:drawing>
          <wp:inline xmlns:a="http://schemas.openxmlformats.org/drawingml/2006/main" xmlns:pic="http://schemas.openxmlformats.org/drawingml/2006/picture">
            <wp:extent cx="5486400" cy="2571004"/>
            <wp:docPr id="8" name="Picture 8"/>
            <wp:cNvGraphicFramePr>
              <a:graphicFrameLocks noChangeAspect="1"/>
            </wp:cNvGraphicFramePr>
            <a:graphic>
              <a:graphicData uri="http://schemas.openxmlformats.org/drawingml/2006/picture">
                <pic:pic>
                  <pic:nvPicPr>
                    <pic:cNvPr id="0" name="returns.png"/>
                    <pic:cNvPicPr/>
                  </pic:nvPicPr>
                  <pic:blipFill>
                    <a:blip r:embed="rId17"/>
                    <a:stretch>
                      <a:fillRect/>
                    </a:stretch>
                  </pic:blipFill>
                  <pic:spPr>
                    <a:xfrm>
                      <a:off x="0" y="0"/>
                      <a:ext cx="5486400" cy="2571004"/>
                    </a:xfrm>
                    <a:prstGeom prst="rect"/>
                  </pic:spPr>
                </pic:pic>
              </a:graphicData>
            </a:graphic>
          </wp:inline>
        </w:drawing>
      </w:r>
    </w:p>
    <w:p>
      <w:pPr>
        <w:jc w:val="center"/>
      </w:pPr>
      <w:r>
        <w:drawing>
          <wp:inline xmlns:a="http://schemas.openxmlformats.org/drawingml/2006/main" xmlns:pic="http://schemas.openxmlformats.org/drawingml/2006/picture">
            <wp:extent cx="5486400" cy="2849178"/>
            <wp:docPr id="9" name="Picture 9"/>
            <wp:cNvGraphicFramePr>
              <a:graphicFrameLocks noChangeAspect="1"/>
            </wp:cNvGraphicFramePr>
            <a:graphic>
              <a:graphicData uri="http://schemas.openxmlformats.org/drawingml/2006/picture">
                <pic:pic>
                  <pic:nvPicPr>
                    <pic:cNvPr id="0" name="cumulative_profit.png"/>
                    <pic:cNvPicPr/>
                  </pic:nvPicPr>
                  <pic:blipFill>
                    <a:blip r:embed="rId18"/>
                    <a:stretch>
                      <a:fillRect/>
                    </a:stretch>
                  </pic:blipFill>
                  <pic:spPr>
                    <a:xfrm>
                      <a:off x="0" y="0"/>
                      <a:ext cx="5486400" cy="2849178"/>
                    </a:xfrm>
                    <a:prstGeom prst="rect"/>
                  </pic:spPr>
                </pic:pic>
              </a:graphicData>
            </a:graphic>
          </wp:inline>
        </w:drawing>
      </w:r>
    </w:p>
    <w:p>
      <w:pPr>
        <w:keepNext/>
        <w:spacing w:before="220" w:after="80"/>
      </w:pPr>
      <w:r>
        <w:rPr>
          <w:rFonts w:ascii="Calibri" w:hAnsi="Calibri"/>
          <w:b/>
          <w:i w:val="0"/>
          <w:color w:val="0F6E6A"/>
          <w:sz w:val="24"/>
        </w:rPr>
        <w:t>8.3  Investor protections</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Tranche 2 released only against verified Month-4 milestones: ≥3 containers sold through and Sudan advances received.</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Quarterly management accounts from the formula-driven model; monthly cash and inventory reporting; USD books.</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Egypt customers on maximum 60-day terms; Sudan cash-before-shipment; Algeria LC only.</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Exclusive Vestwoods agency and the Al Reem (Angola) supply agreement held within the group and assignable as security.</w:t>
      </w:r>
    </w:p>
    <w:p>
      <w:pPr>
        <w:spacing w:after="80" w:line="264" w:lineRule="auto"/>
        <w:ind w:left="403"/>
      </w:pPr>
      <w:r>
        <w:rPr>
          <w:rFonts w:ascii="Calibri" w:hAnsi="Calibri"/>
          <w:b/>
          <w:i w:val="0"/>
          <w:color w:val="C8892A"/>
          <w:sz w:val="21"/>
        </w:rPr>
        <w:t xml:space="preserve">▪  </w:t>
      </w:r>
      <w:r>
        <w:rPr>
          <w:rFonts w:ascii="Calibri" w:hAnsi="Calibri"/>
          <w:b w:val="0"/>
          <w:i w:val="0"/>
          <w:color w:val="1A1A19"/>
          <w:sz w:val="21"/>
        </w:rPr>
        <w:t>Founder pre-investment of USD 14,517 already deployed; board seat and reserved matters for the investor.</w:t>
      </w:r>
    </w:p>
    <w:p>
      <w:r>
        <w:br w:type="page"/>
      </w:r>
    </w:p>
    <w:p>
      <w:pPr>
        <w:keepNext/>
        <w:spacing w:before="320" w:after="160"/>
        <w:pBdr>
          <w:bottom w:val="single" w:sz="6" w:space="4" w:color="0F2942"/>
        </w:pBdr>
      </w:pPr>
      <w:r>
        <w:rPr>
          <w:rFonts w:ascii="Calibri" w:hAnsi="Calibri"/>
          <w:b/>
          <w:i w:val="0"/>
          <w:color w:val="C8892A"/>
          <w:sz w:val="30"/>
        </w:rPr>
        <w:t xml:space="preserve">9   </w:t>
      </w:r>
      <w:r>
        <w:rPr>
          <w:rFonts w:ascii="Calibri" w:hAnsi="Calibri"/>
          <w:b/>
          <w:i w:val="0"/>
          <w:color w:val="0F2942"/>
          <w:sz w:val="30"/>
        </w:rPr>
        <w:t>Operations, Risks &amp; Mitigation</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Vestwoods supply chain — </w:t>
      </w:r>
      <w:r>
        <w:rPr>
          <w:rFonts w:ascii="Calibri" w:hAnsi="Calibri"/>
          <w:b w:val="0"/>
          <w:i w:val="0"/>
          <w:color w:val="1A1A19"/>
          <w:sz w:val="21"/>
        </w:rPr>
        <w:t>PO (100% prepaid in Y1) → factory 15–20 days → sea 18 days → clearance 7–10 days (5% duty, 2% GOEIC, 14% VAT recoverable) → warehouse. Roughly one container every 3–4 weeks in Year 1.</w:t>
      </w:r>
    </w:p>
    <w:p>
      <w:pPr>
        <w:spacing w:after="80" w:line="264" w:lineRule="auto"/>
        <w:ind w:left="403"/>
      </w:pPr>
      <w:r>
        <w:rPr>
          <w:rFonts w:ascii="Calibri" w:hAnsi="Calibri"/>
          <w:b/>
          <w:i w:val="0"/>
          <w:color w:val="C8892A"/>
          <w:sz w:val="21"/>
        </w:rPr>
        <w:t xml:space="preserve">▪  </w:t>
      </w:r>
      <w:r>
        <w:rPr>
          <w:rFonts w:ascii="Calibri" w:hAnsi="Calibri"/>
          <w:b/>
          <w:i w:val="0"/>
          <w:color w:val="1A1A19"/>
          <w:sz w:val="21"/>
        </w:rPr>
        <w:t xml:space="preserve">Al Reem supply chain — </w:t>
      </w:r>
      <w:r>
        <w:rPr>
          <w:rFonts w:ascii="Calibri" w:hAnsi="Calibri"/>
          <w:b w:val="0"/>
          <w:i w:val="0"/>
          <w:color w:val="1A1A19"/>
          <w:sz w:val="21"/>
        </w:rPr>
        <w:t>group plant in Angola → Alexandria; mixed 69-SKU containers on a simple min/max reorder system run by the shared warehouse team.</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4824"/>
        <w:gridCol w:w="4824"/>
      </w:tblGrid>
      <w:tr>
        <w:tc>
          <w:tcPr>
            <w:tcW w:type="dxa" w:w="3312"/>
            <w:shd w:val="clear" w:color="auto" w:fill="0F2942"/>
            <w:tcMar>
              <w:top w:w="60" w:type="dxa"/>
              <w:bottom w:w="60" w:type="dxa"/>
              <w:start w:w="110" w:type="dxa"/>
              <w:end w:w="110" w:type="dxa"/>
            </w:tcMar>
          </w:tcPr>
          <w:p>
            <w:pPr>
              <w:spacing w:after="0"/>
            </w:pPr>
            <w:r>
              <w:rPr>
                <w:rFonts w:ascii="Calibri" w:hAnsi="Calibri"/>
                <w:b/>
                <w:i w:val="0"/>
                <w:color w:val="FFFFFF"/>
                <w:sz w:val="18"/>
              </w:rPr>
              <w:t>Risk</w:t>
            </w:r>
          </w:p>
        </w:tc>
        <w:tc>
          <w:tcPr>
            <w:tcW w:type="dxa" w:w="6336"/>
            <w:shd w:val="clear" w:color="auto" w:fill="0F2942"/>
            <w:tcMar>
              <w:top w:w="60" w:type="dxa"/>
              <w:bottom w:w="60" w:type="dxa"/>
              <w:start w:w="110" w:type="dxa"/>
              <w:end w:w="110" w:type="dxa"/>
            </w:tcMar>
          </w:tcPr>
          <w:p>
            <w:pPr>
              <w:spacing w:after="0"/>
            </w:pPr>
            <w:r>
              <w:rPr>
                <w:rFonts w:ascii="Calibri" w:hAnsi="Calibri"/>
                <w:b/>
                <w:i w:val="0"/>
                <w:color w:val="FFFFFF"/>
                <w:sz w:val="18"/>
              </w:rPr>
              <w:t>Mitigation</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EGP devaluation</w:t>
            </w:r>
          </w:p>
        </w:tc>
        <w:tc>
          <w:tcPr>
            <w:tcW w:type="dxa" w:w="6336"/>
            <w:tcMar>
              <w:top w:w="60" w:type="dxa"/>
              <w:bottom w:w="60" w:type="dxa"/>
              <w:start w:w="110" w:type="dxa"/>
              <w:end w:w="110" w:type="dxa"/>
            </w:tcMar>
          </w:tcPr>
          <w:p>
            <w:pPr>
              <w:spacing w:after="0"/>
            </w:pPr>
            <w:r>
              <w:rPr>
                <w:rFonts w:ascii="Calibri" w:hAnsi="Calibri"/>
                <w:b w:val="0"/>
                <w:i w:val="0"/>
                <w:color w:val="1A1A19"/>
                <w:sz w:val="18"/>
              </w:rPr>
              <w:t>USD-indexed pricing at EGP 53 planning rate; 30-day quote validity; USD books</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Y1 Vestwoods prepayment exposure</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Haier-backed counterparty; staged POs; credit switch contractually anchored at Month 13</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Export pricing dependency</w:t>
            </w:r>
          </w:p>
        </w:tc>
        <w:tc>
          <w:tcPr>
            <w:tcW w:type="dxa" w:w="6336"/>
            <w:tcMar>
              <w:top w:w="60" w:type="dxa"/>
              <w:bottom w:w="60" w:type="dxa"/>
              <w:start w:w="110" w:type="dxa"/>
              <w:end w:w="110" w:type="dxa"/>
            </w:tcMar>
          </w:tcPr>
          <w:p>
            <w:pPr>
              <w:spacing w:after="0"/>
            </w:pPr>
            <w:r>
              <w:rPr>
                <w:rFonts w:ascii="Calibri" w:hAnsi="Calibri"/>
                <w:b w:val="0"/>
                <w:i w:val="0"/>
                <w:color w:val="1A1A19"/>
                <w:sz w:val="18"/>
              </w:rPr>
              <w:t>Export margins rest on the group's negotiated supply pricing; agreements documented and assignable</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Raise timing</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Tranche 1 must close before first PO; container schedule flexes with drawdown</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Customs / GOEIC delays</w:t>
            </w:r>
          </w:p>
        </w:tc>
        <w:tc>
          <w:tcPr>
            <w:tcW w:type="dxa" w:w="6336"/>
            <w:tcMar>
              <w:top w:w="60" w:type="dxa"/>
              <w:bottom w:w="60" w:type="dxa"/>
              <w:start w:w="110" w:type="dxa"/>
              <w:end w:w="110" w:type="dxa"/>
            </w:tcMar>
          </w:tcPr>
          <w:p>
            <w:pPr>
              <w:spacing w:after="0"/>
            </w:pPr>
            <w:r>
              <w:rPr>
                <w:rFonts w:ascii="Calibri" w:hAnsi="Calibri"/>
                <w:b w:val="0"/>
                <w:i w:val="0"/>
                <w:color w:val="1A1A19"/>
                <w:sz w:val="18"/>
              </w:rPr>
              <w:t>Permits issued; broker retained; 45–60 day inventory cover</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Egypt receivables</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45-day terms; anchor accounts on agreed limits; stop-supply discipline</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Export instability (Sudan/Libya)</w:t>
            </w:r>
          </w:p>
        </w:tc>
        <w:tc>
          <w:tcPr>
            <w:tcW w:type="dxa" w:w="6336"/>
            <w:tcMar>
              <w:top w:w="60" w:type="dxa"/>
              <w:bottom w:w="60" w:type="dxa"/>
              <w:start w:w="110" w:type="dxa"/>
              <w:end w:w="110" w:type="dxa"/>
            </w:tcMar>
          </w:tcPr>
          <w:p>
            <w:pPr>
              <w:spacing w:after="0"/>
            </w:pPr>
            <w:r>
              <w:rPr>
                <w:rFonts w:ascii="Calibri" w:hAnsi="Calibri"/>
                <w:b w:val="0"/>
                <w:i w:val="0"/>
                <w:color w:val="1A1A19"/>
                <w:sz w:val="18"/>
              </w:rPr>
              <w:t>Cash before shipment; no in-country assets</w:t>
            </w:r>
          </w:p>
        </w:tc>
      </w:tr>
      <w:tr>
        <w:tc>
          <w:tcPr>
            <w:tcW w:type="dxa" w:w="3312"/>
            <w:tcMar>
              <w:top w:w="60" w:type="dxa"/>
              <w:bottom w:w="60" w:type="dxa"/>
              <w:start w:w="110" w:type="dxa"/>
              <w:end w:w="110" w:type="dxa"/>
            </w:tcMar>
            <w:shd w:val="clear" w:color="auto" w:fill="F5F7F9"/>
          </w:tcPr>
          <w:p>
            <w:pPr>
              <w:spacing w:after="0"/>
            </w:pPr>
            <w:r>
              <w:rPr>
                <w:rFonts w:ascii="Calibri" w:hAnsi="Calibri"/>
                <w:b w:val="0"/>
                <w:i w:val="0"/>
                <w:color w:val="1A1A19"/>
                <w:sz w:val="18"/>
              </w:rPr>
              <w:t>Algeria regime</w:t>
            </w:r>
          </w:p>
        </w:tc>
        <w:tc>
          <w:tcPr>
            <w:tcW w:type="dxa" w:w="6336"/>
            <w:tcMar>
              <w:top w:w="60" w:type="dxa"/>
              <w:bottom w:w="60" w:type="dxa"/>
              <w:start w:w="110" w:type="dxa"/>
              <w:end w:w="110" w:type="dxa"/>
            </w:tcMar>
            <w:shd w:val="clear" w:color="auto" w:fill="F5F7F9"/>
          </w:tcPr>
          <w:p>
            <w:pPr>
              <w:spacing w:after="0"/>
            </w:pPr>
            <w:r>
              <w:rPr>
                <w:rFonts w:ascii="Calibri" w:hAnsi="Calibri"/>
                <w:b w:val="0"/>
                <w:i w:val="0"/>
                <w:color w:val="1A1A19"/>
                <w:sz w:val="18"/>
              </w:rPr>
              <w:t>Licensed-importer FOB + 100% LC; zero NORCO exposure</w:t>
            </w:r>
          </w:p>
        </w:tc>
      </w:tr>
      <w:tr>
        <w:tc>
          <w:tcPr>
            <w:tcW w:type="dxa" w:w="3312"/>
            <w:tcMar>
              <w:top w:w="60" w:type="dxa"/>
              <w:bottom w:w="60" w:type="dxa"/>
              <w:start w:w="110" w:type="dxa"/>
              <w:end w:w="110" w:type="dxa"/>
            </w:tcMar>
          </w:tcPr>
          <w:p>
            <w:pPr>
              <w:spacing w:after="0"/>
            </w:pPr>
            <w:r>
              <w:rPr>
                <w:rFonts w:ascii="Calibri" w:hAnsi="Calibri"/>
                <w:b w:val="0"/>
                <w:i w:val="0"/>
                <w:color w:val="1A1A19"/>
                <w:sz w:val="18"/>
              </w:rPr>
              <w:t>Local plastics price wars</w:t>
            </w:r>
          </w:p>
        </w:tc>
        <w:tc>
          <w:tcPr>
            <w:tcW w:type="dxa" w:w="6336"/>
            <w:tcMar>
              <w:top w:w="60" w:type="dxa"/>
              <w:bottom w:w="60" w:type="dxa"/>
              <w:start w:w="110" w:type="dxa"/>
              <w:end w:w="110" w:type="dxa"/>
            </w:tcMar>
          </w:tcPr>
          <w:p>
            <w:pPr>
              <w:spacing w:after="0"/>
            </w:pPr>
            <w:r>
              <w:rPr>
                <w:rFonts w:ascii="Calibri" w:hAnsi="Calibri"/>
                <w:b w:val="0"/>
                <w:i w:val="0"/>
                <w:color w:val="1A1A19"/>
                <w:sz w:val="18"/>
              </w:rPr>
              <w:t>30% group supply discount preserves margin at local-brand price points</w:t>
            </w:r>
          </w:p>
        </w:tc>
      </w:tr>
    </w:tbl>
    <w:p>
      <w:pPr>
        <w:spacing w:after="40"/>
      </w:pPr>
    </w:p>
    <w:p>
      <w:pPr>
        <w:keepNext/>
        <w:spacing w:before="320" w:after="160"/>
        <w:pBdr>
          <w:bottom w:val="single" w:sz="6" w:space="4" w:color="0F2942"/>
        </w:pBdr>
      </w:pPr>
      <w:r>
        <w:rPr>
          <w:rFonts w:ascii="Calibri" w:hAnsi="Calibri"/>
          <w:b/>
          <w:i w:val="0"/>
          <w:color w:val="C8892A"/>
          <w:sz w:val="30"/>
        </w:rPr>
        <w:t xml:space="preserve">10   </w:t>
      </w:r>
      <w:r>
        <w:rPr>
          <w:rFonts w:ascii="Calibri" w:hAnsi="Calibri"/>
          <w:b/>
          <w:i w:val="0"/>
          <w:color w:val="0F2942"/>
          <w:sz w:val="30"/>
        </w:rPr>
        <w:t>Execution Roadmap</w:t>
      </w:r>
    </w:p>
    <w:tbl>
      <w:tblPr>
        <w:tblW w:type="auto" w:w="0"/>
        <w:jc w:val="center"/>
        <w:tblLook w:firstColumn="1" w:firstRow="1" w:lastColumn="0" w:lastRow="0" w:noHBand="0" w:noVBand="1" w:val="04A0"/>
        <w:tblBorders>
          <w:top w:val="single" w:sz="4" w:space="0" w:color="D8DCE0"/>
          <w:left w:val="single" w:sz="4" w:space="0" w:color="D8DCE0"/>
          <w:bottom w:val="single" w:sz="4" w:space="0" w:color="D8DCE0"/>
          <w:right w:val="single" w:sz="4" w:space="0" w:color="D8DCE0"/>
          <w:insideH w:val="single" w:sz="4" w:space="0" w:color="D8DCE0"/>
          <w:insideV w:val="single" w:sz="4" w:space="0" w:color="D8DCE0"/>
        </w:tblBorders>
      </w:tblPr>
      <w:tblGrid>
        <w:gridCol w:w="3216"/>
        <w:gridCol w:w="3216"/>
        <w:gridCol w:w="3216"/>
      </w:tblGrid>
      <w:tr>
        <w:tc>
          <w:tcPr>
            <w:tcW w:type="dxa" w:w="1440"/>
            <w:shd w:val="clear" w:color="auto" w:fill="0F2942"/>
            <w:tcMar>
              <w:top w:w="60" w:type="dxa"/>
              <w:bottom w:w="60" w:type="dxa"/>
              <w:start w:w="110" w:type="dxa"/>
              <w:end w:w="110" w:type="dxa"/>
            </w:tcMar>
          </w:tcPr>
          <w:p>
            <w:pPr>
              <w:spacing w:after="0"/>
            </w:pPr>
            <w:r>
              <w:rPr>
                <w:rFonts w:ascii="Calibri" w:hAnsi="Calibri"/>
                <w:b/>
                <w:i w:val="0"/>
                <w:color w:val="FFFFFF"/>
                <w:sz w:val="18"/>
              </w:rPr>
              <w:t>Phase</w:t>
            </w:r>
          </w:p>
        </w:tc>
        <w:tc>
          <w:tcPr>
            <w:tcW w:type="dxa" w:w="1440"/>
            <w:shd w:val="clear" w:color="auto" w:fill="0F2942"/>
            <w:tcMar>
              <w:top w:w="60" w:type="dxa"/>
              <w:bottom w:w="60" w:type="dxa"/>
              <w:start w:w="110" w:type="dxa"/>
              <w:end w:w="110" w:type="dxa"/>
            </w:tcMar>
          </w:tcPr>
          <w:p>
            <w:pPr>
              <w:spacing w:after="0"/>
            </w:pPr>
            <w:r>
              <w:rPr>
                <w:rFonts w:ascii="Calibri" w:hAnsi="Calibri"/>
                <w:b/>
                <w:i w:val="0"/>
                <w:color w:val="FFFFFF"/>
                <w:sz w:val="18"/>
              </w:rPr>
              <w:t>Timing</w:t>
            </w:r>
          </w:p>
        </w:tc>
        <w:tc>
          <w:tcPr>
            <w:tcW w:type="dxa" w:w="6768"/>
            <w:shd w:val="clear" w:color="auto" w:fill="0F2942"/>
            <w:tcMar>
              <w:top w:w="60" w:type="dxa"/>
              <w:bottom w:w="60" w:type="dxa"/>
              <w:start w:w="110" w:type="dxa"/>
              <w:end w:w="110" w:type="dxa"/>
            </w:tcMar>
          </w:tcPr>
          <w:p>
            <w:pPr>
              <w:spacing w:after="0"/>
            </w:pPr>
            <w:r>
              <w:rPr>
                <w:rFonts w:ascii="Calibri" w:hAnsi="Calibri"/>
                <w:b/>
                <w:i w:val="0"/>
                <w:color w:val="FFFFFF"/>
                <w:sz w:val="18"/>
              </w:rPr>
              <w:t>Milestones</w:t>
            </w:r>
          </w:p>
        </w:tc>
      </w:tr>
      <w:tr>
        <w:tc>
          <w:tcPr>
            <w:tcW w:type="dxa" w:w="1440"/>
            <w:tcMar>
              <w:top w:w="60" w:type="dxa"/>
              <w:bottom w:w="60" w:type="dxa"/>
              <w:start w:w="110" w:type="dxa"/>
              <w:end w:w="110" w:type="dxa"/>
            </w:tcMar>
          </w:tcPr>
          <w:p>
            <w:pPr>
              <w:spacing w:after="0"/>
            </w:pPr>
            <w:r>
              <w:rPr>
                <w:rFonts w:ascii="Calibri" w:hAnsi="Calibri"/>
                <w:b w:val="0"/>
                <w:i w:val="0"/>
                <w:color w:val="1A1A19"/>
                <w:sz w:val="18"/>
              </w:rPr>
              <w:t>Launch</w:t>
            </w:r>
          </w:p>
        </w:tc>
        <w:tc>
          <w:tcPr>
            <w:tcW w:type="dxa" w:w="1440"/>
            <w:tcMar>
              <w:top w:w="60" w:type="dxa"/>
              <w:bottom w:w="60" w:type="dxa"/>
              <w:start w:w="110" w:type="dxa"/>
              <w:end w:w="110" w:type="dxa"/>
            </w:tcMar>
          </w:tcPr>
          <w:p>
            <w:pPr>
              <w:spacing w:after="0"/>
            </w:pPr>
            <w:r>
              <w:rPr>
                <w:rFonts w:ascii="Calibri" w:hAnsi="Calibri"/>
                <w:b w:val="0"/>
                <w:i w:val="0"/>
                <w:color w:val="1A1A19"/>
                <w:sz w:val="18"/>
              </w:rPr>
              <w:t>M1–M3</w:t>
            </w:r>
          </w:p>
        </w:tc>
        <w:tc>
          <w:tcPr>
            <w:tcW w:type="dxa" w:w="6768"/>
            <w:tcMar>
              <w:top w:w="60" w:type="dxa"/>
              <w:bottom w:w="60" w:type="dxa"/>
              <w:start w:w="110" w:type="dxa"/>
              <w:end w:w="110" w:type="dxa"/>
            </w:tcMar>
          </w:tcPr>
          <w:p>
            <w:pPr>
              <w:spacing w:after="0"/>
            </w:pPr>
            <w:r>
              <w:rPr>
                <w:rFonts w:ascii="Calibri" w:hAnsi="Calibri"/>
                <w:b w:val="0"/>
                <w:i w:val="0"/>
                <w:color w:val="1A1A19"/>
                <w:sz w:val="18"/>
              </w:rPr>
              <w:t>T1 drawn; first Vestwoods POs prepaid; New Cairo showroom opens; first Al Reem containers land; Sudan buyer inspects stock and places first order (50% advance)</w:t>
            </w:r>
          </w:p>
        </w:tc>
      </w:tr>
      <w:tr>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Prove</w:t>
            </w:r>
          </w:p>
        </w:tc>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M4–M6</w:t>
            </w:r>
          </w:p>
        </w:tc>
        <w:tc>
          <w:tcPr>
            <w:tcW w:type="dxa" w:w="6768"/>
            <w:tcMar>
              <w:top w:w="60" w:type="dxa"/>
              <w:bottom w:w="60" w:type="dxa"/>
              <w:start w:w="110" w:type="dxa"/>
              <w:end w:w="110" w:type="dxa"/>
            </w:tcMar>
            <w:shd w:val="clear" w:color="auto" w:fill="F5F7F9"/>
          </w:tcPr>
          <w:p>
            <w:pPr>
              <w:spacing w:after="0"/>
            </w:pPr>
            <w:r>
              <w:rPr>
                <w:rFonts w:ascii="Calibri" w:hAnsi="Calibri"/>
                <w:b w:val="0"/>
                <w:i w:val="0"/>
                <w:color w:val="1A1A19"/>
                <w:sz w:val="18"/>
              </w:rPr>
              <w:t>T2 drawn against milestones; operating &amp; cumulative break-even (M6); dealers signed; Al Reem retail sell-through in both showrooms; Algeria agency to term sheet</w:t>
            </w:r>
          </w:p>
        </w:tc>
      </w:tr>
      <w:tr>
        <w:tc>
          <w:tcPr>
            <w:tcW w:type="dxa" w:w="1440"/>
            <w:tcMar>
              <w:top w:w="60" w:type="dxa"/>
              <w:bottom w:w="60" w:type="dxa"/>
              <w:start w:w="110" w:type="dxa"/>
              <w:end w:w="110" w:type="dxa"/>
            </w:tcMar>
          </w:tcPr>
          <w:p>
            <w:pPr>
              <w:spacing w:after="0"/>
            </w:pPr>
            <w:r>
              <w:rPr>
                <w:rFonts w:ascii="Calibri" w:hAnsi="Calibri"/>
                <w:b w:val="0"/>
                <w:i w:val="0"/>
                <w:color w:val="1A1A19"/>
                <w:sz w:val="18"/>
              </w:rPr>
              <w:t>Convert</w:t>
            </w:r>
          </w:p>
        </w:tc>
        <w:tc>
          <w:tcPr>
            <w:tcW w:type="dxa" w:w="1440"/>
            <w:tcMar>
              <w:top w:w="60" w:type="dxa"/>
              <w:bottom w:w="60" w:type="dxa"/>
              <w:start w:w="110" w:type="dxa"/>
              <w:end w:w="110" w:type="dxa"/>
            </w:tcMar>
          </w:tcPr>
          <w:p>
            <w:pPr>
              <w:spacing w:after="0"/>
            </w:pPr>
            <w:r>
              <w:rPr>
                <w:rFonts w:ascii="Calibri" w:hAnsi="Calibri"/>
                <w:b w:val="0"/>
                <w:i w:val="0"/>
                <w:color w:val="1A1A19"/>
                <w:sz w:val="18"/>
              </w:rPr>
              <w:t>M7–M12</w:t>
            </w:r>
          </w:p>
        </w:tc>
        <w:tc>
          <w:tcPr>
            <w:tcW w:type="dxa" w:w="6768"/>
            <w:tcMar>
              <w:top w:w="60" w:type="dxa"/>
              <w:bottom w:w="60" w:type="dxa"/>
              <w:start w:w="110" w:type="dxa"/>
              <w:end w:w="110" w:type="dxa"/>
            </w:tcMar>
          </w:tcPr>
          <w:p>
            <w:pPr>
              <w:spacing w:after="0"/>
            </w:pPr>
            <w:r>
              <w:rPr>
                <w:rFonts w:ascii="Calibri" w:hAnsi="Calibri"/>
                <w:b w:val="0"/>
                <w:i w:val="0"/>
                <w:color w:val="1A1A19"/>
                <w:sz w:val="18"/>
              </w:rPr>
              <w:t>Algeria first LC orders ship (M8); hypermarket listings for Al Reem; Libya and Nigeria distributor due diligence</w:t>
            </w:r>
          </w:p>
        </w:tc>
      </w:tr>
      <w:tr>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Compound</w:t>
            </w:r>
          </w:p>
        </w:tc>
        <w:tc>
          <w:tcPr>
            <w:tcW w:type="dxa" w:w="1440"/>
            <w:tcMar>
              <w:top w:w="60" w:type="dxa"/>
              <w:bottom w:w="60" w:type="dxa"/>
              <w:start w:w="110" w:type="dxa"/>
              <w:end w:w="110" w:type="dxa"/>
            </w:tcMar>
            <w:shd w:val="clear" w:color="auto" w:fill="F5F7F9"/>
          </w:tcPr>
          <w:p>
            <w:pPr>
              <w:spacing w:after="0"/>
            </w:pPr>
            <w:r>
              <w:rPr>
                <w:rFonts w:ascii="Calibri" w:hAnsi="Calibri"/>
                <w:b w:val="0"/>
                <w:i w:val="0"/>
                <w:color w:val="1A1A19"/>
                <w:sz w:val="18"/>
              </w:rPr>
              <w:t>M13–M18</w:t>
            </w:r>
          </w:p>
        </w:tc>
        <w:tc>
          <w:tcPr>
            <w:tcW w:type="dxa" w:w="6768"/>
            <w:tcMar>
              <w:top w:w="60" w:type="dxa"/>
              <w:bottom w:w="60" w:type="dxa"/>
              <w:start w:w="110" w:type="dxa"/>
              <w:end w:w="110" w:type="dxa"/>
            </w:tcMar>
            <w:shd w:val="clear" w:color="auto" w:fill="F5F7F9"/>
          </w:tcPr>
          <w:p>
            <w:pPr>
              <w:spacing w:after="0"/>
            </w:pPr>
            <w:r>
              <w:rPr>
                <w:rFonts w:ascii="Calibri" w:hAnsi="Calibri"/>
                <w:b w:val="0"/>
                <w:i w:val="0"/>
                <w:color w:val="1A1A19"/>
                <w:sz w:val="18"/>
              </w:rPr>
              <w:t>Vestwoods credit terms activate; Libya first containers; full dividend distributions begin</w:t>
            </w:r>
          </w:p>
        </w:tc>
      </w:tr>
      <w:tr>
        <w:tc>
          <w:tcPr>
            <w:tcW w:type="dxa" w:w="1440"/>
            <w:tcMar>
              <w:top w:w="60" w:type="dxa"/>
              <w:bottom w:w="60" w:type="dxa"/>
              <w:start w:w="110" w:type="dxa"/>
              <w:end w:w="110" w:type="dxa"/>
            </w:tcMar>
          </w:tcPr>
          <w:p>
            <w:pPr>
              <w:spacing w:after="0"/>
            </w:pPr>
            <w:r>
              <w:rPr>
                <w:rFonts w:ascii="Calibri" w:hAnsi="Calibri"/>
                <w:b w:val="0"/>
                <w:i w:val="0"/>
                <w:color w:val="1A1A19"/>
                <w:sz w:val="18"/>
              </w:rPr>
              <w:t>Scale</w:t>
            </w:r>
          </w:p>
        </w:tc>
        <w:tc>
          <w:tcPr>
            <w:tcW w:type="dxa" w:w="1440"/>
            <w:tcMar>
              <w:top w:w="60" w:type="dxa"/>
              <w:bottom w:w="60" w:type="dxa"/>
              <w:start w:w="110" w:type="dxa"/>
              <w:end w:w="110" w:type="dxa"/>
            </w:tcMar>
          </w:tcPr>
          <w:p>
            <w:pPr>
              <w:spacing w:after="0"/>
            </w:pPr>
            <w:r>
              <w:rPr>
                <w:rFonts w:ascii="Calibri" w:hAnsi="Calibri"/>
                <w:b w:val="0"/>
                <w:i w:val="0"/>
                <w:color w:val="1A1A19"/>
                <w:sz w:val="18"/>
              </w:rPr>
              <w:t>Y3–Y5</w:t>
            </w:r>
          </w:p>
        </w:tc>
        <w:tc>
          <w:tcPr>
            <w:tcW w:type="dxa" w:w="6768"/>
            <w:tcMar>
              <w:top w:w="60" w:type="dxa"/>
              <w:bottom w:w="60" w:type="dxa"/>
              <w:start w:w="110" w:type="dxa"/>
              <w:end w:w="110" w:type="dxa"/>
            </w:tcMar>
          </w:tcPr>
          <w:p>
            <w:pPr>
              <w:spacing w:after="0"/>
            </w:pPr>
            <w:r>
              <w:rPr>
                <w:rFonts w:ascii="Calibri" w:hAnsi="Calibri"/>
                <w:b w:val="0"/>
                <w:i w:val="0"/>
                <w:color w:val="1A1A19"/>
                <w:sz w:val="18"/>
              </w:rPr>
              <w:t>41 Vestwoods + 95 Al Reem containers by Y5; Alexandria branch; B2G desk; closing cash USD 6,024,401</w:t>
            </w:r>
          </w:p>
        </w:tc>
      </w:tr>
    </w:tbl>
    <w:p>
      <w:pPr>
        <w:spacing w:after="40"/>
      </w:pPr>
    </w:p>
    <w:p>
      <w:pPr>
        <w:spacing w:after="160" w:before="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0F2942"/>
            <w:tcMar>
              <w:top w:w="160" w:type="dxa"/>
              <w:bottom w:w="160" w:type="dxa"/>
              <w:start w:w="200" w:type="dxa"/>
              <w:end w:w="200" w:type="dxa"/>
            </w:tcMar>
          </w:tcPr>
          <w:p>
            <w:pPr>
              <w:spacing w:after="80"/>
              <w:jc w:val="center"/>
            </w:pPr>
            <w:r>
              <w:rPr>
                <w:rFonts w:ascii="Calibri" w:hAnsi="Calibri"/>
                <w:b/>
                <w:i w:val="0"/>
                <w:color w:val="C8892A"/>
                <w:sz w:val="22"/>
              </w:rPr>
              <w:t>The opportunity</w:t>
            </w:r>
          </w:p>
          <w:p>
            <w:pPr>
              <w:spacing w:after="0"/>
              <w:jc w:val="center"/>
            </w:pPr>
            <w:r>
              <w:rPr>
                <w:rFonts w:ascii="Calibri" w:hAnsi="Calibri"/>
                <w:b w:val="0"/>
                <w:i w:val="0"/>
                <w:color w:val="FFFFFF"/>
                <w:sz w:val="21"/>
              </w:rPr>
              <w:t>USD 1.0M buys half of a two-division platform that is already built: an exclusive energy-storage agency priced 15–26% under the premium brands, a group-owned houseware supply line with locked margins, and five markets in motion — producing USD 11.8M of net profit over five years, 4.2x back in dividends alone, and every dollar of profit distributed.</w:t>
            </w:r>
          </w:p>
        </w:tc>
      </w:tr>
    </w:tbl>
    <w:p>
      <w:pPr>
        <w:spacing w:after="160" w:before="0"/>
      </w:pPr>
    </w:p>
    <w:p>
      <w:pPr>
        <w:spacing w:after="120" w:before="0"/>
      </w:pPr>
      <w:r>
        <w:rPr>
          <w:rFonts w:ascii="Calibri" w:hAnsi="Calibri"/>
          <w:b w:val="0"/>
          <w:i/>
          <w:color w:val="5C5B57"/>
          <w:sz w:val="18"/>
        </w:rPr>
        <w:t>Companion workbook: NORCO_Group_Investor_Model.xlsx — key assumptions, pre-op investment, pricing reference, staff plan, monthly Year-1 P&amp;L and cash flow, 5-year P&amp;L and cash flow, market detail, funding &amp; returns, shareholding and dashboard.</w:t>
      </w:r>
    </w:p>
    <w:sectPr w:rsidR="00FC693F" w:rsidRPr="0006063C" w:rsidSect="00034616">
      <w:footerReference w:type="default" r:id="rId9"/>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C5B57"/>
        <w:sz w:val="15"/>
      </w:rPr>
      <w:t>NORCO Egypt  ·  Business Plan &amp; Investment Proposal V5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