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0"/>
      </w:pPr>
    </w:p>
    <w:tbl>
      <w:tblPr>
        <w:tblW w:type="auto" w:w="0"/>
        <w:tblLook w:firstColumn="1" w:firstRow="1" w:lastColumn="0" w:lastRow="0" w:noHBand="0" w:noVBand="1" w:val="04A0"/>
        <w:tblBorders>
          <w:top w:val="none"/>
          <w:left w:val="none"/>
          <w:bottom w:val="none"/>
          <w:right w:val="none"/>
          <w:insideH w:val="none"/>
          <w:insideV w:val="none"/>
        </w:tblBorders>
      </w:tblPr>
      <w:tblGrid>
        <w:gridCol w:w="9648"/>
      </w:tblGrid>
      <w:tr>
        <w:tc>
          <w:tcPr>
            <w:tcW w:type="dxa" w:w="9648"/>
            <w:shd w:val="clear" w:color="auto" w:fill="0F2942"/>
            <w:tcMar>
              <w:top w:w="260" w:type="dxa"/>
              <w:bottom w:w="260" w:type="dxa"/>
              <w:start w:w="260" w:type="dxa"/>
              <w:end w:w="260" w:type="dxa"/>
            </w:tcMar>
          </w:tcPr>
          <w:p>
            <w:pPr>
              <w:spacing w:after="0"/>
              <w:jc w:val="center"/>
            </w:pPr>
            <w:r>
              <w:rPr>
                <w:rFonts w:ascii="Calibri" w:hAnsi="Calibri"/>
                <w:b/>
                <w:i w:val="0"/>
                <w:color w:val="FFFFFF"/>
                <w:sz w:val="80"/>
              </w:rPr>
              <w:t>NORCO</w:t>
            </w:r>
          </w:p>
          <w:p>
            <w:pPr>
              <w:spacing w:after="0"/>
              <w:jc w:val="center"/>
            </w:pPr>
            <w:r>
              <w:rPr>
                <w:rFonts w:ascii="Calibri" w:hAnsi="Calibri"/>
                <w:b/>
                <w:i w:val="0"/>
                <w:color w:val="C8892A"/>
                <w:sz w:val="26"/>
              </w:rPr>
              <w:t>GENERAL TRADING L.L.C.</w:t>
            </w:r>
          </w:p>
          <w:p>
            <w:pPr>
              <w:spacing w:before="120" w:after="0"/>
              <w:jc w:val="center"/>
            </w:pPr>
            <w:r>
              <w:rPr>
                <w:rFonts w:ascii="Calibri" w:hAnsi="Calibri"/>
                <w:b w:val="0"/>
                <w:i w:val="0"/>
                <w:color w:val="C7D3DE"/>
                <w:sz w:val="21"/>
              </w:rPr>
              <w:t>Energy Storage  ·  Houseware Distribution</w:t>
            </w:r>
          </w:p>
        </w:tc>
      </w:tr>
    </w:tbl>
    <w:p>
      <w:pPr>
        <w:spacing w:after="400" w:before="0"/>
      </w:pPr>
    </w:p>
    <w:p>
      <w:pPr>
        <w:spacing w:after="120" w:before="0"/>
        <w:jc w:val="center"/>
      </w:pPr>
      <w:r>
        <w:rPr>
          <w:rFonts w:ascii="Calibri" w:hAnsi="Calibri"/>
          <w:b/>
          <w:i w:val="0"/>
          <w:color w:val="0F2942"/>
          <w:sz w:val="40"/>
        </w:rPr>
        <w:t>BUSINESS PLAN &amp; INVESTMENT PROPOSAL</w:t>
      </w:r>
    </w:p>
    <w:p>
      <w:pPr>
        <w:spacing w:after="360" w:before="0"/>
        <w:jc w:val="center"/>
      </w:pPr>
      <w:r>
        <w:rPr>
          <w:rFonts w:ascii="Calibri" w:hAnsi="Calibri"/>
          <w:b w:val="0"/>
          <w:i/>
          <w:color w:val="0F6E6A"/>
          <w:sz w:val="26"/>
        </w:rPr>
        <w:t>A Two-Division Distribution Platform for North &amp; East Africa</w:t>
      </w:r>
    </w:p>
    <w:tbl>
      <w:tblPr>
        <w:tblW w:type="auto" w:w="0"/>
        <w:jc w:val="center"/>
        <w:tblLook w:firstColumn="1" w:firstRow="1" w:lastColumn="0" w:lastRow="0" w:noHBand="0" w:noVBand="1" w:val="04A0"/>
        <w:tblBorders>
          <w:top w:val="single" w:sz="4" w:space="0" w:color="C8892A"/>
          <w:left w:val="single" w:sz="4" w:space="0" w:color="C8892A"/>
          <w:bottom w:val="single" w:sz="4" w:space="0" w:color="C8892A"/>
          <w:right w:val="single" w:sz="4" w:space="0" w:color="C8892A"/>
          <w:insideH w:val="single" w:sz="4" w:space="0" w:color="C8892A"/>
          <w:insideV w:val="single" w:sz="4" w:space="0" w:color="C8892A"/>
        </w:tblBorders>
      </w:tblPr>
      <w:tblGrid>
        <w:gridCol w:w="4824"/>
        <w:gridCol w:w="4824"/>
      </w:tblGrid>
      <w:tr>
        <w:tc>
          <w:tcPr>
            <w:tcW w:type="dxa" w:w="4824"/>
            <w:shd w:val="clear" w:color="auto" w:fill="F3F5F7"/>
            <w:tcMar>
              <w:top w:w="150" w:type="dxa"/>
              <w:bottom w:w="150" w:type="dxa"/>
              <w:start w:w="150" w:type="dxa"/>
              <w:end w:w="150" w:type="dxa"/>
            </w:tcMar>
          </w:tcPr>
          <w:p>
            <w:pPr>
              <w:spacing w:after="40"/>
              <w:jc w:val="center"/>
            </w:pPr>
            <w:r>
              <w:rPr>
                <w:rFonts w:ascii="Calibri" w:hAnsi="Calibri"/>
                <w:b/>
                <w:i w:val="0"/>
                <w:color w:val="0F2942"/>
                <w:sz w:val="26"/>
              </w:rPr>
              <w:t>VESTWOODS</w:t>
            </w:r>
          </w:p>
          <w:p>
            <w:pPr>
              <w:spacing w:after="0"/>
              <w:jc w:val="center"/>
            </w:pPr>
            <w:r>
              <w:rPr>
                <w:rFonts w:ascii="Calibri" w:hAnsi="Calibri"/>
                <w:b w:val="0"/>
                <w:i w:val="0"/>
                <w:color w:val="5C5B57"/>
                <w:sz w:val="19"/>
              </w:rPr>
              <w:t>Haier Energy lithium battery</w:t>
            </w:r>
          </w:p>
          <w:p>
            <w:pPr>
              <w:spacing w:after="0"/>
              <w:jc w:val="center"/>
            </w:pPr>
            <w:r>
              <w:rPr>
                <w:rFonts w:ascii="Calibri" w:hAnsi="Calibri"/>
                <w:b w:val="0"/>
                <w:i w:val="0"/>
                <w:color w:val="5C5B57"/>
                <w:sz w:val="19"/>
              </w:rPr>
              <w:t>energy storage systems</w:t>
            </w:r>
          </w:p>
        </w:tc>
        <w:tc>
          <w:tcPr>
            <w:tcW w:type="dxa" w:w="4824"/>
            <w:shd w:val="clear" w:color="auto" w:fill="F3F5F7"/>
            <w:tcMar>
              <w:top w:w="150" w:type="dxa"/>
              <w:bottom w:w="150" w:type="dxa"/>
              <w:start w:w="150" w:type="dxa"/>
              <w:end w:w="150" w:type="dxa"/>
            </w:tcMar>
          </w:tcPr>
          <w:p>
            <w:pPr>
              <w:spacing w:after="40"/>
              <w:jc w:val="center"/>
            </w:pPr>
            <w:r>
              <w:rPr>
                <w:rFonts w:ascii="Calibri" w:hAnsi="Calibri"/>
                <w:b/>
                <w:i w:val="0"/>
                <w:color w:val="0F2942"/>
                <w:sz w:val="26"/>
              </w:rPr>
              <w:t>AL REEM PLASTICS</w:t>
            </w:r>
          </w:p>
          <w:p>
            <w:pPr>
              <w:spacing w:after="0"/>
              <w:jc w:val="center"/>
            </w:pPr>
            <w:r>
              <w:rPr>
                <w:rFonts w:ascii="Calibri" w:hAnsi="Calibri"/>
                <w:b w:val="0"/>
                <w:i w:val="0"/>
                <w:color w:val="5C5B57"/>
                <w:sz w:val="19"/>
              </w:rPr>
              <w:t>Premium houseware &amp;</w:t>
            </w:r>
          </w:p>
          <w:p>
            <w:pPr>
              <w:spacing w:after="0"/>
              <w:jc w:val="center"/>
            </w:pPr>
            <w:r>
              <w:rPr>
                <w:rFonts w:ascii="Calibri" w:hAnsi="Calibri"/>
                <w:b w:val="0"/>
                <w:i w:val="0"/>
                <w:color w:val="5C5B57"/>
                <w:sz w:val="19"/>
              </w:rPr>
              <w:t>plastic products from Türkiye</w:t>
            </w:r>
          </w:p>
        </w:tc>
      </w:tr>
    </w:tbl>
    <w:p>
      <w:pPr>
        <w:spacing w:after="360" w:before="0"/>
      </w:pPr>
    </w:p>
    <w:p>
      <w:pPr>
        <w:spacing w:after="280" w:before="0"/>
        <w:jc w:val="center"/>
      </w:pPr>
      <w:r>
        <w:rPr>
          <w:rFonts w:ascii="Calibri" w:hAnsi="Calibri"/>
          <w:b/>
          <w:i w:val="0"/>
          <w:color w:val="1A1A19"/>
          <w:sz w:val="22"/>
        </w:rPr>
        <w:t>Egypt  ·  Sudan  ·  Libya  ·  Algeria   |   August 2026 – July 2031</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48"/>
      </w:tblGrid>
      <w:tr>
        <w:tc>
          <w:tcPr>
            <w:tcW w:type="dxa" w:w="9648"/>
            <w:shd w:val="clear" w:color="auto" w:fill="C8892A"/>
            <w:tcMar>
              <w:top w:w="130" w:type="dxa"/>
              <w:bottom w:w="130" w:type="dxa"/>
              <w:start w:w="200" w:type="dxa"/>
              <w:end w:w="200" w:type="dxa"/>
            </w:tcMar>
          </w:tcPr>
          <w:p>
            <w:pPr>
              <w:spacing w:after="0"/>
              <w:jc w:val="center"/>
            </w:pPr>
            <w:r>
              <w:rPr>
                <w:rFonts w:ascii="Calibri" w:hAnsi="Calibri"/>
                <w:b/>
                <w:i w:val="0"/>
                <w:color w:val="FFFFFF"/>
                <w:sz w:val="30"/>
              </w:rPr>
              <w:t>Investment Sought:  USD 2,000,000</w:t>
            </w:r>
          </w:p>
          <w:p>
            <w:pPr>
              <w:spacing w:after="0"/>
              <w:jc w:val="center"/>
            </w:pPr>
            <w:r>
              <w:rPr>
                <w:rFonts w:ascii="Calibri" w:hAnsi="Calibri"/>
                <w:b w:val="0"/>
                <w:i w:val="0"/>
                <w:color w:val="FFF4DF"/>
                <w:sz w:val="20"/>
              </w:rPr>
              <w:t>core raise  (band USD 1,000,000 – 2,500,000)</w:t>
            </w:r>
          </w:p>
        </w:tc>
      </w:tr>
    </w:tbl>
    <w:p>
      <w:pPr>
        <w:spacing w:after="400" w:before="0"/>
      </w:pPr>
    </w:p>
    <w:p>
      <w:pPr>
        <w:spacing w:after="40" w:before="0"/>
        <w:jc w:val="center"/>
      </w:pPr>
      <w:r>
        <w:rPr>
          <w:rFonts w:ascii="Calibri" w:hAnsi="Calibri"/>
          <w:b/>
          <w:i w:val="0"/>
          <w:color w:val="1A1A19"/>
          <w:sz w:val="21"/>
        </w:rPr>
        <w:t>Prepared by  Fadi Jannan — Managing Director</w:t>
      </w:r>
    </w:p>
    <w:p>
      <w:pPr>
        <w:spacing w:after="40" w:before="0"/>
        <w:jc w:val="center"/>
      </w:pPr>
      <w:r>
        <w:rPr>
          <w:rFonts w:ascii="Calibri" w:hAnsi="Calibri"/>
          <w:b w:val="0"/>
          <w:i w:val="0"/>
          <w:color w:val="5C5B57"/>
          <w:sz w:val="19"/>
        </w:rPr>
        <w:t>Dubai, UAE  ·  Cairo, Egypt   |   +971 58 509 3383  ·  +20 10 5544 2066</w:t>
      </w:r>
    </w:p>
    <w:p>
      <w:pPr>
        <w:spacing w:after="280" w:before="0"/>
        <w:jc w:val="center"/>
      </w:pPr>
      <w:r>
        <w:rPr>
          <w:rFonts w:ascii="Calibri" w:hAnsi="Calibri"/>
          <w:b w:val="0"/>
          <w:i w:val="0"/>
          <w:color w:val="5C5B57"/>
          <w:sz w:val="19"/>
        </w:rPr>
        <w:t>f.jannan@norcotrading.com   ·   www.norcotrading.com</w:t>
      </w:r>
    </w:p>
    <w:p>
      <w:pPr>
        <w:spacing w:after="120" w:before="0"/>
        <w:jc w:val="center"/>
      </w:pPr>
      <w:r>
        <w:rPr>
          <w:rFonts w:ascii="Calibri" w:hAnsi="Calibri"/>
          <w:b/>
          <w:i w:val="0"/>
          <w:color w:val="5C5B57"/>
          <w:sz w:val="18"/>
        </w:rPr>
        <w:t>14 July 2026  ·  Version 5.0 (Group)  ·  Strictly Private &amp; Confidential</w:t>
      </w:r>
    </w:p>
    <w:p>
      <w:r>
        <w:br w:type="page"/>
      </w:r>
    </w:p>
    <w:p>
      <w:pPr>
        <w:keepNext/>
        <w:spacing w:before="320" w:after="160"/>
        <w:pBdr>
          <w:bottom w:val="single" w:sz="6" w:space="4" w:color="0F2942"/>
        </w:pBdr>
      </w:pPr>
      <w:r>
        <w:rPr>
          <w:rFonts w:ascii="Calibri" w:hAnsi="Calibri"/>
          <w:b/>
          <w:i w:val="0"/>
          <w:color w:val="C8892A"/>
          <w:sz w:val="30"/>
        </w:rPr>
        <w:t xml:space="preserve">1   </w:t>
      </w:r>
      <w:r>
        <w:rPr>
          <w:rFonts w:ascii="Calibri" w:hAnsi="Calibri"/>
          <w:b/>
          <w:i w:val="0"/>
          <w:color w:val="0F2942"/>
          <w:sz w:val="30"/>
        </w:rPr>
        <w:t>Executive Summary</w:t>
      </w:r>
    </w:p>
    <w:p>
      <w:pPr>
        <w:spacing w:after="160" w:before="0"/>
      </w:pPr>
      <w:r>
        <w:rPr>
          <w:rFonts w:ascii="Calibri" w:hAnsi="Calibri"/>
          <w:b w:val="0"/>
          <w:i w:val="0"/>
          <w:color w:val="1A1A19"/>
          <w:sz w:val="21"/>
        </w:rPr>
        <w:t>NORCO General Trading L.L.C. is a UAE- and Egypt-registered distribution company operating two complementary product divisions across four high-growth North and East African markets. Commercial operations begin in August 2026 from an already-renovated, operating showroom in 6th October City, Cairo.</w:t>
      </w:r>
    </w:p>
    <w:p>
      <w:pPr>
        <w:keepNext/>
        <w:spacing w:before="220" w:after="80"/>
      </w:pPr>
      <w:r>
        <w:rPr>
          <w:rFonts w:ascii="Calibri" w:hAnsi="Calibri"/>
          <w:b/>
          <w:i w:val="0"/>
          <w:color w:val="0F6E6A"/>
          <w:sz w:val="24"/>
        </w:rPr>
        <w:t>Two divisions, one platform</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Vestwoods (Haier Energy) — </w:t>
      </w:r>
      <w:r>
        <w:rPr>
          <w:rFonts w:ascii="Calibri" w:hAnsi="Calibri"/>
          <w:b w:val="0"/>
          <w:i w:val="0"/>
          <w:color w:val="1A1A19"/>
          <w:sz w:val="21"/>
        </w:rPr>
        <w:t>NORCO is the exclusive distributor of Vestwoods lithium battery energy storage systems for Egypt, with three live export corridors: a committed Sudan buyer ready to order on arrival of the first containers, an Algerian company in advanced agency negotiation, and Libya launching in Year 2.</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Al Reem Plastics — </w:t>
      </w:r>
      <w:r>
        <w:rPr>
          <w:rFonts w:ascii="Calibri" w:hAnsi="Calibri"/>
          <w:b w:val="0"/>
          <w:i w:val="0"/>
          <w:color w:val="1A1A19"/>
          <w:sz w:val="21"/>
        </w:rPr>
        <w:t>a verified 147-SKU range of premium houseware and plastic products sourced from Türkiye. High-turnover, lower-ticket, cash-generative goods that diversify NORCO's revenue, deepen its dealer relationships and share the same warehouse, showroom and logistics platform — at low incremental cost.</w:t>
      </w:r>
    </w:p>
    <w:p>
      <w:pPr>
        <w:spacing w:after="40" w:before="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412"/>
        <w:gridCol w:w="2412"/>
        <w:gridCol w:w="2412"/>
        <w:gridCol w:w="2412"/>
      </w:tblGrid>
      <w:tr>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4"/>
              </w:rPr>
              <w:t>$101.4M</w:t>
            </w:r>
          </w:p>
        </w:tc>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4"/>
              </w:rPr>
              <w:t>$13.8M</w:t>
            </w:r>
          </w:p>
        </w:tc>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4"/>
              </w:rPr>
              <w:t>Month 3</w:t>
            </w:r>
          </w:p>
        </w:tc>
        <w:tc>
          <w:tcPr>
            <w:tcW w:type="dxa" w:w="2412"/>
            <w:shd w:val="clear" w:color="auto" w:fill="0F2942"/>
            <w:tcMar>
              <w:top w:w="90" w:type="dxa"/>
              <w:bottom w:w="10" w:type="dxa"/>
              <w:start w:w="110" w:type="dxa"/>
              <w:end w:w="110" w:type="dxa"/>
            </w:tcMar>
          </w:tcPr>
          <w:p>
            <w:pPr>
              <w:spacing w:after="0"/>
              <w:jc w:val="center"/>
            </w:pPr>
            <w:r>
              <w:rPr>
                <w:rFonts w:ascii="Calibri" w:hAnsi="Calibri"/>
                <w:b/>
                <w:i w:val="0"/>
                <w:color w:val="FFFFFF"/>
                <w:sz w:val="34"/>
              </w:rPr>
              <w:t>60% / 28%</w:t>
            </w:r>
          </w:p>
        </w:tc>
      </w:tr>
      <w:tr>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5-YEAR GROUP REVENUE</w:t>
            </w:r>
          </w:p>
        </w:tc>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5-YEAR NET PROFIT</w:t>
            </w:r>
          </w:p>
        </w:tc>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OPERATING BREAK-EVEN</w:t>
            </w:r>
          </w:p>
        </w:tc>
        <w:tc>
          <w:tcPr>
            <w:tcW w:type="dxa" w:w="2412"/>
            <w:shd w:val="clear" w:color="auto" w:fill="0F2942"/>
            <w:tcMar>
              <w:top w:w="0" w:type="dxa"/>
              <w:bottom w:w="90" w:type="dxa"/>
              <w:start w:w="110" w:type="dxa"/>
              <w:end w:w="110" w:type="dxa"/>
            </w:tcMar>
          </w:tcPr>
          <w:p>
            <w:pPr>
              <w:spacing w:after="0"/>
              <w:jc w:val="center"/>
            </w:pPr>
            <w:r>
              <w:rPr>
                <w:rFonts w:ascii="Calibri" w:hAnsi="Calibri"/>
                <w:b w:val="0"/>
                <w:i w:val="0"/>
                <w:color w:val="C7D3DE"/>
                <w:sz w:val="16"/>
              </w:rPr>
              <w:t>INVESTOR IRR — OPT A / B</w:t>
            </w:r>
          </w:p>
        </w:tc>
      </w:tr>
    </w:tbl>
    <w:p>
      <w:pPr>
        <w:spacing w:after="80"/>
      </w:pPr>
    </w:p>
    <w:p>
      <w:pPr>
        <w:keepNext/>
        <w:spacing w:before="220" w:after="80"/>
      </w:pPr>
      <w:r>
        <w:rPr>
          <w:rFonts w:ascii="Calibri" w:hAnsi="Calibri"/>
          <w:b/>
          <w:i w:val="0"/>
          <w:color w:val="0F6E6A"/>
          <w:sz w:val="24"/>
        </w:rPr>
        <w:t>Why the two divisions fit together</w:t>
      </w:r>
    </w:p>
    <w:p>
      <w:pPr>
        <w:spacing w:after="160" w:before="0"/>
      </w:pPr>
      <w:r>
        <w:rPr>
          <w:rFonts w:ascii="Calibri" w:hAnsi="Calibri"/>
          <w:b w:val="0"/>
          <w:i w:val="0"/>
          <w:color w:val="1A1A19"/>
          <w:sz w:val="21"/>
        </w:rPr>
        <w:t>Vestwoods is a high-value, capital-intensive business: every container is prepaid in Year 1, so it needs working capital up front but delivers large gross-profit dollars. Al Reem Plastics is the mirror image — low unit cost, fast inventory turns, everyday demand that is insensitive to the economic cycle. Together they smooth NORCO's cash flow, keep the sales team and showrooms productive between battery shipments, and turn one distribution licence, one warehouse and one management team into two revenue engines.</w:t>
      </w:r>
    </w:p>
    <w:p>
      <w:pPr>
        <w:keepNext/>
        <w:spacing w:before="220" w:after="80"/>
      </w:pPr>
      <w:r>
        <w:rPr>
          <w:rFonts w:ascii="Calibri" w:hAnsi="Calibri"/>
          <w:b/>
          <w:i w:val="0"/>
          <w:color w:val="0F6E6A"/>
          <w:sz w:val="24"/>
        </w:rPr>
        <w:t>The ask</w:t>
      </w:r>
    </w:p>
    <w:p>
      <w:pPr>
        <w:spacing w:after="160" w:before="0"/>
      </w:pPr>
      <w:r>
        <w:rPr>
          <w:rFonts w:ascii="Calibri" w:hAnsi="Calibri"/>
          <w:b w:val="0"/>
          <w:i w:val="0"/>
          <w:color w:val="1A1A19"/>
          <w:sz w:val="21"/>
        </w:rPr>
        <w:t>USD 2,000,000 core raise, released in three milestone-gated tranches (Section 8), fully deployable within 18 months of the August 2026 start. Band: USD 1.0M minimum to USD 2.5M full acceleration. The capital funds Vestwoods' Year-1 container prepayments and Al Reem's opening houseware inventory; from Month 13 Vestwoods converts to supplier credit and the group becomes self-funding.</w:t>
      </w:r>
    </w:p>
    <w:p>
      <w:pPr>
        <w:keepNext/>
        <w:spacing w:before="220" w:after="80"/>
      </w:pPr>
      <w:r>
        <w:rPr>
          <w:rFonts w:ascii="Calibri" w:hAnsi="Calibri"/>
          <w:b/>
          <w:i w:val="0"/>
          <w:color w:val="0F6E6A"/>
          <w:sz w:val="24"/>
        </w:rPr>
        <w:t>The returns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Group 5-year performance — </w:t>
      </w:r>
      <w:r>
        <w:rPr>
          <w:rFonts w:ascii="Calibri" w:hAnsi="Calibri"/>
          <w:b w:val="0"/>
          <w:i w:val="0"/>
          <w:color w:val="1A1A19"/>
          <w:sz w:val="21"/>
        </w:rPr>
        <w:t>USD 101.4M revenue, USD 28.2M gross profit, USD 13.8M net profit. Year 1: USD 7.61M revenue and USD 857K net profit, with operating break-even in Month 3.</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Option A — 50% equity: </w:t>
      </w:r>
      <w:r>
        <w:rPr>
          <w:rFonts w:ascii="Calibri" w:hAnsi="Calibri"/>
          <w:b w:val="0"/>
          <w:i w:val="0"/>
          <w:color w:val="1A1A19"/>
          <w:sz w:val="21"/>
        </w:rPr>
        <w:t>dividends plus retained stake deliver a 60% IRR and 8.8x MOIC; dividends alone return 2.12x the capital inside five years.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Option B — 25% profit share + capital redemption at Year 5: </w:t>
      </w:r>
      <w:r>
        <w:rPr>
          <w:rFonts w:ascii="Calibri" w:hAnsi="Calibri"/>
          <w:b w:val="0"/>
          <w:i w:val="0"/>
          <w:color w:val="1A1A19"/>
          <w:sz w:val="21"/>
        </w:rPr>
        <w:t>28% IRR, 2.73x MOIC, with the investor's capital repaid at par.</w:t>
      </w:r>
    </w:p>
    <w:p>
      <w:pPr>
        <w:keepNext/>
        <w:spacing w:before="220" w:after="80"/>
      </w:pPr>
      <w:r>
        <w:rPr>
          <w:rFonts w:ascii="Calibri" w:hAnsi="Calibri"/>
          <w:b/>
          <w:i w:val="0"/>
          <w:color w:val="0F6E6A"/>
          <w:sz w:val="24"/>
        </w:rPr>
        <w:t>Proof already on the table</w:t>
      </w:r>
    </w:p>
    <w:p>
      <w:pPr>
        <w:spacing w:after="120" w:before="0"/>
      </w:pPr>
      <w:r>
        <w:rPr>
          <w:rFonts w:ascii="Calibri" w:hAnsi="Calibri"/>
          <w:b w:val="0"/>
          <w:i w:val="0"/>
          <w:color w:val="1A1A19"/>
          <w:sz w:val="21"/>
        </w:rPr>
        <w:t>The founder has invested USD 14,517 pre-launch — including EGP 31,948.50 of product stock purchased and sold through the operating showroom before launch. UAE and Egypt registration, import permits, GOEIC application, fit-out and branding are complete. The Al Reem Plastics range is fully costed at the SKU level and the supplier relationship is in place.</w:t>
      </w:r>
    </w:p>
    <w:p>
      <w:pPr>
        <w:jc w:val="center"/>
      </w:pPr>
      <w:r>
        <w:drawing>
          <wp:inline xmlns:a="http://schemas.openxmlformats.org/drawingml/2006/main" xmlns:pic="http://schemas.openxmlformats.org/drawingml/2006/picture">
            <wp:extent cx="5852160" cy="3481144"/>
            <wp:docPr id="1" name="Picture 1"/>
            <wp:cNvGraphicFramePr>
              <a:graphicFrameLocks noChangeAspect="1"/>
            </wp:cNvGraphicFramePr>
            <a:graphic>
              <a:graphicData uri="http://schemas.openxmlformats.org/drawingml/2006/picture">
                <pic:pic>
                  <pic:nvPicPr>
                    <pic:cNvPr id="0" name="revenue_by_division.png"/>
                    <pic:cNvPicPr/>
                  </pic:nvPicPr>
                  <pic:blipFill>
                    <a:blip r:embed="rId10"/>
                    <a:stretch>
                      <a:fillRect/>
                    </a:stretch>
                  </pic:blipFill>
                  <pic:spPr>
                    <a:xfrm>
                      <a:off x="0" y="0"/>
                      <a:ext cx="5852160" cy="3481144"/>
                    </a:xfrm>
                    <a:prstGeom prst="rect"/>
                  </pic:spPr>
                </pic:pic>
              </a:graphicData>
            </a:graphic>
          </wp:inline>
        </w:drawing>
      </w:r>
    </w:p>
    <w:p>
      <w:r>
        <w:br w:type="page"/>
      </w:r>
    </w:p>
    <w:p>
      <w:pPr>
        <w:keepNext/>
        <w:spacing w:before="320" w:after="160"/>
        <w:pBdr>
          <w:bottom w:val="single" w:sz="6" w:space="4" w:color="0F2942"/>
        </w:pBdr>
      </w:pPr>
      <w:r>
        <w:rPr>
          <w:rFonts w:ascii="Calibri" w:hAnsi="Calibri"/>
          <w:b/>
          <w:i w:val="0"/>
          <w:color w:val="C8892A"/>
          <w:sz w:val="30"/>
        </w:rPr>
        <w:t xml:space="preserve">2   </w:t>
      </w:r>
      <w:r>
        <w:rPr>
          <w:rFonts w:ascii="Calibri" w:hAnsi="Calibri"/>
          <w:b/>
          <w:i w:val="0"/>
          <w:color w:val="0F2942"/>
          <w:sz w:val="30"/>
        </w:rPr>
        <w:t>Company Description &amp; Ownership</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Legal structure — </w:t>
      </w:r>
      <w:r>
        <w:rPr>
          <w:rFonts w:ascii="Calibri" w:hAnsi="Calibri"/>
          <w:b w:val="0"/>
          <w:i w:val="0"/>
          <w:color w:val="1A1A19"/>
          <w:sz w:val="21"/>
        </w:rPr>
        <w:t>NORCO General Trading L.L.C., UAE-registered (Dubai trade licence active) with Egyptian commercial registration, import permits and GOEIC application complete. Operations are led from Cairo; supplier and treasury relationships from Dubai.</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Business model — </w:t>
      </w:r>
      <w:r>
        <w:rPr>
          <w:rFonts w:ascii="Calibri" w:hAnsi="Calibri"/>
          <w:b w:val="0"/>
          <w:i w:val="0"/>
          <w:color w:val="1A1A19"/>
          <w:sz w:val="21"/>
        </w:rPr>
        <w:t>an asset-light import-and-distribute platform. NORCO imports finished goods, holds them in its 6th October City warehouse, and sells through its own showrooms, a growing dealer network, and export sub-distributors — across two product divisions.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Locations — </w:t>
      </w:r>
      <w:r>
        <w:rPr>
          <w:rFonts w:ascii="Calibri" w:hAnsi="Calibri"/>
          <w:b w:val="0"/>
          <w:i w:val="0"/>
          <w:color w:val="1A1A19"/>
          <w:sz w:val="21"/>
        </w:rPr>
        <w:t>Showroom #1: 6th October City (operational, 2-year lease). Showroom #2: Fifth Settlement (opens Month 1). Office: Fifth Settlement, 100 sqm. Warehouse: 6th October City, 300–500 sqm — shared by both divisions.</w:t>
      </w:r>
    </w:p>
    <w:p>
      <w:pPr>
        <w:keepNext/>
        <w:spacing w:before="220" w:after="80"/>
      </w:pPr>
      <w:r>
        <w:rPr>
          <w:rFonts w:ascii="Calibri" w:hAnsi="Calibri"/>
          <w:b/>
          <w:i w:val="0"/>
          <w:color w:val="0F6E6A"/>
          <w:sz w:val="24"/>
        </w:rPr>
        <w:t>2.1  Proposed distribution of shares</w:t>
      </w:r>
    </w:p>
    <w:p>
      <w:pPr>
        <w:spacing w:after="120" w:before="0"/>
      </w:pPr>
      <w:r>
        <w:rPr>
          <w:rFonts w:ascii="Calibri" w:hAnsi="Calibri"/>
          <w:b w:val="0"/>
          <w:i w:val="0"/>
          <w:color w:val="1A1A19"/>
          <w:sz w:val="21"/>
        </w:rPr>
        <w:t>The company currently has three shareholders. Under the proposed 50% investor scenario, the existing partners dilute proportionally as follows:</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5616"/>
            <w:shd w:val="clear" w:color="auto" w:fill="0F2942"/>
            <w:tcMar>
              <w:top w:w="60" w:type="dxa"/>
              <w:bottom w:w="60" w:type="dxa"/>
              <w:start w:w="110" w:type="dxa"/>
              <w:end w:w="110" w:type="dxa"/>
            </w:tcMar>
          </w:tcPr>
          <w:p>
            <w:pPr>
              <w:spacing w:after="0"/>
            </w:pPr>
            <w:r>
              <w:rPr>
                <w:rFonts w:ascii="Calibri" w:hAnsi="Calibri"/>
                <w:b/>
                <w:i w:val="0"/>
                <w:color w:val="FFFFFF"/>
                <w:sz w:val="19"/>
              </w:rPr>
              <w:t>Shareholder</w:t>
            </w:r>
          </w:p>
        </w:tc>
        <w:tc>
          <w:tcPr>
            <w:tcW w:type="dxa" w:w="1872"/>
            <w:shd w:val="clear" w:color="auto" w:fill="0F2942"/>
            <w:tcMar>
              <w:top w:w="60" w:type="dxa"/>
              <w:bottom w:w="60" w:type="dxa"/>
              <w:start w:w="110" w:type="dxa"/>
              <w:end w:w="110" w:type="dxa"/>
            </w:tcMar>
          </w:tcPr>
          <w:p>
            <w:pPr>
              <w:spacing w:after="0"/>
              <w:jc w:val="right"/>
            </w:pPr>
            <w:r>
              <w:rPr>
                <w:rFonts w:ascii="Calibri" w:hAnsi="Calibri"/>
                <w:b/>
                <w:i w:val="0"/>
                <w:color w:val="FFFFFF"/>
                <w:sz w:val="19"/>
              </w:rPr>
              <w:t>Current</w:t>
            </w:r>
          </w:p>
        </w:tc>
        <w:tc>
          <w:tcPr>
            <w:tcW w:type="dxa" w:w="2448"/>
            <w:shd w:val="clear" w:color="auto" w:fill="0F2942"/>
            <w:tcMar>
              <w:top w:w="60" w:type="dxa"/>
              <w:bottom w:w="60" w:type="dxa"/>
              <w:start w:w="110" w:type="dxa"/>
              <w:end w:w="110" w:type="dxa"/>
            </w:tcMar>
          </w:tcPr>
          <w:p>
            <w:pPr>
              <w:spacing w:after="0"/>
              <w:jc w:val="right"/>
            </w:pPr>
            <w:r>
              <w:rPr>
                <w:rFonts w:ascii="Calibri" w:hAnsi="Calibri"/>
                <w:b/>
                <w:i w:val="0"/>
                <w:color w:val="FFFFFF"/>
                <w:sz w:val="19"/>
              </w:rPr>
              <w:t>Post-investment (50%)</w:t>
            </w:r>
          </w:p>
        </w:tc>
      </w:tr>
      <w:tr>
        <w:tc>
          <w:tcPr>
            <w:tcW w:type="dxa" w:w="5616"/>
            <w:tcMar>
              <w:top w:w="60" w:type="dxa"/>
              <w:bottom w:w="60" w:type="dxa"/>
              <w:start w:w="110" w:type="dxa"/>
              <w:end w:w="110" w:type="dxa"/>
            </w:tcMar>
          </w:tcPr>
          <w:p>
            <w:pPr>
              <w:spacing w:after="0"/>
            </w:pPr>
            <w:r>
              <w:rPr>
                <w:rFonts w:ascii="Calibri" w:hAnsi="Calibri"/>
                <w:b w:val="0"/>
                <w:i w:val="0"/>
                <w:color w:val="1A1A19"/>
                <w:sz w:val="19"/>
              </w:rPr>
              <w:t>Investor (USD 2.0M core capital)</w:t>
            </w:r>
          </w:p>
        </w:tc>
        <w:tc>
          <w:tcPr>
            <w:tcW w:type="dxa" w:w="1872"/>
            <w:tcMar>
              <w:top w:w="60" w:type="dxa"/>
              <w:bottom w:w="60" w:type="dxa"/>
              <w:start w:w="110" w:type="dxa"/>
              <w:end w:w="110" w:type="dxa"/>
            </w:tcMar>
          </w:tcPr>
          <w:p>
            <w:pPr>
              <w:spacing w:after="0"/>
              <w:jc w:val="right"/>
            </w:pPr>
            <w:r>
              <w:rPr>
                <w:rFonts w:ascii="Calibri" w:hAnsi="Calibri"/>
                <w:b w:val="0"/>
                <w:i w:val="0"/>
                <w:color w:val="1A1A19"/>
                <w:sz w:val="19"/>
              </w:rPr>
              <w:t>—</w:t>
            </w:r>
          </w:p>
        </w:tc>
        <w:tc>
          <w:tcPr>
            <w:tcW w:type="dxa" w:w="2448"/>
            <w:tcMar>
              <w:top w:w="60" w:type="dxa"/>
              <w:bottom w:w="60" w:type="dxa"/>
              <w:start w:w="110" w:type="dxa"/>
              <w:end w:w="110" w:type="dxa"/>
            </w:tcMar>
          </w:tcPr>
          <w:p>
            <w:pPr>
              <w:spacing w:after="0"/>
              <w:jc w:val="right"/>
            </w:pPr>
            <w:r>
              <w:rPr>
                <w:rFonts w:ascii="Calibri" w:hAnsi="Calibri"/>
                <w:b w:val="0"/>
                <w:i w:val="0"/>
                <w:color w:val="1A1A19"/>
                <w:sz w:val="19"/>
              </w:rPr>
              <w:t>50%</w:t>
            </w:r>
          </w:p>
        </w:tc>
      </w:tr>
      <w:tr>
        <w:tc>
          <w:tcPr>
            <w:tcW w:type="dxa" w:w="5616"/>
            <w:tcMar>
              <w:top w:w="60" w:type="dxa"/>
              <w:bottom w:w="60" w:type="dxa"/>
              <w:start w:w="110" w:type="dxa"/>
              <w:end w:w="110" w:type="dxa"/>
            </w:tcMar>
            <w:shd w:val="clear" w:color="auto" w:fill="F5F7F9"/>
          </w:tcPr>
          <w:p>
            <w:pPr>
              <w:spacing w:after="0"/>
            </w:pPr>
            <w:r>
              <w:rPr>
                <w:rFonts w:ascii="Calibri" w:hAnsi="Calibri"/>
                <w:b w:val="0"/>
                <w:i w:val="0"/>
                <w:color w:val="1A1A19"/>
                <w:sz w:val="19"/>
              </w:rPr>
              <w:t>Mohammed Fadi Jannan - Chairman &amp; Founder</w:t>
            </w:r>
          </w:p>
        </w:tc>
        <w:tc>
          <w:tcPr>
            <w:tcW w:type="dxa" w:w="1872"/>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80%</w:t>
            </w:r>
          </w:p>
        </w:tc>
        <w:tc>
          <w:tcPr>
            <w:tcW w:type="dxa" w:w="2448"/>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40%</w:t>
            </w:r>
          </w:p>
        </w:tc>
      </w:tr>
      <w:tr>
        <w:tc>
          <w:tcPr>
            <w:tcW w:type="dxa" w:w="5616"/>
            <w:tcMar>
              <w:top w:w="60" w:type="dxa"/>
              <w:bottom w:w="60" w:type="dxa"/>
              <w:start w:w="110" w:type="dxa"/>
              <w:end w:w="110" w:type="dxa"/>
            </w:tcMar>
          </w:tcPr>
          <w:p>
            <w:pPr>
              <w:spacing w:after="0"/>
            </w:pPr>
            <w:r>
              <w:rPr>
                <w:rFonts w:ascii="Calibri" w:hAnsi="Calibri"/>
                <w:b w:val="0"/>
                <w:i w:val="0"/>
                <w:color w:val="1A1A19"/>
                <w:sz w:val="19"/>
              </w:rPr>
              <w:t>Partner A</w:t>
            </w:r>
          </w:p>
        </w:tc>
        <w:tc>
          <w:tcPr>
            <w:tcW w:type="dxa" w:w="1872"/>
            <w:tcMar>
              <w:top w:w="60" w:type="dxa"/>
              <w:bottom w:w="60" w:type="dxa"/>
              <w:start w:w="110" w:type="dxa"/>
              <w:end w:w="110" w:type="dxa"/>
            </w:tcMar>
          </w:tcPr>
          <w:p>
            <w:pPr>
              <w:spacing w:after="0"/>
              <w:jc w:val="right"/>
            </w:pPr>
            <w:r>
              <w:rPr>
                <w:rFonts w:ascii="Calibri" w:hAnsi="Calibri"/>
                <w:b w:val="0"/>
                <w:i w:val="0"/>
                <w:color w:val="1A1A19"/>
                <w:sz w:val="19"/>
              </w:rPr>
              <w:t>10%</w:t>
            </w:r>
          </w:p>
        </w:tc>
        <w:tc>
          <w:tcPr>
            <w:tcW w:type="dxa" w:w="2448"/>
            <w:tcMar>
              <w:top w:w="60" w:type="dxa"/>
              <w:bottom w:w="60" w:type="dxa"/>
              <w:start w:w="110" w:type="dxa"/>
              <w:end w:w="110" w:type="dxa"/>
            </w:tcMar>
          </w:tcPr>
          <w:p>
            <w:pPr>
              <w:spacing w:after="0"/>
              <w:jc w:val="right"/>
            </w:pPr>
            <w:r>
              <w:rPr>
                <w:rFonts w:ascii="Calibri" w:hAnsi="Calibri"/>
                <w:b w:val="0"/>
                <w:i w:val="0"/>
                <w:color w:val="1A1A19"/>
                <w:sz w:val="19"/>
              </w:rPr>
              <w:t>5%</w:t>
            </w:r>
          </w:p>
        </w:tc>
      </w:tr>
      <w:tr>
        <w:tc>
          <w:tcPr>
            <w:tcW w:type="dxa" w:w="5616"/>
            <w:tcMar>
              <w:top w:w="60" w:type="dxa"/>
              <w:bottom w:w="60" w:type="dxa"/>
              <w:start w:w="110" w:type="dxa"/>
              <w:end w:w="110" w:type="dxa"/>
            </w:tcMar>
            <w:shd w:val="clear" w:color="auto" w:fill="F5F7F9"/>
          </w:tcPr>
          <w:p>
            <w:pPr>
              <w:spacing w:after="0"/>
            </w:pPr>
            <w:r>
              <w:rPr>
                <w:rFonts w:ascii="Calibri" w:hAnsi="Calibri"/>
                <w:b w:val="0"/>
                <w:i w:val="0"/>
                <w:color w:val="1A1A19"/>
                <w:sz w:val="19"/>
              </w:rPr>
              <w:t>Partner B</w:t>
            </w:r>
          </w:p>
        </w:tc>
        <w:tc>
          <w:tcPr>
            <w:tcW w:type="dxa" w:w="1872"/>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10%</w:t>
            </w:r>
          </w:p>
        </w:tc>
        <w:tc>
          <w:tcPr>
            <w:tcW w:type="dxa" w:w="2448"/>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5%</w:t>
            </w:r>
          </w:p>
        </w:tc>
      </w:tr>
      <w:tr>
        <w:tc>
          <w:tcPr>
            <w:tcW w:type="dxa" w:w="5616"/>
            <w:tcMar>
              <w:top w:w="60" w:type="dxa"/>
              <w:bottom w:w="60" w:type="dxa"/>
              <w:start w:w="110" w:type="dxa"/>
              <w:end w:w="110" w:type="dxa"/>
            </w:tcMar>
            <w:shd w:val="clear" w:color="auto" w:fill="E9EDF0"/>
          </w:tcPr>
          <w:p>
            <w:pPr>
              <w:spacing w:after="0"/>
            </w:pPr>
            <w:r>
              <w:rPr>
                <w:rFonts w:ascii="Calibri" w:hAnsi="Calibri"/>
                <w:b/>
                <w:i w:val="0"/>
                <w:color w:val="0F2942"/>
                <w:sz w:val="19"/>
              </w:rPr>
              <w:t>Total</w:t>
            </w:r>
          </w:p>
        </w:tc>
        <w:tc>
          <w:tcPr>
            <w:tcW w:type="dxa" w:w="1872"/>
            <w:tcMar>
              <w:top w:w="60" w:type="dxa"/>
              <w:bottom w:w="60" w:type="dxa"/>
              <w:start w:w="110" w:type="dxa"/>
              <w:end w:w="110" w:type="dxa"/>
            </w:tcMar>
            <w:shd w:val="clear" w:color="auto" w:fill="E9EDF0"/>
          </w:tcPr>
          <w:p>
            <w:pPr>
              <w:spacing w:after="0"/>
              <w:jc w:val="right"/>
            </w:pPr>
            <w:r>
              <w:rPr>
                <w:rFonts w:ascii="Calibri" w:hAnsi="Calibri"/>
                <w:b/>
                <w:i w:val="0"/>
                <w:color w:val="0F2942"/>
                <w:sz w:val="19"/>
              </w:rPr>
              <w:t>100%</w:t>
            </w:r>
          </w:p>
        </w:tc>
        <w:tc>
          <w:tcPr>
            <w:tcW w:type="dxa" w:w="2448"/>
            <w:tcMar>
              <w:top w:w="60" w:type="dxa"/>
              <w:bottom w:w="60" w:type="dxa"/>
              <w:start w:w="110" w:type="dxa"/>
              <w:end w:w="110" w:type="dxa"/>
            </w:tcMar>
            <w:shd w:val="clear" w:color="auto" w:fill="E9EDF0"/>
          </w:tcPr>
          <w:p>
            <w:pPr>
              <w:spacing w:after="0"/>
              <w:jc w:val="right"/>
            </w:pPr>
            <w:r>
              <w:rPr>
                <w:rFonts w:ascii="Calibri" w:hAnsi="Calibri"/>
                <w:b/>
                <w:i w:val="0"/>
                <w:color w:val="0F2942"/>
                <w:sz w:val="19"/>
              </w:rPr>
              <w:t>100%</w:t>
            </w:r>
          </w:p>
        </w:tc>
      </w:tr>
    </w:tbl>
    <w:p>
      <w:pPr>
        <w:spacing w:after="40"/>
      </w:pPr>
    </w:p>
    <w:p>
      <w:pPr>
        <w:spacing w:after="160" w:before="0"/>
      </w:pPr>
      <w:r>
        <w:rPr>
          <w:rFonts w:ascii="Calibri" w:hAnsi="Calibri"/>
          <w:b w:val="0"/>
          <w:i/>
          <w:color w:val="5C5B57"/>
          <w:sz w:val="19"/>
        </w:rPr>
        <w:t>Alternative structure available: no equity — 25% net-profit share plus capital redemption at par at the end of Year 5 (Section 8). The Chairman remains executive lead and exclusive-agency holder under both structures.</w:t>
      </w:r>
    </w:p>
    <w:p>
      <w:pPr>
        <w:keepNext/>
        <w:spacing w:before="220" w:after="80"/>
      </w:pPr>
      <w:r>
        <w:rPr>
          <w:rFonts w:ascii="Calibri" w:hAnsi="Calibri"/>
          <w:b/>
          <w:i w:val="0"/>
          <w:color w:val="0F6E6A"/>
          <w:sz w:val="24"/>
        </w:rPr>
        <w:t>2.2  Pre-operational investment — USD 14,517 already spent</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6336"/>
            <w:shd w:val="clear" w:color="auto" w:fill="0F2942"/>
            <w:tcMar>
              <w:top w:w="60" w:type="dxa"/>
              <w:bottom w:w="60" w:type="dxa"/>
              <w:start w:w="110" w:type="dxa"/>
              <w:end w:w="110" w:type="dxa"/>
            </w:tcMar>
          </w:tcPr>
          <w:p>
            <w:pPr>
              <w:spacing w:after="0"/>
            </w:pPr>
            <w:r>
              <w:rPr>
                <w:rFonts w:ascii="Calibri" w:hAnsi="Calibri"/>
                <w:b/>
                <w:i w:val="0"/>
                <w:color w:val="FFFFFF"/>
                <w:sz w:val="19"/>
              </w:rPr>
              <w:t>Item</w:t>
            </w:r>
          </w:p>
        </w:tc>
        <w:tc>
          <w:tcPr>
            <w:tcW w:type="dxa" w:w="2304"/>
            <w:shd w:val="clear" w:color="auto" w:fill="0F2942"/>
            <w:tcMar>
              <w:top w:w="60" w:type="dxa"/>
              <w:bottom w:w="60" w:type="dxa"/>
              <w:start w:w="110" w:type="dxa"/>
              <w:end w:w="110" w:type="dxa"/>
            </w:tcMar>
          </w:tcPr>
          <w:p>
            <w:pPr>
              <w:spacing w:after="0"/>
            </w:pPr>
            <w:r>
              <w:rPr>
                <w:rFonts w:ascii="Calibri" w:hAnsi="Calibri"/>
                <w:b/>
                <w:i w:val="0"/>
                <w:color w:val="FFFFFF"/>
                <w:sz w:val="19"/>
              </w:rPr>
              <w:t>Original</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9"/>
              </w:rPr>
              <w:t>USD</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Showroom renovation — 6th October City</w:t>
            </w:r>
          </w:p>
        </w:tc>
        <w:tc>
          <w:tcPr>
            <w:tcW w:type="dxa" w:w="2304"/>
            <w:tcMar>
              <w:top w:w="60" w:type="dxa"/>
              <w:bottom w:w="60" w:type="dxa"/>
              <w:start w:w="110" w:type="dxa"/>
              <w:end w:w="110" w:type="dxa"/>
            </w:tcMar>
          </w:tcPr>
          <w:p>
            <w:pPr>
              <w:spacing w:after="0"/>
            </w:pPr>
            <w:r>
              <w:rPr>
                <w:rFonts w:ascii="Calibri" w:hAnsi="Calibri"/>
                <w:b w:val="0"/>
                <w:i w:val="0"/>
                <w:color w:val="1A1A19"/>
                <w:sz w:val="19"/>
              </w:rPr>
              <w:t>EGP 82,000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1,640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Showroom furniture &amp; fittings</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85,000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1,700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Security cameras &amp; CCTV</w:t>
            </w:r>
          </w:p>
        </w:tc>
        <w:tc>
          <w:tcPr>
            <w:tcW w:type="dxa" w:w="2304"/>
            <w:tcMar>
              <w:top w:w="60" w:type="dxa"/>
              <w:bottom w:w="60" w:type="dxa"/>
              <w:start w:w="110" w:type="dxa"/>
              <w:end w:w="110" w:type="dxa"/>
            </w:tcMar>
          </w:tcPr>
          <w:p>
            <w:pPr>
              <w:spacing w:after="0"/>
            </w:pPr>
            <w:r>
              <w:rPr>
                <w:rFonts w:ascii="Calibri" w:hAnsi="Calibri"/>
                <w:b w:val="0"/>
                <w:i w:val="0"/>
                <w:color w:val="1A1A19"/>
                <w:sz w:val="19"/>
              </w:rPr>
              <w:t>EGP 7,500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150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Additional setup &amp; equipment</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50,000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1,000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Legal &amp; licensing — Egypt registration (2025)</w:t>
            </w:r>
          </w:p>
        </w:tc>
        <w:tc>
          <w:tcPr>
            <w:tcW w:type="dxa" w:w="2304"/>
            <w:tcMar>
              <w:top w:w="60" w:type="dxa"/>
              <w:bottom w:w="60" w:type="dxa"/>
              <w:start w:w="110" w:type="dxa"/>
              <w:end w:w="110" w:type="dxa"/>
            </w:tcMar>
          </w:tcPr>
          <w:p>
            <w:pPr>
              <w:spacing w:after="0"/>
            </w:pPr>
            <w:r>
              <w:rPr>
                <w:rFonts w:ascii="Calibri" w:hAnsi="Calibri"/>
                <w:b w:val="0"/>
                <w:i w:val="0"/>
                <w:color w:val="1A1A19"/>
                <w:sz w:val="19"/>
              </w:rPr>
              <w:t>EGP 87,000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1,740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Legal &amp; licensing — import permits (2026)</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80,000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1,600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UAE business licence — NORCO LLC</w:t>
            </w:r>
          </w:p>
        </w:tc>
        <w:tc>
          <w:tcPr>
            <w:tcW w:type="dxa" w:w="2304"/>
            <w:tcMar>
              <w:top w:w="60" w:type="dxa"/>
              <w:bottom w:w="60" w:type="dxa"/>
              <w:start w:w="110" w:type="dxa"/>
              <w:end w:w="110" w:type="dxa"/>
            </w:tcMar>
          </w:tcPr>
          <w:p>
            <w:pPr>
              <w:spacing w:after="0"/>
            </w:pPr>
            <w:r>
              <w:rPr>
                <w:rFonts w:ascii="Calibri" w:hAnsi="Calibri"/>
                <w:b w:val="0"/>
                <w:i w:val="0"/>
                <w:color w:val="1A1A19"/>
                <w:sz w:val="19"/>
              </w:rPr>
              <w:t>AED 15,000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4,084</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Showroom rent — 2 months pre-operations</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20,000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400</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Sales representative — 2 months pre-launch</w:t>
            </w:r>
          </w:p>
        </w:tc>
        <w:tc>
          <w:tcPr>
            <w:tcW w:type="dxa" w:w="2304"/>
            <w:tcMar>
              <w:top w:w="60" w:type="dxa"/>
              <w:bottom w:w="60" w:type="dxa"/>
              <w:start w:w="110" w:type="dxa"/>
              <w:end w:w="110" w:type="dxa"/>
            </w:tcMar>
          </w:tcPr>
          <w:p>
            <w:pPr>
              <w:spacing w:after="0"/>
            </w:pPr>
            <w:r>
              <w:rPr>
                <w:rFonts w:ascii="Calibri" w:hAnsi="Calibri"/>
                <w:b w:val="0"/>
                <w:i w:val="0"/>
                <w:color w:val="1A1A19"/>
                <w:sz w:val="19"/>
              </w:rPr>
              <w:t>2 × USD 500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1,000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Products purchased &amp; sold in showroom (pre-launch trading)</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EGP 31,948.50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603</w:t>
            </w:r>
          </w:p>
        </w:tc>
      </w:tr>
      <w:tr>
        <w:tc>
          <w:tcPr>
            <w:tcW w:type="dxa" w:w="6336"/>
            <w:tcMar>
              <w:top w:w="60" w:type="dxa"/>
              <w:bottom w:w="60" w:type="dxa"/>
              <w:start w:w="110" w:type="dxa"/>
              <w:end w:w="110" w:type="dxa"/>
            </w:tcMar>
          </w:tcPr>
          <w:p>
            <w:pPr>
              <w:spacing w:after="0"/>
            </w:pPr>
            <w:r>
              <w:rPr>
                <w:rFonts w:ascii="Calibri" w:hAnsi="Calibri"/>
                <w:b w:val="0"/>
                <w:i w:val="0"/>
                <w:color w:val="1A1A19"/>
                <w:sz w:val="19"/>
              </w:rPr>
              <w:t>Branding, logo &amp; stationery</w:t>
            </w:r>
          </w:p>
        </w:tc>
        <w:tc>
          <w:tcPr>
            <w:tcW w:type="dxa" w:w="2304"/>
            <w:tcMar>
              <w:top w:w="60" w:type="dxa"/>
              <w:bottom w:w="60" w:type="dxa"/>
              <w:start w:w="110" w:type="dxa"/>
              <w:end w:w="110" w:type="dxa"/>
            </w:tcMar>
          </w:tcPr>
          <w:p>
            <w:pPr>
              <w:spacing w:after="0"/>
            </w:pPr>
            <w:r>
              <w:rPr>
                <w:rFonts w:ascii="Calibri" w:hAnsi="Calibri"/>
                <w:b w:val="0"/>
                <w:i w:val="0"/>
                <w:color w:val="1A1A19"/>
                <w:sz w:val="19"/>
              </w:rPr>
              <w:t>USD 300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9"/>
              </w:rPr>
              <w:t>300</w:t>
            </w:r>
          </w:p>
        </w:tc>
      </w:tr>
      <w:tr>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9"/>
              </w:rPr>
              <w:t>Corporate website — norcotrading.com</w:t>
            </w:r>
          </w:p>
        </w:tc>
        <w:tc>
          <w:tcPr>
            <w:tcW w:type="dxa" w:w="2304"/>
            <w:tcMar>
              <w:top w:w="60" w:type="dxa"/>
              <w:bottom w:w="60" w:type="dxa"/>
              <w:start w:w="110" w:type="dxa"/>
              <w:end w:w="110" w:type="dxa"/>
            </w:tcMar>
            <w:shd w:val="clear" w:color="auto" w:fill="F5F7F9"/>
          </w:tcPr>
          <w:p>
            <w:pPr>
              <w:spacing w:after="0"/>
            </w:pPr>
            <w:r>
              <w:rPr>
                <w:rFonts w:ascii="Calibri" w:hAnsi="Calibri"/>
                <w:b w:val="0"/>
                <w:i w:val="0"/>
                <w:color w:val="1A1A19"/>
                <w:sz w:val="19"/>
              </w:rPr>
              <w:t>USD 300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9"/>
              </w:rPr>
              <w:t>300</w:t>
            </w:r>
          </w:p>
        </w:tc>
      </w:tr>
      <w:tr>
        <w:tc>
          <w:tcPr>
            <w:tcW w:type="dxa" w:w="6336"/>
            <w:tcMar>
              <w:top w:w="60" w:type="dxa"/>
              <w:bottom w:w="60" w:type="dxa"/>
              <w:start w:w="110" w:type="dxa"/>
              <w:end w:w="110" w:type="dxa"/>
            </w:tcMar>
            <w:shd w:val="clear" w:color="auto" w:fill="E9EDF0"/>
          </w:tcPr>
          <w:p>
            <w:pPr>
              <w:spacing w:after="0"/>
            </w:pPr>
            <w:r>
              <w:rPr>
                <w:rFonts w:ascii="Calibri" w:hAnsi="Calibri"/>
                <w:b/>
                <w:i w:val="0"/>
                <w:color w:val="0F2942"/>
                <w:sz w:val="19"/>
              </w:rPr>
              <w:t>Total pre-operational investment</w:t>
            </w:r>
          </w:p>
        </w:tc>
        <w:tc>
          <w:tcPr>
            <w:tcW w:type="dxa" w:w="2304"/>
            <w:tcMar>
              <w:top w:w="60" w:type="dxa"/>
              <w:bottom w:w="60" w:type="dxa"/>
              <w:start w:w="110" w:type="dxa"/>
              <w:end w:w="110" w:type="dxa"/>
            </w:tcMar>
            <w:shd w:val="clear" w:color="auto" w:fill="E9EDF0"/>
          </w:tcPr>
          <w:p>
            <w:pPr>
              <w:spacing w:after="0"/>
            </w:pPr>
            <w:r>
              <w:rPr>
                <w:rFonts w:ascii="Calibri" w:hAnsi="Calibri"/>
                <w:b/>
                <w:i w:val="0"/>
                <w:color w:val="0F2942"/>
                <w:sz w:val="19"/>
              </w:rPr>
            </w:r>
          </w:p>
        </w:tc>
        <w:tc>
          <w:tcPr>
            <w:tcW w:type="dxa" w:w="1296"/>
            <w:tcMar>
              <w:top w:w="60" w:type="dxa"/>
              <w:bottom w:w="60" w:type="dxa"/>
              <w:start w:w="110" w:type="dxa"/>
              <w:end w:w="110" w:type="dxa"/>
            </w:tcMar>
            <w:shd w:val="clear" w:color="auto" w:fill="E9EDF0"/>
          </w:tcPr>
          <w:p>
            <w:pPr>
              <w:spacing w:after="0"/>
              <w:jc w:val="right"/>
            </w:pPr>
            <w:r>
              <w:rPr>
                <w:rFonts w:ascii="Calibri" w:hAnsi="Calibri"/>
                <w:b/>
                <w:i w:val="0"/>
                <w:color w:val="0F2942"/>
                <w:sz w:val="19"/>
              </w:rPr>
              <w:t>14,517</w:t>
            </w:r>
          </w:p>
        </w:tc>
      </w:tr>
    </w:tbl>
    <w:p>
      <w:pPr>
        <w:spacing w:after="40"/>
      </w:pPr>
    </w:p>
    <w:p>
      <w:r>
        <w:br w:type="page"/>
      </w:r>
    </w:p>
    <w:p>
      <w:pPr>
        <w:keepNext/>
        <w:spacing w:before="320" w:after="160"/>
        <w:pBdr>
          <w:bottom w:val="single" w:sz="6" w:space="4" w:color="0F2942"/>
        </w:pBdr>
      </w:pPr>
      <w:r>
        <w:rPr>
          <w:rFonts w:ascii="Calibri" w:hAnsi="Calibri"/>
          <w:b/>
          <w:i w:val="0"/>
          <w:color w:val="C8892A"/>
          <w:sz w:val="30"/>
        </w:rPr>
        <w:t xml:space="preserve">3   </w:t>
      </w:r>
      <w:r>
        <w:rPr>
          <w:rFonts w:ascii="Calibri" w:hAnsi="Calibri"/>
          <w:b/>
          <w:i w:val="0"/>
          <w:color w:val="0F2942"/>
          <w:sz w:val="30"/>
        </w:rPr>
        <w:t>The Two Divisions</w:t>
      </w:r>
    </w:p>
    <w:p>
      <w:pPr>
        <w:keepNext/>
        <w:spacing w:before="220" w:after="80"/>
      </w:pPr>
      <w:r>
        <w:rPr>
          <w:rFonts w:ascii="Calibri" w:hAnsi="Calibri"/>
          <w:b/>
          <w:i w:val="0"/>
          <w:color w:val="0F6E6A"/>
          <w:sz w:val="24"/>
        </w:rPr>
        <w:t>3.1  Vestwoods — Haier Energy battery storage</w:t>
      </w:r>
    </w:p>
    <w:p>
      <w:pPr>
        <w:spacing w:after="120" w:before="0"/>
      </w:pPr>
      <w:r>
        <w:rPr>
          <w:rFonts w:ascii="Calibri" w:hAnsi="Calibri"/>
          <w:b w:val="0"/>
          <w:i w:val="0"/>
          <w:color w:val="1A1A19"/>
          <w:sz w:val="21"/>
        </w:rPr>
        <w:t>Vestwoods is a Haier Energy brand of lithium (LFP) battery energy storage systems, hybrid inverters and telecom power. NORCO holds the exclusive Egypt agency with price control. The product answers a purchase of necessity: chronic load-shedding, diesel-price escalation and a national solar push across residential, telecom and commercial &amp; industrial (C&amp;I) segments. Vestwoods prices 15–25% below premium brands with Haier-backed quality and a 5-year warranty; grey-market imports cannot match warranty, service or price control.</w:t>
      </w:r>
    </w:p>
    <w:p>
      <w:pPr>
        <w:spacing w:after="120" w:before="0"/>
      </w:pPr>
      <w:r>
        <w:rPr>
          <w:rFonts w:ascii="Calibri" w:hAnsi="Calibri"/>
          <w:b w:val="0"/>
          <w:i w:val="0"/>
          <w:color w:val="1A1A19"/>
          <w:sz w:val="21"/>
        </w:rPr>
        <w:t>Full Vestwoods range ships in 40ft FCL containers (340 units, landed USD 239,805 each), China → Alexandria, 45–55 day lead time. Verified pricing (USD, EGP 53):</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1872"/>
            <w:shd w:val="clear" w:color="auto" w:fill="0F2942"/>
            <w:tcMar>
              <w:top w:w="60" w:type="dxa"/>
              <w:bottom w:w="60" w:type="dxa"/>
              <w:start w:w="110" w:type="dxa"/>
              <w:end w:w="110" w:type="dxa"/>
            </w:tcMar>
          </w:tcPr>
          <w:p>
            <w:pPr>
              <w:spacing w:after="0"/>
            </w:pPr>
            <w:r>
              <w:rPr>
                <w:rFonts w:ascii="Calibri" w:hAnsi="Calibri"/>
                <w:b/>
                <w:i w:val="0"/>
                <w:color w:val="FFFFFF"/>
                <w:sz w:val="17"/>
              </w:rPr>
              <w:t>Model</w:t>
            </w:r>
          </w:p>
        </w:tc>
        <w:tc>
          <w:tcPr>
            <w:tcW w:type="dxa" w:w="2880"/>
            <w:shd w:val="clear" w:color="auto" w:fill="0F2942"/>
            <w:tcMar>
              <w:top w:w="60" w:type="dxa"/>
              <w:bottom w:w="60" w:type="dxa"/>
              <w:start w:w="110" w:type="dxa"/>
              <w:end w:w="110" w:type="dxa"/>
            </w:tcMar>
          </w:tcPr>
          <w:p>
            <w:pPr>
              <w:spacing w:after="0"/>
            </w:pPr>
            <w:r>
              <w:rPr>
                <w:rFonts w:ascii="Calibri" w:hAnsi="Calibri"/>
                <w:b/>
                <w:i w:val="0"/>
                <w:color w:val="FFFFFF"/>
                <w:sz w:val="17"/>
              </w:rPr>
              <w:t>Description</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7"/>
              </w:rPr>
              <w:t>Factory</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7"/>
              </w:rPr>
              <w:t>Landed</w:t>
            </w:r>
          </w:p>
        </w:tc>
        <w:tc>
          <w:tcPr>
            <w:tcW w:type="dxa" w:w="1368"/>
            <w:shd w:val="clear" w:color="auto" w:fill="0F2942"/>
            <w:tcMar>
              <w:top w:w="60" w:type="dxa"/>
              <w:bottom w:w="60" w:type="dxa"/>
              <w:start w:w="110" w:type="dxa"/>
              <w:end w:w="110" w:type="dxa"/>
            </w:tcMar>
          </w:tcPr>
          <w:p>
            <w:pPr>
              <w:spacing w:after="0"/>
              <w:jc w:val="right"/>
            </w:pPr>
            <w:r>
              <w:rPr>
                <w:rFonts w:ascii="Calibri" w:hAnsi="Calibri"/>
                <w:b/>
                <w:i w:val="0"/>
                <w:color w:val="FFFFFF"/>
                <w:sz w:val="17"/>
              </w:rPr>
              <w:t>Wholesale</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7"/>
              </w:rPr>
              <w:t>Retail</w:t>
            </w:r>
          </w:p>
        </w:tc>
      </w:tr>
      <w:tr>
        <w:tc>
          <w:tcPr>
            <w:tcW w:type="dxa" w:w="1872"/>
            <w:tcMar>
              <w:top w:w="60" w:type="dxa"/>
              <w:bottom w:w="60" w:type="dxa"/>
              <w:start w:w="110" w:type="dxa"/>
              <w:end w:w="110" w:type="dxa"/>
            </w:tcMar>
          </w:tcPr>
          <w:p>
            <w:pPr>
              <w:spacing w:after="0"/>
            </w:pPr>
            <w:r>
              <w:rPr>
                <w:rFonts w:ascii="Calibri" w:hAnsi="Calibri"/>
                <w:b w:val="0"/>
                <w:i w:val="0"/>
                <w:color w:val="1A1A19"/>
                <w:sz w:val="17"/>
              </w:rPr>
              <w:t>VE51100L</w:t>
            </w:r>
          </w:p>
        </w:tc>
        <w:tc>
          <w:tcPr>
            <w:tcW w:type="dxa" w:w="2880"/>
            <w:tcMar>
              <w:top w:w="60" w:type="dxa"/>
              <w:bottom w:w="60" w:type="dxa"/>
              <w:start w:w="110" w:type="dxa"/>
              <w:end w:w="110" w:type="dxa"/>
            </w:tcMar>
          </w:tcPr>
          <w:p>
            <w:pPr>
              <w:spacing w:after="0"/>
            </w:pPr>
            <w:r>
              <w:rPr>
                <w:rFonts w:ascii="Calibri" w:hAnsi="Calibri"/>
                <w:b w:val="0"/>
                <w:i w:val="0"/>
                <w:color w:val="1A1A19"/>
                <w:sz w:val="17"/>
              </w:rPr>
              <w:t>Smart Battery 5.12 kWh</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672</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853</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1,137</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1,364</w:t>
            </w:r>
          </w:p>
        </w:tc>
      </w:tr>
      <w:tr>
        <w:tc>
          <w:tcPr>
            <w:tcW w:type="dxa" w:w="1872"/>
            <w:tcMar>
              <w:top w:w="60" w:type="dxa"/>
              <w:bottom w:w="60" w:type="dxa"/>
              <w:start w:w="110" w:type="dxa"/>
              <w:end w:w="110" w:type="dxa"/>
            </w:tcMar>
            <w:shd w:val="clear" w:color="auto" w:fill="F5F7F9"/>
          </w:tcPr>
          <w:p>
            <w:pPr>
              <w:spacing w:after="0"/>
            </w:pPr>
            <w:r>
              <w:rPr>
                <w:rFonts w:ascii="Calibri" w:hAnsi="Calibri"/>
                <w:b w:val="0"/>
                <w:i w:val="0"/>
                <w:color w:val="1A1A19"/>
                <w:sz w:val="17"/>
              </w:rPr>
              <w:t>VE51200L</w:t>
            </w:r>
          </w:p>
        </w:tc>
        <w:tc>
          <w:tcPr>
            <w:tcW w:type="dxa" w:w="2880"/>
            <w:tcMar>
              <w:top w:w="60" w:type="dxa"/>
              <w:bottom w:w="60" w:type="dxa"/>
              <w:start w:w="110" w:type="dxa"/>
              <w:end w:w="110" w:type="dxa"/>
            </w:tcMar>
            <w:shd w:val="clear" w:color="auto" w:fill="F5F7F9"/>
          </w:tcPr>
          <w:p>
            <w:pPr>
              <w:spacing w:after="0"/>
            </w:pPr>
            <w:r>
              <w:rPr>
                <w:rFonts w:ascii="Calibri" w:hAnsi="Calibri"/>
                <w:b w:val="0"/>
                <w:i w:val="0"/>
                <w:color w:val="1A1A19"/>
                <w:sz w:val="17"/>
              </w:rPr>
              <w:t>Smart Battery 10.24 kWh</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1,200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1,508</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2,011</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2,413</w:t>
            </w:r>
          </w:p>
        </w:tc>
      </w:tr>
      <w:tr>
        <w:tc>
          <w:tcPr>
            <w:tcW w:type="dxa" w:w="1872"/>
            <w:tcMar>
              <w:top w:w="60" w:type="dxa"/>
              <w:bottom w:w="60" w:type="dxa"/>
              <w:start w:w="110" w:type="dxa"/>
              <w:end w:w="110" w:type="dxa"/>
            </w:tcMar>
          </w:tcPr>
          <w:p>
            <w:pPr>
              <w:spacing w:after="0"/>
            </w:pPr>
            <w:r>
              <w:rPr>
                <w:rFonts w:ascii="Calibri" w:hAnsi="Calibri"/>
                <w:b w:val="0"/>
                <w:i w:val="0"/>
                <w:color w:val="1A1A19"/>
                <w:sz w:val="17"/>
              </w:rPr>
              <w:t>VE51314L</w:t>
            </w:r>
          </w:p>
        </w:tc>
        <w:tc>
          <w:tcPr>
            <w:tcW w:type="dxa" w:w="2880"/>
            <w:tcMar>
              <w:top w:w="60" w:type="dxa"/>
              <w:bottom w:w="60" w:type="dxa"/>
              <w:start w:w="110" w:type="dxa"/>
              <w:end w:w="110" w:type="dxa"/>
            </w:tcMar>
          </w:tcPr>
          <w:p>
            <w:pPr>
              <w:spacing w:after="0"/>
            </w:pPr>
            <w:r>
              <w:rPr>
                <w:rFonts w:ascii="Calibri" w:hAnsi="Calibri"/>
                <w:b w:val="0"/>
                <w:i w:val="0"/>
                <w:color w:val="1A1A19"/>
                <w:sz w:val="17"/>
              </w:rPr>
              <w:t>Smart Battery 16.07 kWh</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1,560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1,955</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2,607</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3,128</w:t>
            </w:r>
          </w:p>
        </w:tc>
      </w:tr>
      <w:tr>
        <w:tc>
          <w:tcPr>
            <w:tcW w:type="dxa" w:w="1872"/>
            <w:tcMar>
              <w:top w:w="60" w:type="dxa"/>
              <w:bottom w:w="60" w:type="dxa"/>
              <w:start w:w="110" w:type="dxa"/>
              <w:end w:w="110" w:type="dxa"/>
            </w:tcMar>
            <w:shd w:val="clear" w:color="auto" w:fill="F5F7F9"/>
          </w:tcPr>
          <w:p>
            <w:pPr>
              <w:spacing w:after="0"/>
            </w:pPr>
            <w:r>
              <w:rPr>
                <w:rFonts w:ascii="Calibri" w:hAnsi="Calibri"/>
                <w:b w:val="0"/>
                <w:i w:val="0"/>
                <w:color w:val="1A1A19"/>
                <w:sz w:val="17"/>
              </w:rPr>
              <w:t>HEH-S6KB3-LV</w:t>
            </w:r>
          </w:p>
        </w:tc>
        <w:tc>
          <w:tcPr>
            <w:tcW w:type="dxa" w:w="2880"/>
            <w:tcMar>
              <w:top w:w="60" w:type="dxa"/>
              <w:bottom w:w="60" w:type="dxa"/>
              <w:start w:w="110" w:type="dxa"/>
              <w:end w:w="110" w:type="dxa"/>
            </w:tcMar>
            <w:shd w:val="clear" w:color="auto" w:fill="F5F7F9"/>
          </w:tcPr>
          <w:p>
            <w:pPr>
              <w:spacing w:after="0"/>
            </w:pPr>
            <w:r>
              <w:rPr>
                <w:rFonts w:ascii="Calibri" w:hAnsi="Calibri"/>
                <w:b w:val="0"/>
                <w:i w:val="0"/>
                <w:color w:val="1A1A19"/>
                <w:sz w:val="17"/>
              </w:rPr>
              <w:t>Hybrid Inverter 6 kW</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390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504</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670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804</w:t>
            </w:r>
          </w:p>
        </w:tc>
      </w:tr>
      <w:tr>
        <w:tc>
          <w:tcPr>
            <w:tcW w:type="dxa" w:w="1872"/>
            <w:tcMar>
              <w:top w:w="60" w:type="dxa"/>
              <w:bottom w:w="60" w:type="dxa"/>
              <w:start w:w="110" w:type="dxa"/>
              <w:end w:w="110" w:type="dxa"/>
            </w:tcMar>
          </w:tcPr>
          <w:p>
            <w:pPr>
              <w:spacing w:after="0"/>
            </w:pPr>
            <w:r>
              <w:rPr>
                <w:rFonts w:ascii="Calibri" w:hAnsi="Calibri"/>
                <w:b w:val="0"/>
                <w:i w:val="0"/>
                <w:color w:val="1A1A19"/>
                <w:sz w:val="17"/>
              </w:rPr>
              <w:t>VEP1K20</w:t>
            </w:r>
          </w:p>
        </w:tc>
        <w:tc>
          <w:tcPr>
            <w:tcW w:type="dxa" w:w="2880"/>
            <w:tcMar>
              <w:top w:w="60" w:type="dxa"/>
              <w:bottom w:w="60" w:type="dxa"/>
              <w:start w:w="110" w:type="dxa"/>
              <w:end w:w="110" w:type="dxa"/>
            </w:tcMar>
          </w:tcPr>
          <w:p>
            <w:pPr>
              <w:spacing w:after="0"/>
            </w:pPr>
            <w:r>
              <w:rPr>
                <w:rFonts w:ascii="Calibri" w:hAnsi="Calibri"/>
                <w:b w:val="0"/>
                <w:i w:val="0"/>
                <w:color w:val="1A1A19"/>
                <w:sz w:val="17"/>
              </w:rPr>
              <w:t>Rescube All-in-One 2 kWh</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365</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473</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628</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754</w:t>
            </w:r>
          </w:p>
        </w:tc>
      </w:tr>
      <w:tr>
        <w:tc>
          <w:tcPr>
            <w:tcW w:type="dxa" w:w="1872"/>
            <w:tcMar>
              <w:top w:w="60" w:type="dxa"/>
              <w:bottom w:w="60" w:type="dxa"/>
              <w:start w:w="110" w:type="dxa"/>
              <w:end w:w="110" w:type="dxa"/>
            </w:tcMar>
            <w:shd w:val="clear" w:color="auto" w:fill="F5F7F9"/>
          </w:tcPr>
          <w:p>
            <w:pPr>
              <w:spacing w:after="0"/>
            </w:pPr>
            <w:r>
              <w:rPr>
                <w:rFonts w:ascii="Calibri" w:hAnsi="Calibri"/>
                <w:b w:val="0"/>
                <w:i w:val="0"/>
                <w:color w:val="1A1A19"/>
                <w:sz w:val="17"/>
              </w:rPr>
              <w:t>VEB 704 / 832</w:t>
            </w:r>
          </w:p>
        </w:tc>
        <w:tc>
          <w:tcPr>
            <w:tcW w:type="dxa" w:w="2880"/>
            <w:tcMar>
              <w:top w:w="60" w:type="dxa"/>
              <w:bottom w:w="60" w:type="dxa"/>
              <w:start w:w="110" w:type="dxa"/>
              <w:end w:w="110" w:type="dxa"/>
            </w:tcMar>
            <w:shd w:val="clear" w:color="auto" w:fill="F5F7F9"/>
          </w:tcPr>
          <w:p>
            <w:pPr>
              <w:spacing w:after="0"/>
            </w:pPr>
            <w:r>
              <w:rPr>
                <w:rFonts w:ascii="Calibri" w:hAnsi="Calibri"/>
                <w:b w:val="0"/>
                <w:i w:val="0"/>
                <w:color w:val="1A1A19"/>
                <w:sz w:val="17"/>
              </w:rPr>
              <w:t>C&amp;I Cabinets 221 / 261 kWh</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27,300+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33,880+</w:t>
            </w:r>
          </w:p>
        </w:tc>
        <w:tc>
          <w:tcPr>
            <w:tcW w:type="dxa" w:w="136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38,973+</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project</w:t>
            </w:r>
          </w:p>
        </w:tc>
      </w:tr>
      <w:tr>
        <w:tc>
          <w:tcPr>
            <w:tcW w:type="dxa" w:w="1872"/>
            <w:tcMar>
              <w:top w:w="60" w:type="dxa"/>
              <w:bottom w:w="60" w:type="dxa"/>
              <w:start w:w="110" w:type="dxa"/>
              <w:end w:w="110" w:type="dxa"/>
            </w:tcMar>
          </w:tcPr>
          <w:p>
            <w:pPr>
              <w:spacing w:after="0"/>
            </w:pPr>
            <w:r>
              <w:rPr>
                <w:rFonts w:ascii="Calibri" w:hAnsi="Calibri"/>
                <w:b w:val="0"/>
                <w:i w:val="0"/>
                <w:color w:val="1A1A19"/>
                <w:sz w:val="17"/>
              </w:rPr>
              <w:t>VT48100E / VT48200</w:t>
            </w:r>
          </w:p>
        </w:tc>
        <w:tc>
          <w:tcPr>
            <w:tcW w:type="dxa" w:w="2880"/>
            <w:tcMar>
              <w:top w:w="60" w:type="dxa"/>
              <w:bottom w:w="60" w:type="dxa"/>
              <w:start w:w="110" w:type="dxa"/>
              <w:end w:w="110" w:type="dxa"/>
            </w:tcMar>
          </w:tcPr>
          <w:p>
            <w:pPr>
              <w:spacing w:after="0"/>
            </w:pPr>
            <w:r>
              <w:rPr>
                <w:rFonts w:ascii="Calibri" w:hAnsi="Calibri"/>
                <w:b w:val="0"/>
                <w:i w:val="0"/>
                <w:color w:val="1A1A19"/>
                <w:sz w:val="17"/>
              </w:rPr>
              <w:t>Telecom 48V batteries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563 / 980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943 / 1,380</w:t>
            </w:r>
          </w:p>
        </w:tc>
        <w:tc>
          <w:tcPr>
            <w:tcW w:type="dxa" w:w="1368"/>
            <w:tcMar>
              <w:top w:w="60" w:type="dxa"/>
              <w:bottom w:w="60" w:type="dxa"/>
              <w:start w:w="110" w:type="dxa"/>
              <w:end w:w="110" w:type="dxa"/>
            </w:tcMar>
          </w:tcPr>
          <w:p>
            <w:pPr>
              <w:spacing w:after="0"/>
              <w:jc w:val="right"/>
            </w:pPr>
            <w:r>
              <w:rPr>
                <w:rFonts w:ascii="Calibri" w:hAnsi="Calibri"/>
                <w:b w:val="0"/>
                <w:i w:val="0"/>
                <w:color w:val="1A1A19"/>
                <w:sz w:val="17"/>
              </w:rPr>
              <w:t>1,044 / 1,530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B2B</w:t>
            </w:r>
          </w:p>
        </w:tc>
      </w:tr>
    </w:tbl>
    <w:p>
      <w:pPr>
        <w:spacing w:after="40"/>
      </w:pPr>
    </w:p>
    <w:p>
      <w:pPr>
        <w:keepNext/>
        <w:spacing w:before="220" w:after="80"/>
      </w:pPr>
      <w:r>
        <w:rPr>
          <w:rFonts w:ascii="Calibri" w:hAnsi="Calibri"/>
          <w:b/>
          <w:i w:val="0"/>
          <w:color w:val="0F6E6A"/>
          <w:sz w:val="24"/>
        </w:rPr>
        <w:t>3.2  Al Reem Plastics — premium houseware from Türkiye</w:t>
      </w:r>
    </w:p>
    <w:p>
      <w:pPr>
        <w:spacing w:after="120" w:before="0"/>
      </w:pPr>
      <w:r>
        <w:rPr>
          <w:rFonts w:ascii="Calibri" w:hAnsi="Calibri"/>
          <w:b w:val="0"/>
          <w:i w:val="0"/>
          <w:color w:val="1A1A19"/>
          <w:sz w:val="21"/>
        </w:rPr>
        <w:t>Al Reem Plastics is a full range of 147 stock-keeping units of household plastic products — storage drawers and boxes, kitchen and food containers, laundry and cleaning ware, bowls and tableware, planters, chairs and tables. The goods are sourced from established Türkiye manufacturers and imported in mixed 40ft containers. Every SKU is costed to the cent: landed cost, wholesale price (COGS ×15%) and retail price (COGS ×38%) are already modelled in NORCO's pricing sheet.</w:t>
      </w:r>
    </w:p>
    <w:p>
      <w:pPr>
        <w:spacing w:after="80" w:before="0"/>
      </w:pPr>
      <w:r>
        <w:rPr>
          <w:rFonts w:ascii="Calibri" w:hAnsi="Calibri"/>
          <w:b/>
          <w:i w:val="0"/>
          <w:color w:val="1A1A19"/>
          <w:sz w:val="21"/>
        </w:rPr>
        <w:t>Strategically, Al Reem does four things for NORCO:</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Diversification — </w:t>
      </w:r>
      <w:r>
        <w:rPr>
          <w:rFonts w:ascii="Calibri" w:hAnsi="Calibri"/>
          <w:b w:val="0"/>
          <w:i w:val="0"/>
          <w:color w:val="1A1A19"/>
          <w:sz w:val="21"/>
        </w:rPr>
        <w:t>everyday, cycle-resistant demand that is uncorrelated with the energy-capex cycle and unaffected by grid policy.</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Cash velocity — </w:t>
      </w:r>
      <w:r>
        <w:rPr>
          <w:rFonts w:ascii="Calibri" w:hAnsi="Calibri"/>
          <w:b w:val="0"/>
          <w:i w:val="0"/>
          <w:color w:val="1A1A19"/>
          <w:sz w:val="21"/>
        </w:rPr>
        <w:t>low unit cost and fast turns generate working capital that helps fund the heavier Vestwoods inventory.</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Platform leverage — </w:t>
      </w:r>
      <w:r>
        <w:rPr>
          <w:rFonts w:ascii="Calibri" w:hAnsi="Calibri"/>
          <w:b w:val="0"/>
          <w:i w:val="0"/>
          <w:color w:val="1A1A19"/>
          <w:sz w:val="21"/>
        </w:rPr>
        <w:t>shares the same warehouse, showrooms, logistics and management, so gross margin drops almost straight to contribution.</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Channel depth — </w:t>
      </w:r>
      <w:r>
        <w:rPr>
          <w:rFonts w:ascii="Calibri" w:hAnsi="Calibri"/>
          <w:b w:val="0"/>
          <w:i w:val="0"/>
          <w:color w:val="1A1A19"/>
          <w:sz w:val="21"/>
        </w:rPr>
        <w:t>gives NORCO a second reason to call on every retailer and wholesaler, widening the dealer network that also sells Vestwoods.</w:t>
      </w:r>
    </w:p>
    <w:p>
      <w:pPr>
        <w:spacing w:after="120" w:before="80"/>
      </w:pPr>
      <w:r>
        <w:rPr>
          <w:rFonts w:ascii="Calibri" w:hAnsi="Calibri"/>
          <w:b w:val="0"/>
          <w:i w:val="0"/>
          <w:color w:val="1A1A19"/>
          <w:sz w:val="21"/>
        </w:rPr>
        <w:t>Representative Al Reem unit economics (verified, USD):</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930"/>
        <w:gridCol w:w="1930"/>
        <w:gridCol w:w="1930"/>
        <w:gridCol w:w="1930"/>
        <w:gridCol w:w="1930"/>
      </w:tblGrid>
      <w:tr>
        <w:tc>
          <w:tcPr>
            <w:tcW w:type="dxa" w:w="4176"/>
            <w:shd w:val="clear" w:color="auto" w:fill="0F2942"/>
            <w:tcMar>
              <w:top w:w="60" w:type="dxa"/>
              <w:bottom w:w="60" w:type="dxa"/>
              <w:start w:w="110" w:type="dxa"/>
              <w:end w:w="110" w:type="dxa"/>
            </w:tcMar>
          </w:tcPr>
          <w:p>
            <w:pPr>
              <w:spacing w:after="0"/>
            </w:pPr>
            <w:r>
              <w:rPr>
                <w:rFonts w:ascii="Calibri" w:hAnsi="Calibri"/>
                <w:b/>
                <w:i w:val="0"/>
                <w:color w:val="FFFFFF"/>
                <w:sz w:val="17"/>
              </w:rPr>
              <w:t>Representative SKU</w:t>
            </w:r>
          </w:p>
        </w:tc>
        <w:tc>
          <w:tcPr>
            <w:tcW w:type="dxa" w:w="1512"/>
            <w:shd w:val="clear" w:color="auto" w:fill="0F2942"/>
            <w:tcMar>
              <w:top w:w="60" w:type="dxa"/>
              <w:bottom w:w="60" w:type="dxa"/>
              <w:start w:w="110" w:type="dxa"/>
              <w:end w:w="110" w:type="dxa"/>
            </w:tcMar>
          </w:tcPr>
          <w:p>
            <w:pPr>
              <w:spacing w:after="0"/>
              <w:jc w:val="right"/>
            </w:pPr>
            <w:r>
              <w:rPr>
                <w:rFonts w:ascii="Calibri" w:hAnsi="Calibri"/>
                <w:b/>
                <w:i w:val="0"/>
                <w:color w:val="FFFFFF"/>
                <w:sz w:val="17"/>
              </w:rPr>
              <w:t>Landed COGS</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Wholesale</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7"/>
              </w:rPr>
              <w:t>Retail</w:t>
            </w:r>
          </w:p>
        </w:tc>
        <w:tc>
          <w:tcPr>
            <w:tcW w:type="dxa" w:w="1440"/>
            <w:shd w:val="clear" w:color="auto" w:fill="0F2942"/>
            <w:tcMar>
              <w:top w:w="60" w:type="dxa"/>
              <w:bottom w:w="60" w:type="dxa"/>
              <w:start w:w="110" w:type="dxa"/>
              <w:end w:w="110" w:type="dxa"/>
            </w:tcMar>
          </w:tcPr>
          <w:p>
            <w:pPr>
              <w:spacing w:after="0"/>
              <w:jc w:val="right"/>
            </w:pPr>
            <w:r>
              <w:rPr>
                <w:rFonts w:ascii="Calibri" w:hAnsi="Calibri"/>
                <w:b/>
                <w:i w:val="0"/>
                <w:color w:val="FFFFFF"/>
                <w:sz w:val="17"/>
              </w:rPr>
              <w:t>GM% W/R</w:t>
            </w:r>
          </w:p>
        </w:tc>
      </w:tr>
      <w:tr>
        <w:tc>
          <w:tcPr>
            <w:tcW w:type="dxa" w:w="4176"/>
            <w:tcMar>
              <w:top w:w="60" w:type="dxa"/>
              <w:bottom w:w="60" w:type="dxa"/>
              <w:start w:w="110" w:type="dxa"/>
              <w:end w:w="110" w:type="dxa"/>
            </w:tcMar>
          </w:tcPr>
          <w:p>
            <w:pPr>
              <w:spacing w:after="0"/>
            </w:pPr>
            <w:r>
              <w:rPr>
                <w:rFonts w:ascii="Calibri" w:hAnsi="Calibri"/>
                <w:b w:val="0"/>
                <w:i w:val="0"/>
                <w:color w:val="1A1A19"/>
                <w:sz w:val="17"/>
              </w:rPr>
              <w:t>Storage Drawers (4) w/ compartment</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23.98</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27.75</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33.30</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16 / 39%</w:t>
            </w:r>
          </w:p>
        </w:tc>
      </w:tr>
      <w:tr>
        <w:tc>
          <w:tcPr>
            <w:tcW w:type="dxa" w:w="4176"/>
            <w:tcMar>
              <w:top w:w="60" w:type="dxa"/>
              <w:bottom w:w="60" w:type="dxa"/>
              <w:start w:w="110" w:type="dxa"/>
              <w:end w:w="110" w:type="dxa"/>
            </w:tcMar>
            <w:shd w:val="clear" w:color="auto" w:fill="F5F7F9"/>
          </w:tcPr>
          <w:p>
            <w:pPr>
              <w:spacing w:after="0"/>
            </w:pPr>
            <w:r>
              <w:rPr>
                <w:rFonts w:ascii="Calibri" w:hAnsi="Calibri"/>
                <w:b w:val="0"/>
                <w:i w:val="0"/>
                <w:color w:val="1A1A19"/>
                <w:sz w:val="17"/>
              </w:rPr>
              <w:t>Clothes Drier</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19.95</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23.12</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27.74</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16 / 39%</w:t>
            </w:r>
          </w:p>
        </w:tc>
      </w:tr>
      <w:tr>
        <w:tc>
          <w:tcPr>
            <w:tcW w:type="dxa" w:w="4176"/>
            <w:tcMar>
              <w:top w:w="60" w:type="dxa"/>
              <w:bottom w:w="60" w:type="dxa"/>
              <w:start w:w="110" w:type="dxa"/>
              <w:end w:w="110" w:type="dxa"/>
            </w:tcMar>
          </w:tcPr>
          <w:p>
            <w:pPr>
              <w:spacing w:after="0"/>
            </w:pPr>
            <w:r>
              <w:rPr>
                <w:rFonts w:ascii="Calibri" w:hAnsi="Calibri"/>
                <w:b w:val="0"/>
                <w:i w:val="0"/>
                <w:color w:val="1A1A19"/>
                <w:sz w:val="17"/>
              </w:rPr>
              <w:t>90L Waste bin with cover</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11.33</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13.21</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15.85</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17 / 40%</w:t>
            </w:r>
          </w:p>
        </w:tc>
      </w:tr>
      <w:tr>
        <w:tc>
          <w:tcPr>
            <w:tcW w:type="dxa" w:w="4176"/>
            <w:tcMar>
              <w:top w:w="60" w:type="dxa"/>
              <w:bottom w:w="60" w:type="dxa"/>
              <w:start w:w="110" w:type="dxa"/>
              <w:end w:w="110" w:type="dxa"/>
            </w:tcMar>
            <w:shd w:val="clear" w:color="auto" w:fill="F5F7F9"/>
          </w:tcPr>
          <w:p>
            <w:pPr>
              <w:spacing w:after="0"/>
            </w:pPr>
            <w:r>
              <w:rPr>
                <w:rFonts w:ascii="Calibri" w:hAnsi="Calibri"/>
                <w:b w:val="0"/>
                <w:i w:val="0"/>
                <w:color w:val="1A1A19"/>
                <w:sz w:val="17"/>
              </w:rPr>
              <w:t>50L Waste bin</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9.04</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10.57</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12.68</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17 / 40%</w:t>
            </w:r>
          </w:p>
        </w:tc>
      </w:tr>
      <w:tr>
        <w:tc>
          <w:tcPr>
            <w:tcW w:type="dxa" w:w="4176"/>
            <w:tcMar>
              <w:top w:w="60" w:type="dxa"/>
              <w:bottom w:w="60" w:type="dxa"/>
              <w:start w:w="110" w:type="dxa"/>
              <w:end w:w="110" w:type="dxa"/>
            </w:tcMar>
          </w:tcPr>
          <w:p>
            <w:pPr>
              <w:spacing w:after="0"/>
            </w:pPr>
            <w:r>
              <w:rPr>
                <w:rFonts w:ascii="Calibri" w:hAnsi="Calibri"/>
                <w:b w:val="0"/>
                <w:i w:val="0"/>
                <w:color w:val="1A1A19"/>
                <w:sz w:val="17"/>
              </w:rPr>
              <w:t>Large Laundry Basket with Lid</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9.78</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11.43</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13.71</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17 / 40%</w:t>
            </w:r>
          </w:p>
        </w:tc>
      </w:tr>
      <w:tr>
        <w:tc>
          <w:tcPr>
            <w:tcW w:type="dxa" w:w="4176"/>
            <w:tcMar>
              <w:top w:w="60" w:type="dxa"/>
              <w:bottom w:w="60" w:type="dxa"/>
              <w:start w:w="110" w:type="dxa"/>
              <w:end w:w="110" w:type="dxa"/>
            </w:tcMar>
            <w:shd w:val="clear" w:color="auto" w:fill="F5F7F9"/>
          </w:tcPr>
          <w:p>
            <w:pPr>
              <w:spacing w:after="0"/>
            </w:pPr>
            <w:r>
              <w:rPr>
                <w:rFonts w:ascii="Calibri" w:hAnsi="Calibri"/>
                <w:b w:val="0"/>
                <w:i w:val="0"/>
                <w:color w:val="1A1A19"/>
                <w:sz w:val="17"/>
              </w:rPr>
              <w:t>13.5L Rectangular Food Container</w:t>
            </w:r>
          </w:p>
        </w:tc>
        <w:tc>
          <w:tcPr>
            <w:tcW w:type="dxa" w:w="1512"/>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3.77</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4.51</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5.41</w:t>
            </w:r>
          </w:p>
        </w:tc>
        <w:tc>
          <w:tcPr>
            <w:tcW w:type="dxa" w:w="144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20 / 43%</w:t>
            </w:r>
          </w:p>
        </w:tc>
      </w:tr>
      <w:tr>
        <w:tc>
          <w:tcPr>
            <w:tcW w:type="dxa" w:w="4176"/>
            <w:tcMar>
              <w:top w:w="60" w:type="dxa"/>
              <w:bottom w:w="60" w:type="dxa"/>
              <w:start w:w="110" w:type="dxa"/>
              <w:end w:w="110" w:type="dxa"/>
            </w:tcMar>
          </w:tcPr>
          <w:p>
            <w:pPr>
              <w:spacing w:after="0"/>
            </w:pPr>
            <w:r>
              <w:rPr>
                <w:rFonts w:ascii="Calibri" w:hAnsi="Calibri"/>
                <w:b w:val="0"/>
                <w:i w:val="0"/>
                <w:color w:val="1A1A19"/>
                <w:sz w:val="17"/>
              </w:rPr>
              <w:t>Sugar box with cover &amp; spoon</w:t>
            </w:r>
          </w:p>
        </w:tc>
        <w:tc>
          <w:tcPr>
            <w:tcW w:type="dxa" w:w="1512"/>
            <w:tcMar>
              <w:top w:w="60" w:type="dxa"/>
              <w:bottom w:w="60" w:type="dxa"/>
              <w:start w:w="110" w:type="dxa"/>
              <w:end w:w="110" w:type="dxa"/>
            </w:tcMar>
          </w:tcPr>
          <w:p>
            <w:pPr>
              <w:spacing w:after="0"/>
              <w:jc w:val="right"/>
            </w:pPr>
            <w:r>
              <w:rPr>
                <w:rFonts w:ascii="Calibri" w:hAnsi="Calibri"/>
                <w:b w:val="0"/>
                <w:i w:val="0"/>
                <w:color w:val="1A1A19"/>
                <w:sz w:val="17"/>
              </w:rPr>
              <w:t>0.67</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0.94</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7"/>
              </w:rPr>
              <w:t>1.13</w:t>
            </w:r>
          </w:p>
        </w:tc>
        <w:tc>
          <w:tcPr>
            <w:tcW w:type="dxa" w:w="1440"/>
            <w:tcMar>
              <w:top w:w="60" w:type="dxa"/>
              <w:bottom w:w="60" w:type="dxa"/>
              <w:start w:w="110" w:type="dxa"/>
              <w:end w:w="110" w:type="dxa"/>
            </w:tcMar>
          </w:tcPr>
          <w:p>
            <w:pPr>
              <w:spacing w:after="0"/>
              <w:jc w:val="right"/>
            </w:pPr>
            <w:r>
              <w:rPr>
                <w:rFonts w:ascii="Calibri" w:hAnsi="Calibri"/>
                <w:b w:val="0"/>
                <w:i w:val="0"/>
                <w:color w:val="1A1A19"/>
                <w:sz w:val="17"/>
              </w:rPr>
              <w:t>40 / 68%</w:t>
            </w:r>
          </w:p>
        </w:tc>
      </w:tr>
    </w:tbl>
    <w:p>
      <w:pPr>
        <w:spacing w:after="40"/>
      </w:pPr>
    </w:p>
    <w:p>
      <w:pPr>
        <w:spacing w:after="120" w:before="0"/>
      </w:pPr>
      <w:r>
        <w:rPr>
          <w:rFonts w:ascii="Calibri" w:hAnsi="Calibri"/>
          <w:b w:val="0"/>
          <w:i/>
          <w:color w:val="5C5B57"/>
          <w:sz w:val="19"/>
        </w:rPr>
        <w:t>Across the 147-SKU range, blended gross margin runs ~19% wholesale to ~28% at retail; NORCO models the division at a 19% blended margin in Year 1, rising to 23% by Year 5 as the own-showroom retail mix and brand pull grow.</w:t>
      </w:r>
    </w:p>
    <w:p>
      <w:r>
        <w:br w:type="page"/>
      </w:r>
    </w:p>
    <w:p>
      <w:pPr>
        <w:keepNext/>
        <w:spacing w:before="320" w:after="160"/>
        <w:pBdr>
          <w:bottom w:val="single" w:sz="6" w:space="4" w:color="0F2942"/>
        </w:pBdr>
      </w:pPr>
      <w:r>
        <w:rPr>
          <w:rFonts w:ascii="Calibri" w:hAnsi="Calibri"/>
          <w:b/>
          <w:i w:val="0"/>
          <w:color w:val="C8892A"/>
          <w:sz w:val="30"/>
        </w:rPr>
        <w:t xml:space="preserve">4   </w:t>
      </w:r>
      <w:r>
        <w:rPr>
          <w:rFonts w:ascii="Calibri" w:hAnsi="Calibri"/>
          <w:b/>
          <w:i w:val="0"/>
          <w:color w:val="0F2942"/>
          <w:sz w:val="30"/>
        </w:rPr>
        <w:t>Market Analysis</w:t>
      </w:r>
    </w:p>
    <w:p>
      <w:pPr>
        <w:keepNext/>
        <w:spacing w:before="220" w:after="80"/>
      </w:pPr>
      <w:r>
        <w:rPr>
          <w:rFonts w:ascii="Calibri" w:hAnsi="Calibri"/>
          <w:b/>
          <w:i w:val="0"/>
          <w:color w:val="0F6E6A"/>
          <w:sz w:val="24"/>
        </w:rPr>
        <w:t>4.1  Vestwoods — four energy-storage corridors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Egypt — </w:t>
      </w:r>
      <w:r>
        <w:rPr>
          <w:rFonts w:ascii="Calibri" w:hAnsi="Calibri"/>
          <w:b w:val="0"/>
          <w:i w:val="0"/>
          <w:color w:val="1A1A19"/>
          <w:sz w:val="21"/>
        </w:rPr>
        <w:t>chronic load-shedding, diesel escalation and the national solar push make lithium storage a purchase of necessity across residential, telecom and C&amp;I segments. Vestwoods' price/quality position and warranty beat both premium brands and grey-market imports. 12 → 40 containers over five years.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Sudan — </w:t>
      </w:r>
      <w:r>
        <w:rPr>
          <w:rFonts w:ascii="Calibri" w:hAnsi="Calibri"/>
          <w:b w:val="0"/>
          <w:i w:val="0"/>
          <w:color w:val="1A1A19"/>
          <w:sz w:val="21"/>
        </w:rPr>
        <w:t>committed buyer already identified; orders trigger on arrival of the first containers at NORCO's warehouse, on 50% advance + 50% on delivery. Grid instability makes solar-household and telecom kits essential goods. 4 → 20 containers.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Algeria — </w:t>
      </w:r>
      <w:r>
        <w:rPr>
          <w:rFonts w:ascii="Calibri" w:hAnsi="Calibri"/>
          <w:b w:val="0"/>
          <w:i w:val="0"/>
          <w:color w:val="1A1A19"/>
          <w:sz w:val="21"/>
        </w:rPr>
        <w:t>NORCO is in active negotiation with an Algerian company to take the agency and place first orders by the end of Year 1. Structured FOB Jebel Ali to a licensed importer under the bank-domiciliation regime, 100% LC before shipment, zero in-country exposure. 1 → 9 containers.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Libya — </w:t>
      </w:r>
      <w:r>
        <w:rPr>
          <w:rFonts w:ascii="Calibri" w:hAnsi="Calibri"/>
          <w:b w:val="0"/>
          <w:i w:val="0"/>
          <w:color w:val="1A1A19"/>
          <w:sz w:val="21"/>
        </w:rPr>
        <w:t>dual-hub distributors (Tripoli + Benghazi) from Year 2 on advance/LC terms; 2 → 7 containers.</w:t>
      </w:r>
    </w:p>
    <w:p>
      <w:pPr>
        <w:jc w:val="center"/>
      </w:pPr>
      <w:r>
        <w:drawing>
          <wp:inline xmlns:a="http://schemas.openxmlformats.org/drawingml/2006/main" xmlns:pic="http://schemas.openxmlformats.org/drawingml/2006/picture">
            <wp:extent cx="5669280" cy="3372359"/>
            <wp:docPr id="2" name="Picture 2"/>
            <wp:cNvGraphicFramePr>
              <a:graphicFrameLocks noChangeAspect="1"/>
            </wp:cNvGraphicFramePr>
            <a:graphic>
              <a:graphicData uri="http://schemas.openxmlformats.org/drawingml/2006/picture">
                <pic:pic>
                  <pic:nvPicPr>
                    <pic:cNvPr id="0" name="revenue_by_market.png"/>
                    <pic:cNvPicPr/>
                  </pic:nvPicPr>
                  <pic:blipFill>
                    <a:blip r:embed="rId11"/>
                    <a:stretch>
                      <a:fillRect/>
                    </a:stretch>
                  </pic:blipFill>
                  <pic:spPr>
                    <a:xfrm>
                      <a:off x="0" y="0"/>
                      <a:ext cx="5669280" cy="3372359"/>
                    </a:xfrm>
                    <a:prstGeom prst="rect"/>
                  </pic:spPr>
                </pic:pic>
              </a:graphicData>
            </a:graphic>
          </wp:inline>
        </w:drawing>
      </w:r>
    </w:p>
    <w:p>
      <w:pPr>
        <w:keepNext/>
        <w:spacing w:before="220" w:after="80"/>
      </w:pPr>
      <w:r>
        <w:rPr>
          <w:rFonts w:ascii="Calibri" w:hAnsi="Calibri"/>
          <w:b/>
          <w:i w:val="0"/>
          <w:color w:val="0F6E6A"/>
          <w:sz w:val="24"/>
        </w:rPr>
        <w:t>4.2  Al Reem Plastics — everyday houseware demand</w:t>
      </w:r>
    </w:p>
    <w:p>
      <w:pPr>
        <w:spacing w:after="160" w:before="0"/>
      </w:pPr>
      <w:r>
        <w:rPr>
          <w:rFonts w:ascii="Calibri" w:hAnsi="Calibri"/>
          <w:b w:val="0"/>
          <w:i w:val="0"/>
          <w:color w:val="1A1A19"/>
          <w:sz w:val="21"/>
        </w:rPr>
        <w:t>Egypt's ~110 million people, rapid new-city housing (New Cairo, 6th October, the New Administrative Capital) and a large informal-retail base drive constant replacement demand for affordable, durable household plastics. Türkiye-made goods carry a quality-and-design premium over local production while remaining price-competitive after duty. The same Sudan and Libya corridors that take Vestwoods also absorb houseware through NORCO's export sub-distributors. NORCO enters at wholesale to retailers and hypermarkets, and at retail through its own showrooms and online channel.</w:t>
      </w:r>
    </w:p>
    <w:p>
      <w:pPr>
        <w:keepNext/>
        <w:spacing w:before="220" w:after="80"/>
      </w:pPr>
      <w:r>
        <w:rPr>
          <w:rFonts w:ascii="Calibri" w:hAnsi="Calibri"/>
          <w:b/>
          <w:i w:val="0"/>
          <w:color w:val="0F6E6A"/>
          <w:sz w:val="24"/>
        </w:rPr>
        <w:t>4.3  SWOT — NORCO Group</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4824"/>
        <w:gridCol w:w="4824"/>
      </w:tblGrid>
      <w:tr>
        <w:tc>
          <w:tcPr>
            <w:tcW w:type="dxa" w:w="4824"/>
            <w:shd w:val="clear" w:color="auto" w:fill="F0F6F2"/>
            <w:tcMar>
              <w:top w:w="110" w:type="dxa"/>
              <w:bottom w:w="110" w:type="dxa"/>
              <w:start w:w="140" w:type="dxa"/>
              <w:end w:w="140" w:type="dxa"/>
            </w:tcMar>
          </w:tcPr>
          <w:p>
            <w:pPr>
              <w:spacing w:after="60"/>
            </w:pPr>
            <w:r>
              <w:rPr>
                <w:rFonts w:ascii="Calibri" w:hAnsi="Calibri"/>
                <w:b/>
                <w:i w:val="0"/>
                <w:color w:val="0F2942"/>
                <w:sz w:val="22"/>
              </w:rPr>
              <w:t>Strengths</w:t>
            </w:r>
          </w:p>
          <w:p>
            <w:pPr>
              <w:spacing w:after="0"/>
            </w:pPr>
            <w:r>
              <w:rPr>
                <w:rFonts w:ascii="Calibri" w:hAnsi="Calibri"/>
                <w:b w:val="0"/>
                <w:i w:val="0"/>
                <w:color w:val="1A1A19"/>
                <w:sz w:val="18"/>
              </w:rPr>
              <w:t>Two complementary divisions on one platform; Vestwoods exclusive agency + price control; operating showroom with pre-launch sales; committed Sudan buyer; Al Reem fully SKU-costed; Haier brand.</w:t>
            </w:r>
          </w:p>
        </w:tc>
        <w:tc>
          <w:tcPr>
            <w:tcW w:type="dxa" w:w="4824"/>
            <w:shd w:val="clear" w:color="auto" w:fill="FBF3F0"/>
            <w:tcMar>
              <w:top w:w="110" w:type="dxa"/>
              <w:bottom w:w="110" w:type="dxa"/>
              <w:start w:w="140" w:type="dxa"/>
              <w:end w:w="140" w:type="dxa"/>
            </w:tcMar>
          </w:tcPr>
          <w:p>
            <w:pPr>
              <w:spacing w:after="60"/>
            </w:pPr>
            <w:r>
              <w:rPr>
                <w:rFonts w:ascii="Calibri" w:hAnsi="Calibri"/>
                <w:b/>
                <w:i w:val="0"/>
                <w:color w:val="0F2942"/>
                <w:sz w:val="22"/>
              </w:rPr>
              <w:t>Weaknesses</w:t>
            </w:r>
          </w:p>
          <w:p>
            <w:pPr>
              <w:spacing w:after="0"/>
            </w:pPr>
            <w:r>
              <w:rPr>
                <w:rFonts w:ascii="Calibri" w:hAnsi="Calibri"/>
                <w:b w:val="0"/>
                <w:i w:val="0"/>
                <w:color w:val="1A1A19"/>
                <w:sz w:val="18"/>
              </w:rPr>
              <w:t>Year-1 Vestwoods prepayment strains working capital; execution depends on the raise closing on time; two supply chains to manage; new houseware brand-building in Egypt.</w:t>
            </w:r>
          </w:p>
        </w:tc>
      </w:tr>
      <w:tr>
        <w:tc>
          <w:tcPr>
            <w:tcW w:type="dxa" w:w="4824"/>
            <w:shd w:val="clear" w:color="auto" w:fill="F0F6F2"/>
            <w:tcMar>
              <w:top w:w="110" w:type="dxa"/>
              <w:bottom w:w="110" w:type="dxa"/>
              <w:start w:w="140" w:type="dxa"/>
              <w:end w:w="140" w:type="dxa"/>
            </w:tcMar>
          </w:tcPr>
          <w:p>
            <w:pPr>
              <w:spacing w:after="60"/>
            </w:pPr>
            <w:r>
              <w:rPr>
                <w:rFonts w:ascii="Calibri" w:hAnsi="Calibri"/>
                <w:b/>
                <w:i w:val="0"/>
                <w:color w:val="0F2942"/>
                <w:sz w:val="22"/>
              </w:rPr>
              <w:t>Opportunities</w:t>
            </w:r>
          </w:p>
          <w:p>
            <w:pPr>
              <w:spacing w:after="0"/>
            </w:pPr>
            <w:r>
              <w:rPr>
                <w:rFonts w:ascii="Calibri" w:hAnsi="Calibri"/>
                <w:b w:val="0"/>
                <w:i w:val="0"/>
                <w:color w:val="1A1A19"/>
                <w:sz w:val="18"/>
              </w:rPr>
              <w:t>Egypt energy tenders (NUCA/EEHC, Law 5/2015 CKD roadmap); telecom fleet contracts; houseware hypermarket listings; four-market compounding across both divisions.</w:t>
            </w:r>
          </w:p>
        </w:tc>
        <w:tc>
          <w:tcPr>
            <w:tcW w:type="dxa" w:w="4824"/>
            <w:shd w:val="clear" w:color="auto" w:fill="FBF3F0"/>
            <w:tcMar>
              <w:top w:w="110" w:type="dxa"/>
              <w:bottom w:w="110" w:type="dxa"/>
              <w:start w:w="140" w:type="dxa"/>
              <w:end w:w="140" w:type="dxa"/>
            </w:tcMar>
          </w:tcPr>
          <w:p>
            <w:pPr>
              <w:spacing w:after="60"/>
            </w:pPr>
            <w:r>
              <w:rPr>
                <w:rFonts w:ascii="Calibri" w:hAnsi="Calibri"/>
                <w:b/>
                <w:i w:val="0"/>
                <w:color w:val="0F2942"/>
                <w:sz w:val="22"/>
              </w:rPr>
              <w:t>Threats</w:t>
            </w:r>
          </w:p>
          <w:p>
            <w:pPr>
              <w:spacing w:after="0"/>
            </w:pPr>
            <w:r>
              <w:rPr>
                <w:rFonts w:ascii="Calibri" w:hAnsi="Calibri"/>
                <w:b w:val="0"/>
                <w:i w:val="0"/>
                <w:color w:val="1A1A19"/>
                <w:sz w:val="18"/>
              </w:rPr>
              <w:t>EGP devaluation; customs delays; grey-market pricing; regional instability in export corridors; low-cost local plastics competition.</w:t>
            </w:r>
          </w:p>
        </w:tc>
      </w:tr>
    </w:tbl>
    <w:p>
      <w:pPr>
        <w:spacing w:after="40"/>
      </w:pPr>
    </w:p>
    <w:p>
      <w:r>
        <w:br w:type="page"/>
      </w:r>
    </w:p>
    <w:p>
      <w:pPr>
        <w:keepNext/>
        <w:spacing w:before="320" w:after="160"/>
        <w:pBdr>
          <w:bottom w:val="single" w:sz="6" w:space="4" w:color="0F2942"/>
        </w:pBdr>
      </w:pPr>
      <w:r>
        <w:rPr>
          <w:rFonts w:ascii="Calibri" w:hAnsi="Calibri"/>
          <w:b/>
          <w:i w:val="0"/>
          <w:color w:val="C8892A"/>
          <w:sz w:val="30"/>
        </w:rPr>
        <w:t xml:space="preserve">5   </w:t>
      </w:r>
      <w:r>
        <w:rPr>
          <w:rFonts w:ascii="Calibri" w:hAnsi="Calibri"/>
          <w:b/>
          <w:i w:val="0"/>
          <w:color w:val="0F2942"/>
          <w:sz w:val="30"/>
        </w:rPr>
        <w:t>Supplier &amp; Customer Terms — the Cash-Flow Engine</w:t>
      </w:r>
    </w:p>
    <w:p>
      <w:pPr>
        <w:spacing w:after="160" w:before="0"/>
      </w:pPr>
      <w:r>
        <w:rPr>
          <w:rFonts w:ascii="Calibri" w:hAnsi="Calibri"/>
          <w:b w:val="0"/>
          <w:i w:val="0"/>
          <w:color w:val="1A1A19"/>
          <w:sz w:val="21"/>
        </w:rPr>
        <w:t>The structure of the plan is driven by payment terms. Vestwoods requires full prepayment in Year 1, which is exactly why the raise is needed; Al Reem and the export customers generate cash quickly, which is exactly what funds the group thereafter.</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3456"/>
            <w:shd w:val="clear" w:color="auto" w:fill="0F2942"/>
            <w:tcMar>
              <w:top w:w="60" w:type="dxa"/>
              <w:bottom w:w="60" w:type="dxa"/>
              <w:start w:w="110" w:type="dxa"/>
              <w:end w:w="110" w:type="dxa"/>
            </w:tcMar>
          </w:tcPr>
          <w:p>
            <w:pPr>
              <w:spacing w:after="0"/>
            </w:pPr>
            <w:r>
              <w:rPr>
                <w:rFonts w:ascii="Calibri" w:hAnsi="Calibri"/>
                <w:b/>
                <w:i w:val="0"/>
                <w:color w:val="FFFFFF"/>
                <w:sz w:val="18"/>
              </w:rPr>
              <w:t>Party / period</w:t>
            </w:r>
          </w:p>
        </w:tc>
        <w:tc>
          <w:tcPr>
            <w:tcW w:type="dxa" w:w="3312"/>
            <w:shd w:val="clear" w:color="auto" w:fill="0F2942"/>
            <w:tcMar>
              <w:top w:w="60" w:type="dxa"/>
              <w:bottom w:w="60" w:type="dxa"/>
              <w:start w:w="110" w:type="dxa"/>
              <w:end w:w="110" w:type="dxa"/>
            </w:tcMar>
          </w:tcPr>
          <w:p>
            <w:pPr>
              <w:spacing w:after="0"/>
            </w:pPr>
            <w:r>
              <w:rPr>
                <w:rFonts w:ascii="Calibri" w:hAnsi="Calibri"/>
                <w:b/>
                <w:i w:val="0"/>
                <w:color w:val="FFFFFF"/>
                <w:sz w:val="18"/>
              </w:rPr>
              <w:t>Terms</w:t>
            </w:r>
          </w:p>
        </w:tc>
        <w:tc>
          <w:tcPr>
            <w:tcW w:type="dxa" w:w="3312"/>
            <w:shd w:val="clear" w:color="auto" w:fill="0F2942"/>
            <w:tcMar>
              <w:top w:w="60" w:type="dxa"/>
              <w:bottom w:w="60" w:type="dxa"/>
              <w:start w:w="110" w:type="dxa"/>
              <w:end w:w="110" w:type="dxa"/>
            </w:tcMar>
          </w:tcPr>
          <w:p>
            <w:pPr>
              <w:spacing w:after="0"/>
            </w:pPr>
            <w:r>
              <w:rPr>
                <w:rFonts w:ascii="Calibri" w:hAnsi="Calibri"/>
                <w:b/>
                <w:i w:val="0"/>
                <w:color w:val="FFFFFF"/>
                <w:sz w:val="18"/>
              </w:rPr>
              <w:t>Cash impact</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Vestwoods — Year 1 (POs Aug-26 – Jul-27)</w:t>
            </w:r>
          </w:p>
        </w:tc>
        <w:tc>
          <w:tcPr>
            <w:tcW w:type="dxa" w:w="3312"/>
            <w:tcMar>
              <w:top w:w="60" w:type="dxa"/>
              <w:bottom w:w="60" w:type="dxa"/>
              <w:start w:w="110" w:type="dxa"/>
              <w:end w:w="110" w:type="dxa"/>
            </w:tcMar>
          </w:tcPr>
          <w:p>
            <w:pPr>
              <w:spacing w:after="0"/>
            </w:pPr>
            <w:r>
              <w:rPr>
                <w:rFonts w:ascii="Calibri" w:hAnsi="Calibri"/>
                <w:b w:val="0"/>
                <w:i w:val="0"/>
                <w:color w:val="1A1A19"/>
                <w:sz w:val="18"/>
              </w:rPr>
              <w:t>100% payment before shipment, every container</w:t>
            </w:r>
          </w:p>
        </w:tc>
        <w:tc>
          <w:tcPr>
            <w:tcW w:type="dxa" w:w="3312"/>
            <w:tcMar>
              <w:top w:w="60" w:type="dxa"/>
              <w:bottom w:w="60" w:type="dxa"/>
              <w:start w:w="110" w:type="dxa"/>
              <w:end w:w="110" w:type="dxa"/>
            </w:tcMar>
          </w:tcPr>
          <w:p>
            <w:pPr>
              <w:spacing w:after="0"/>
            </w:pPr>
            <w:r>
              <w:rPr>
                <w:rFonts w:ascii="Calibri" w:hAnsi="Calibri"/>
                <w:b w:val="0"/>
                <w:i w:val="0"/>
                <w:color w:val="1A1A19"/>
                <w:sz w:val="18"/>
              </w:rPr>
              <w:t>Capital sits ~2 months ahead of revenue; peak working-capital need in Month 4</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Vestwoods — Year 2+ (POs from Month 13)</w:t>
            </w:r>
          </w:p>
        </w:tc>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10% downpayment + 90% at 3-month credit</w:t>
            </w:r>
          </w:p>
        </w:tc>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~90% of container capital released; Year 2+ growth self-funding</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Al Reem Plastics — supplier</w:t>
            </w:r>
          </w:p>
        </w:tc>
        <w:tc>
          <w:tcPr>
            <w:tcW w:type="dxa" w:w="3312"/>
            <w:tcMar>
              <w:top w:w="60" w:type="dxa"/>
              <w:bottom w:w="60" w:type="dxa"/>
              <w:start w:w="110" w:type="dxa"/>
              <w:end w:w="110" w:type="dxa"/>
            </w:tcMar>
          </w:tcPr>
          <w:p>
            <w:pPr>
              <w:spacing w:after="0"/>
            </w:pPr>
            <w:r>
              <w:rPr>
                <w:rFonts w:ascii="Calibri" w:hAnsi="Calibri"/>
                <w:b w:val="0"/>
                <w:i w:val="0"/>
                <w:color w:val="1A1A19"/>
                <w:sz w:val="18"/>
              </w:rPr>
              <w:t>Deposit + balance against shipping documents</w:t>
            </w:r>
          </w:p>
        </w:tc>
        <w:tc>
          <w:tcPr>
            <w:tcW w:type="dxa" w:w="3312"/>
            <w:tcMar>
              <w:top w:w="60" w:type="dxa"/>
              <w:bottom w:w="60" w:type="dxa"/>
              <w:start w:w="110" w:type="dxa"/>
              <w:end w:w="110" w:type="dxa"/>
            </w:tcMar>
          </w:tcPr>
          <w:p>
            <w:pPr>
              <w:spacing w:after="0"/>
            </w:pPr>
            <w:r>
              <w:rPr>
                <w:rFonts w:ascii="Calibri" w:hAnsi="Calibri"/>
                <w:b w:val="0"/>
                <w:i w:val="0"/>
                <w:color w:val="1A1A19"/>
                <w:sz w:val="18"/>
              </w:rPr>
              <w:t>Lower ticket size; inventory turns fast, releasing cash within the quarter</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Egypt customers</w:t>
            </w:r>
          </w:p>
        </w:tc>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30–60 days (avg 45); 1-month collection lag</w:t>
            </w:r>
          </w:p>
        </w:tc>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Held to agreed limits; stop-supply discipline</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Sudan / Libya</w:t>
            </w:r>
          </w:p>
        </w:tc>
        <w:tc>
          <w:tcPr>
            <w:tcW w:type="dxa" w:w="3312"/>
            <w:tcMar>
              <w:top w:w="60" w:type="dxa"/>
              <w:bottom w:w="60" w:type="dxa"/>
              <w:start w:w="110" w:type="dxa"/>
              <w:end w:w="110" w:type="dxa"/>
            </w:tcMar>
          </w:tcPr>
          <w:p>
            <w:pPr>
              <w:spacing w:after="0"/>
            </w:pPr>
            <w:r>
              <w:rPr>
                <w:rFonts w:ascii="Calibri" w:hAnsi="Calibri"/>
                <w:b w:val="0"/>
                <w:i w:val="0"/>
                <w:color w:val="1A1A19"/>
                <w:sz w:val="18"/>
              </w:rPr>
              <w:t>50% advance + 50% on delivery (same month)</w:t>
            </w:r>
          </w:p>
        </w:tc>
        <w:tc>
          <w:tcPr>
            <w:tcW w:type="dxa" w:w="3312"/>
            <w:tcMar>
              <w:top w:w="60" w:type="dxa"/>
              <w:bottom w:w="60" w:type="dxa"/>
              <w:start w:w="110" w:type="dxa"/>
              <w:end w:w="110" w:type="dxa"/>
            </w:tcMar>
          </w:tcPr>
          <w:p>
            <w:pPr>
              <w:spacing w:after="0"/>
            </w:pPr>
            <w:r>
              <w:rPr>
                <w:rFonts w:ascii="Calibri" w:hAnsi="Calibri"/>
                <w:b w:val="0"/>
                <w:i w:val="0"/>
                <w:color w:val="1A1A19"/>
                <w:sz w:val="18"/>
              </w:rPr>
              <w:t>Cash received before/at shipment — working-capital positive</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Algeria</w:t>
            </w:r>
          </w:p>
        </w:tc>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100% LC before shipment</w:t>
            </w:r>
          </w:p>
        </w:tc>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Zero receivable risk; zero in-country exposure</w:t>
            </w:r>
          </w:p>
        </w:tc>
      </w:tr>
    </w:tbl>
    <w:p>
      <w:pPr>
        <w:spacing w:after="40"/>
      </w:pPr>
    </w:p>
    <w:p>
      <w:r>
        <w:br w:type="page"/>
      </w:r>
    </w:p>
    <w:p>
      <w:pPr>
        <w:keepNext/>
        <w:spacing w:before="320" w:after="160"/>
        <w:pBdr>
          <w:bottom w:val="single" w:sz="6" w:space="4" w:color="0F2942"/>
        </w:pBdr>
      </w:pPr>
      <w:r>
        <w:rPr>
          <w:rFonts w:ascii="Calibri" w:hAnsi="Calibri"/>
          <w:b/>
          <w:i w:val="0"/>
          <w:color w:val="C8892A"/>
          <w:sz w:val="30"/>
        </w:rPr>
        <w:t xml:space="preserve">6   </w:t>
      </w:r>
      <w:r>
        <w:rPr>
          <w:rFonts w:ascii="Calibri" w:hAnsi="Calibri"/>
          <w:b/>
          <w:i w:val="0"/>
          <w:color w:val="0F2942"/>
          <w:sz w:val="30"/>
        </w:rPr>
        <w:t>Financial Plan</w:t>
      </w:r>
    </w:p>
    <w:p>
      <w:pPr>
        <w:spacing w:after="160" w:before="0"/>
      </w:pPr>
      <w:r>
        <w:rPr>
          <w:rFonts w:ascii="Calibri" w:hAnsi="Calibri"/>
          <w:b w:val="0"/>
          <w:i/>
          <w:color w:val="5C5B57"/>
          <w:sz w:val="19"/>
        </w:rPr>
        <w:t>All figures USD thousands unless noted. Vestwoods figures follow the founder's vetted Business Plan V4; Al Reem Plastics figures are planning projections built on the verified April-2026 catalogue unit economics. Planning FX: USD 1 = EGP 53 (spot ~49–51, conservative). Corporate tax 22.5% on net profit.</w:t>
      </w:r>
    </w:p>
    <w:p>
      <w:pPr>
        <w:keepNext/>
        <w:spacing w:before="220" w:after="80"/>
      </w:pPr>
      <w:r>
        <w:rPr>
          <w:rFonts w:ascii="Calibri" w:hAnsi="Calibri"/>
          <w:b/>
          <w:i w:val="0"/>
          <w:color w:val="0F6E6A"/>
          <w:sz w:val="24"/>
        </w:rPr>
        <w:t>6.1  Consolidated 5-year P&amp;L</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3168"/>
            <w:shd w:val="clear" w:color="auto" w:fill="0F2942"/>
            <w:tcMar>
              <w:top w:w="60" w:type="dxa"/>
              <w:bottom w:w="60" w:type="dxa"/>
              <w:start w:w="110" w:type="dxa"/>
              <w:end w:w="110" w:type="dxa"/>
            </w:tcMar>
          </w:tcPr>
          <w:p>
            <w:pPr>
              <w:spacing w:after="0"/>
            </w:pPr>
            <w:r>
              <w:rPr>
                <w:rFonts w:ascii="Calibri" w:hAnsi="Calibri"/>
                <w:b/>
                <w:i w:val="0"/>
                <w:color w:val="FFFFFF"/>
                <w:sz w:val="18"/>
              </w:rPr>
              <w:t>USD 000</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1</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2</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3</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4</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5</w:t>
            </w:r>
          </w:p>
        </w:tc>
      </w:tr>
      <w:tr>
        <w:tc>
          <w:tcPr>
            <w:tcW w:type="dxa" w:w="3168"/>
            <w:tcMar>
              <w:top w:w="60" w:type="dxa"/>
              <w:bottom w:w="60" w:type="dxa"/>
              <w:start w:w="110" w:type="dxa"/>
              <w:end w:w="110" w:type="dxa"/>
            </w:tcMar>
          </w:tcPr>
          <w:p>
            <w:pPr>
              <w:spacing w:after="0"/>
            </w:pPr>
            <w:r>
              <w:rPr>
                <w:rFonts w:ascii="Calibri" w:hAnsi="Calibri"/>
                <w:b w:val="0"/>
                <w:i w:val="0"/>
                <w:color w:val="1A1A19"/>
                <w:sz w:val="18"/>
              </w:rPr>
              <w:t>Vestwoods revenue</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5,811</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9,452</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14,260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19,999</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27,452</w:t>
            </w:r>
          </w:p>
        </w:tc>
      </w:tr>
      <w:tr>
        <w:tc>
          <w:tcPr>
            <w:tcW w:type="dxa" w:w="3168"/>
            <w:tcMar>
              <w:top w:w="60" w:type="dxa"/>
              <w:bottom w:w="60" w:type="dxa"/>
              <w:start w:w="110" w:type="dxa"/>
              <w:end w:w="110" w:type="dxa"/>
            </w:tcMar>
            <w:shd w:val="clear" w:color="auto" w:fill="F5F7F9"/>
          </w:tcPr>
          <w:p>
            <w:pPr>
              <w:spacing w:after="0"/>
            </w:pPr>
            <w:r>
              <w:rPr>
                <w:rFonts w:ascii="Calibri" w:hAnsi="Calibri"/>
                <w:b w:val="0"/>
                <w:i w:val="0"/>
                <w:color w:val="1A1A19"/>
                <w:sz w:val="18"/>
              </w:rPr>
              <w:t>Al Reem Plastics revenue</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1,800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3,200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4,800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6,400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8,200</w:t>
            </w:r>
          </w:p>
        </w:tc>
      </w:tr>
      <w:tr>
        <w:tc>
          <w:tcPr>
            <w:tcW w:type="dxa" w:w="3168"/>
            <w:tcMar>
              <w:top w:w="60" w:type="dxa"/>
              <w:bottom w:w="60" w:type="dxa"/>
              <w:start w:w="110" w:type="dxa"/>
              <w:end w:w="110" w:type="dxa"/>
            </w:tcMar>
          </w:tcPr>
          <w:p>
            <w:pPr>
              <w:spacing w:after="0"/>
            </w:pPr>
            <w:r>
              <w:rPr>
                <w:rFonts w:ascii="Calibri" w:hAnsi="Calibri"/>
                <w:b w:val="0"/>
                <w:i w:val="0"/>
                <w:color w:val="1A1A19"/>
                <w:sz w:val="18"/>
              </w:rPr>
              <w:t>Total revenue</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7,611</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12,652</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19,060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26,399</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35,652</w:t>
            </w:r>
          </w:p>
        </w:tc>
      </w:tr>
      <w:tr>
        <w:tc>
          <w:tcPr>
            <w:tcW w:type="dxa" w:w="3168"/>
            <w:tcMar>
              <w:top w:w="60" w:type="dxa"/>
              <w:bottom w:w="60" w:type="dxa"/>
              <w:start w:w="110" w:type="dxa"/>
              <w:end w:w="110" w:type="dxa"/>
            </w:tcMar>
            <w:shd w:val="clear" w:color="auto" w:fill="F5F7F9"/>
          </w:tcPr>
          <w:p>
            <w:pPr>
              <w:spacing w:after="0"/>
            </w:pPr>
            <w:r>
              <w:rPr>
                <w:rFonts w:ascii="Calibri" w:hAnsi="Calibri"/>
                <w:b w:val="0"/>
                <w:i w:val="0"/>
                <w:color w:val="1A1A19"/>
                <w:sz w:val="18"/>
              </w:rPr>
              <w:t>Gross profit</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2,070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3,318</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5,096</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7,321</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10,423</w:t>
            </w:r>
          </w:p>
        </w:tc>
      </w:tr>
      <w:tr>
        <w:tc>
          <w:tcPr>
            <w:tcW w:type="dxa" w:w="3168"/>
            <w:tcMar>
              <w:top w:w="60" w:type="dxa"/>
              <w:bottom w:w="60" w:type="dxa"/>
              <w:start w:w="110" w:type="dxa"/>
              <w:end w:w="110" w:type="dxa"/>
            </w:tcMar>
          </w:tcPr>
          <w:p>
            <w:pPr>
              <w:spacing w:after="0"/>
            </w:pPr>
            <w:r>
              <w:rPr>
                <w:rFonts w:ascii="Calibri" w:hAnsi="Calibri"/>
                <w:b w:val="0"/>
                <w:i w:val="0"/>
                <w:color w:val="1A1A19"/>
                <w:sz w:val="18"/>
              </w:rPr>
              <w:t>Gross margin %</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27%</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26%</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27%</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28%</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29%</w:t>
            </w:r>
          </w:p>
        </w:tc>
      </w:tr>
      <w:tr>
        <w:tc>
          <w:tcPr>
            <w:tcW w:type="dxa" w:w="3168"/>
            <w:tcMar>
              <w:top w:w="60" w:type="dxa"/>
              <w:bottom w:w="60" w:type="dxa"/>
              <w:start w:w="110" w:type="dxa"/>
              <w:end w:w="110" w:type="dxa"/>
            </w:tcMar>
            <w:shd w:val="clear" w:color="auto" w:fill="F5F7F9"/>
          </w:tcPr>
          <w:p>
            <w:pPr>
              <w:spacing w:after="0"/>
            </w:pPr>
            <w:r>
              <w:rPr>
                <w:rFonts w:ascii="Calibri" w:hAnsi="Calibri"/>
                <w:b w:val="0"/>
                <w:i w:val="0"/>
                <w:color w:val="1A1A19"/>
                <w:sz w:val="18"/>
              </w:rPr>
              <w:t>Operating expenses</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964</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1,424</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1,946</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2,538</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3,512</w:t>
            </w:r>
          </w:p>
        </w:tc>
      </w:tr>
      <w:tr>
        <w:tc>
          <w:tcPr>
            <w:tcW w:type="dxa" w:w="3168"/>
            <w:tcMar>
              <w:top w:w="60" w:type="dxa"/>
              <w:bottom w:w="60" w:type="dxa"/>
              <w:start w:w="110" w:type="dxa"/>
              <w:end w:w="110" w:type="dxa"/>
            </w:tcMar>
          </w:tcPr>
          <w:p>
            <w:pPr>
              <w:spacing w:after="0"/>
            </w:pPr>
            <w:r>
              <w:rPr>
                <w:rFonts w:ascii="Calibri" w:hAnsi="Calibri"/>
                <w:b w:val="0"/>
                <w:i w:val="0"/>
                <w:color w:val="1A1A19"/>
                <w:sz w:val="18"/>
              </w:rPr>
              <w:t>EBIT</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1,106</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1,894</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3,150</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4,783</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6,911</w:t>
            </w:r>
          </w:p>
        </w:tc>
      </w:tr>
      <w:tr>
        <w:tc>
          <w:tcPr>
            <w:tcW w:type="dxa" w:w="3168"/>
            <w:tcMar>
              <w:top w:w="60" w:type="dxa"/>
              <w:bottom w:w="60" w:type="dxa"/>
              <w:start w:w="110" w:type="dxa"/>
              <w:end w:w="110" w:type="dxa"/>
            </w:tcMar>
            <w:shd w:val="clear" w:color="auto" w:fill="F5F7F9"/>
          </w:tcPr>
          <w:p>
            <w:pPr>
              <w:spacing w:after="0"/>
            </w:pPr>
            <w:r>
              <w:rPr>
                <w:rFonts w:ascii="Calibri" w:hAnsi="Calibri"/>
                <w:b w:val="0"/>
                <w:i w:val="0"/>
                <w:color w:val="1A1A19"/>
                <w:sz w:val="18"/>
              </w:rPr>
              <w:t>Corporate tax (22.5%)</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249</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426</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709</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1,076</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1,555</w:t>
            </w:r>
          </w:p>
        </w:tc>
      </w:tr>
      <w:tr>
        <w:tc>
          <w:tcPr>
            <w:tcW w:type="dxa" w:w="3168"/>
            <w:tcMar>
              <w:top w:w="60" w:type="dxa"/>
              <w:bottom w:w="60" w:type="dxa"/>
              <w:start w:w="110" w:type="dxa"/>
              <w:end w:w="110" w:type="dxa"/>
            </w:tcMar>
          </w:tcPr>
          <w:p>
            <w:pPr>
              <w:spacing w:after="0"/>
            </w:pPr>
            <w:r>
              <w:rPr>
                <w:rFonts w:ascii="Calibri" w:hAnsi="Calibri"/>
                <w:b w:val="0"/>
                <w:i w:val="0"/>
                <w:color w:val="1A1A19"/>
                <w:sz w:val="18"/>
              </w:rPr>
              <w:t>Net profit</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857</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1,468</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2,441</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3,707</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8"/>
              </w:rPr>
              <w:t>5,356</w:t>
            </w:r>
          </w:p>
        </w:tc>
      </w:tr>
      <w:tr>
        <w:tc>
          <w:tcPr>
            <w:tcW w:type="dxa" w:w="3168"/>
            <w:tcMar>
              <w:top w:w="60" w:type="dxa"/>
              <w:bottom w:w="60" w:type="dxa"/>
              <w:start w:w="110" w:type="dxa"/>
              <w:end w:w="110" w:type="dxa"/>
            </w:tcMar>
            <w:shd w:val="clear" w:color="auto" w:fill="F5F7F9"/>
          </w:tcPr>
          <w:p>
            <w:pPr>
              <w:spacing w:after="0"/>
            </w:pPr>
            <w:r>
              <w:rPr>
                <w:rFonts w:ascii="Calibri" w:hAnsi="Calibri"/>
                <w:b w:val="0"/>
                <w:i w:val="0"/>
                <w:color w:val="1A1A19"/>
                <w:sz w:val="18"/>
              </w:rPr>
              <w:t>Net margin %</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11.3%</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11.6%</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12.8%</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14.0%</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15.0%</w:t>
            </w:r>
          </w:p>
        </w:tc>
      </w:tr>
    </w:tbl>
    <w:p>
      <w:pPr>
        <w:spacing w:after="40"/>
      </w:pPr>
    </w:p>
    <w:p>
      <w:pPr>
        <w:jc w:val="center"/>
      </w:pPr>
      <w:r>
        <w:drawing>
          <wp:inline xmlns:a="http://schemas.openxmlformats.org/drawingml/2006/main" xmlns:pic="http://schemas.openxmlformats.org/drawingml/2006/picture">
            <wp:extent cx="5486400" cy="3263573"/>
            <wp:docPr id="3" name="Picture 3"/>
            <wp:cNvGraphicFramePr>
              <a:graphicFrameLocks noChangeAspect="1"/>
            </wp:cNvGraphicFramePr>
            <a:graphic>
              <a:graphicData uri="http://schemas.openxmlformats.org/drawingml/2006/picture">
                <pic:pic>
                  <pic:nvPicPr>
                    <pic:cNvPr id="0" name="profit_trend.png"/>
                    <pic:cNvPicPr/>
                  </pic:nvPicPr>
                  <pic:blipFill>
                    <a:blip r:embed="rId12"/>
                    <a:stretch>
                      <a:fillRect/>
                    </a:stretch>
                  </pic:blipFill>
                  <pic:spPr>
                    <a:xfrm>
                      <a:off x="0" y="0"/>
                      <a:ext cx="5486400" cy="3263573"/>
                    </a:xfrm>
                    <a:prstGeom prst="rect"/>
                  </pic:spPr>
                </pic:pic>
              </a:graphicData>
            </a:graphic>
          </wp:inline>
        </w:drawing>
      </w:r>
    </w:p>
    <w:p>
      <w:pPr>
        <w:jc w:val="center"/>
      </w:pPr>
      <w:r>
        <w:drawing>
          <wp:inline xmlns:a="http://schemas.openxmlformats.org/drawingml/2006/main" xmlns:pic="http://schemas.openxmlformats.org/drawingml/2006/picture">
            <wp:extent cx="5486400" cy="2899211"/>
            <wp:docPr id="4" name="Picture 4"/>
            <wp:cNvGraphicFramePr>
              <a:graphicFrameLocks noChangeAspect="1"/>
            </wp:cNvGraphicFramePr>
            <a:graphic>
              <a:graphicData uri="http://schemas.openxmlformats.org/drawingml/2006/picture">
                <pic:pic>
                  <pic:nvPicPr>
                    <pic:cNvPr id="0" name="net_margin.png"/>
                    <pic:cNvPicPr/>
                  </pic:nvPicPr>
                  <pic:blipFill>
                    <a:blip r:embed="rId13"/>
                    <a:stretch>
                      <a:fillRect/>
                    </a:stretch>
                  </pic:blipFill>
                  <pic:spPr>
                    <a:xfrm>
                      <a:off x="0" y="0"/>
                      <a:ext cx="5486400" cy="2899211"/>
                    </a:xfrm>
                    <a:prstGeom prst="rect"/>
                  </pic:spPr>
                </pic:pic>
              </a:graphicData>
            </a:graphic>
          </wp:inline>
        </w:drawing>
      </w:r>
    </w:p>
    <w:p>
      <w:r>
        <w:br w:type="page"/>
      </w:r>
    </w:p>
    <w:p>
      <w:pPr>
        <w:keepNext/>
        <w:spacing w:before="220" w:after="80"/>
      </w:pPr>
      <w:r>
        <w:rPr>
          <w:rFonts w:ascii="Calibri" w:hAnsi="Calibri"/>
          <w:b/>
          <w:i w:val="0"/>
          <w:color w:val="0F6E6A"/>
          <w:sz w:val="24"/>
        </w:rPr>
        <w:t>6.2  Revenue build — markets &amp; divisions</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3456"/>
            <w:shd w:val="clear" w:color="auto" w:fill="0F2942"/>
            <w:tcMar>
              <w:top w:w="60" w:type="dxa"/>
              <w:bottom w:w="60" w:type="dxa"/>
              <w:start w:w="110" w:type="dxa"/>
              <w:end w:w="110" w:type="dxa"/>
            </w:tcMar>
          </w:tcPr>
          <w:p>
            <w:pPr>
              <w:spacing w:after="0"/>
            </w:pPr>
            <w:r>
              <w:rPr>
                <w:rFonts w:ascii="Calibri" w:hAnsi="Calibri"/>
                <w:b/>
                <w:i w:val="0"/>
                <w:color w:val="FFFFFF"/>
                <w:sz w:val="18"/>
              </w:rPr>
              <w:t>USD 000</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1</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2</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3</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4</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5</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Egypt (Vestwoods)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4,232</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5,814</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8,243</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11,603</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16,257</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Sudan (Vestwoods)</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1,279</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2,238</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3,517</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4,796</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6,395</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Libya (Vestwoods)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500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900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1,400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2,000</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Algeria (Vestwoods)</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300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900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1,600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2,200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2,800</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Al Reem Plastics (all markets)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1,800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3,200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4,800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6,400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8,200</w:t>
            </w:r>
          </w:p>
        </w:tc>
      </w:tr>
      <w:tr>
        <w:tc>
          <w:tcPr>
            <w:tcW w:type="dxa" w:w="3456"/>
            <w:tcMar>
              <w:top w:w="60" w:type="dxa"/>
              <w:bottom w:w="60" w:type="dxa"/>
              <w:start w:w="110" w:type="dxa"/>
              <w:end w:w="110" w:type="dxa"/>
            </w:tcMar>
            <w:shd w:val="clear" w:color="auto" w:fill="E9EDF0"/>
          </w:tcPr>
          <w:p>
            <w:pPr>
              <w:spacing w:after="0"/>
            </w:pPr>
            <w:r>
              <w:rPr>
                <w:rFonts w:ascii="Calibri" w:hAnsi="Calibri"/>
                <w:b/>
                <w:i w:val="0"/>
                <w:color w:val="0F2942"/>
                <w:sz w:val="18"/>
              </w:rPr>
              <w:t>Total group revenue</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7,611</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12,652</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19,060</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26,399</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35,652</w:t>
            </w:r>
          </w:p>
        </w:tc>
      </w:tr>
    </w:tbl>
    <w:p>
      <w:pPr>
        <w:spacing w:after="40"/>
      </w:pPr>
    </w:p>
    <w:p>
      <w:pPr>
        <w:jc w:val="center"/>
      </w:pPr>
      <w:r>
        <w:drawing>
          <wp:inline xmlns:a="http://schemas.openxmlformats.org/drawingml/2006/main" xmlns:pic="http://schemas.openxmlformats.org/drawingml/2006/picture">
            <wp:extent cx="5486400" cy="2960352"/>
            <wp:docPr id="5" name="Picture 5"/>
            <wp:cNvGraphicFramePr>
              <a:graphicFrameLocks noChangeAspect="1"/>
            </wp:cNvGraphicFramePr>
            <a:graphic>
              <a:graphicData uri="http://schemas.openxmlformats.org/drawingml/2006/picture">
                <pic:pic>
                  <pic:nvPicPr>
                    <pic:cNvPr id="0" name="containers.png"/>
                    <pic:cNvPicPr/>
                  </pic:nvPicPr>
                  <pic:blipFill>
                    <a:blip r:embed="rId14"/>
                    <a:stretch>
                      <a:fillRect/>
                    </a:stretch>
                  </pic:blipFill>
                  <pic:spPr>
                    <a:xfrm>
                      <a:off x="0" y="0"/>
                      <a:ext cx="5486400" cy="2960352"/>
                    </a:xfrm>
                    <a:prstGeom prst="rect"/>
                  </pic:spPr>
                </pic:pic>
              </a:graphicData>
            </a:graphic>
          </wp:inline>
        </w:drawing>
      </w:r>
    </w:p>
    <w:p>
      <w:pPr>
        <w:keepNext/>
        <w:spacing w:before="220" w:after="80"/>
      </w:pPr>
      <w:r>
        <w:rPr>
          <w:rFonts w:ascii="Calibri" w:hAnsi="Calibri"/>
          <w:b/>
          <w:i w:val="0"/>
          <w:color w:val="0F6E6A"/>
          <w:sz w:val="24"/>
        </w:rPr>
        <w:t>6.3  Cash flow &amp; the working-capital story</w:t>
      </w:r>
    </w:p>
    <w:p>
      <w:pPr>
        <w:spacing w:after="160" w:before="0"/>
      </w:pPr>
      <w:r>
        <w:rPr>
          <w:rFonts w:ascii="Calibri" w:hAnsi="Calibri"/>
          <w:b w:val="0"/>
          <w:i w:val="0"/>
          <w:color w:val="1A1A19"/>
          <w:sz w:val="21"/>
        </w:rPr>
        <w:t>Year 1 is the only year that depends on the raise. Vestwoods' 100%-prepayment terms mean container capital sits roughly two months ahead of revenue, creating a peak funding need in the opening months. From Month 13 the Vestwoods credit switch (10% down + 90% on 3-month credit) releases the vast majority of that capital, and Al Reem's fast-turning inventory throws off cash from the first quarter. The combined effect: closing cash rises every year thereafter, even while paying dividends and rising taxes, with no capital call after Tranche 3.</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1608"/>
        <w:gridCol w:w="1608"/>
        <w:gridCol w:w="1608"/>
        <w:gridCol w:w="1608"/>
        <w:gridCol w:w="1608"/>
        <w:gridCol w:w="1608"/>
      </w:tblGrid>
      <w:tr>
        <w:tc>
          <w:tcPr>
            <w:tcW w:type="dxa" w:w="3456"/>
            <w:shd w:val="clear" w:color="auto" w:fill="0F2942"/>
            <w:tcMar>
              <w:top w:w="60" w:type="dxa"/>
              <w:bottom w:w="60" w:type="dxa"/>
              <w:start w:w="110" w:type="dxa"/>
              <w:end w:w="110" w:type="dxa"/>
            </w:tcMar>
          </w:tcPr>
          <w:p>
            <w:pPr>
              <w:spacing w:after="0"/>
            </w:pPr>
            <w:r>
              <w:rPr>
                <w:rFonts w:ascii="Calibri" w:hAnsi="Calibri"/>
                <w:b/>
                <w:i w:val="0"/>
                <w:color w:val="FFFFFF"/>
                <w:sz w:val="18"/>
              </w:rPr>
              <w:t>USD 000</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1</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2</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3</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4</w:t>
            </w:r>
          </w:p>
        </w:tc>
        <w:tc>
          <w:tcPr>
            <w:tcW w:type="dxa" w:w="1224"/>
            <w:shd w:val="clear" w:color="auto" w:fill="0F2942"/>
            <w:tcMar>
              <w:top w:w="60" w:type="dxa"/>
              <w:bottom w:w="60" w:type="dxa"/>
              <w:start w:w="110" w:type="dxa"/>
              <w:end w:w="110" w:type="dxa"/>
            </w:tcMar>
          </w:tcPr>
          <w:p>
            <w:pPr>
              <w:spacing w:after="0"/>
              <w:jc w:val="right"/>
            </w:pPr>
            <w:r>
              <w:rPr>
                <w:rFonts w:ascii="Calibri" w:hAnsi="Calibri"/>
                <w:b/>
                <w:i w:val="0"/>
                <w:color w:val="FFFFFF"/>
                <w:sz w:val="18"/>
              </w:rPr>
              <w:t>Year 5</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Customer collections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6,400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12,050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18,300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25,500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34,600</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Investor capital (T1–T3)</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2,000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Supplier &amp; inventory payments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(5,540)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(8,930)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(13,760)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(18,940)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(25,120)</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Operating expenses (cash)</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(945)</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(1,400)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(1,915)</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(2,500)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(3,465)</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Tax paid (prior year, arrears)</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(249)</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(426)</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(709)</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(1,076)</w:t>
            </w:r>
          </w:p>
        </w:tc>
      </w:tr>
      <w:tr>
        <w:tc>
          <w:tcPr>
            <w:tcW w:type="dxa" w:w="3456"/>
            <w:tcMar>
              <w:top w:w="60" w:type="dxa"/>
              <w:bottom w:w="60" w:type="dxa"/>
              <w:start w:w="110" w:type="dxa"/>
              <w:end w:w="110" w:type="dxa"/>
            </w:tcMar>
            <w:shd w:val="clear" w:color="auto" w:fill="F5F7F9"/>
          </w:tcPr>
          <w:p>
            <w:pPr>
              <w:spacing w:after="0"/>
            </w:pPr>
            <w:r>
              <w:rPr>
                <w:rFonts w:ascii="Calibri" w:hAnsi="Calibri"/>
                <w:b w:val="0"/>
                <w:i w:val="0"/>
                <w:color w:val="1A1A19"/>
                <w:sz w:val="18"/>
              </w:rPr>
              <w:t>Investor dividends (Option A, 50%)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(428)</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(734)</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(1,220)</w:t>
            </w:r>
          </w:p>
        </w:tc>
        <w:tc>
          <w:tcPr>
            <w:tcW w:type="dxa" w:w="122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(1,853)</w:t>
            </w:r>
          </w:p>
        </w:tc>
      </w:tr>
      <w:tr>
        <w:tc>
          <w:tcPr>
            <w:tcW w:type="dxa" w:w="3456"/>
            <w:tcMar>
              <w:top w:w="60" w:type="dxa"/>
              <w:bottom w:w="60" w:type="dxa"/>
              <w:start w:w="110" w:type="dxa"/>
              <w:end w:w="110" w:type="dxa"/>
            </w:tcMar>
          </w:tcPr>
          <w:p>
            <w:pPr>
              <w:spacing w:after="0"/>
            </w:pPr>
            <w:r>
              <w:rPr>
                <w:rFonts w:ascii="Calibri" w:hAnsi="Calibri"/>
                <w:b w:val="0"/>
                <w:i w:val="0"/>
                <w:color w:val="1A1A19"/>
                <w:sz w:val="18"/>
              </w:rPr>
              <w:t>Capex</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(50)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(25)</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(30)</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(35)</w:t>
            </w:r>
          </w:p>
        </w:tc>
        <w:tc>
          <w:tcPr>
            <w:tcW w:type="dxa" w:w="1224"/>
            <w:tcMar>
              <w:top w:w="60" w:type="dxa"/>
              <w:bottom w:w="60" w:type="dxa"/>
              <w:start w:w="110" w:type="dxa"/>
              <w:end w:w="110" w:type="dxa"/>
            </w:tcMar>
          </w:tcPr>
          <w:p>
            <w:pPr>
              <w:spacing w:after="0"/>
              <w:jc w:val="right"/>
            </w:pPr>
            <w:r>
              <w:rPr>
                <w:rFonts w:ascii="Calibri" w:hAnsi="Calibri"/>
                <w:b w:val="0"/>
                <w:i w:val="0"/>
                <w:color w:val="1A1A19"/>
                <w:sz w:val="18"/>
              </w:rPr>
              <w:t>(40)</w:t>
            </w:r>
          </w:p>
        </w:tc>
      </w:tr>
      <w:tr>
        <w:tc>
          <w:tcPr>
            <w:tcW w:type="dxa" w:w="3456"/>
            <w:tcMar>
              <w:top w:w="60" w:type="dxa"/>
              <w:bottom w:w="60" w:type="dxa"/>
              <w:start w:w="110" w:type="dxa"/>
              <w:end w:w="110" w:type="dxa"/>
            </w:tcMar>
            <w:shd w:val="clear" w:color="auto" w:fill="E9EDF0"/>
          </w:tcPr>
          <w:p>
            <w:pPr>
              <w:spacing w:after="0"/>
            </w:pPr>
            <w:r>
              <w:rPr>
                <w:rFonts w:ascii="Calibri" w:hAnsi="Calibri"/>
                <w:b/>
                <w:i w:val="0"/>
                <w:color w:val="0F2942"/>
                <w:sz w:val="18"/>
              </w:rPr>
              <w:t>Closing cash position</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1,865</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2,883</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4,318</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6,414</w:t>
            </w:r>
          </w:p>
        </w:tc>
        <w:tc>
          <w:tcPr>
            <w:tcW w:type="dxa" w:w="1224"/>
            <w:tcMar>
              <w:top w:w="60" w:type="dxa"/>
              <w:bottom w:w="60" w:type="dxa"/>
              <w:start w:w="110" w:type="dxa"/>
              <w:end w:w="110" w:type="dxa"/>
            </w:tcMar>
            <w:shd w:val="clear" w:color="auto" w:fill="E9EDF0"/>
          </w:tcPr>
          <w:p>
            <w:pPr>
              <w:spacing w:after="0"/>
              <w:jc w:val="right"/>
            </w:pPr>
            <w:r>
              <w:rPr>
                <w:rFonts w:ascii="Calibri" w:hAnsi="Calibri"/>
                <w:b/>
                <w:i w:val="0"/>
                <w:color w:val="0F2942"/>
                <w:sz w:val="18"/>
              </w:rPr>
              <w:t>9,280</w:t>
            </w:r>
          </w:p>
        </w:tc>
      </w:tr>
    </w:tbl>
    <w:p>
      <w:pPr>
        <w:spacing w:after="40"/>
      </w:pPr>
    </w:p>
    <w:p>
      <w:pPr>
        <w:spacing w:after="120" w:before="0"/>
      </w:pPr>
      <w:r>
        <w:rPr>
          <w:rFonts w:ascii="Calibri" w:hAnsi="Calibri"/>
          <w:b w:val="0"/>
          <w:i/>
          <w:color w:val="5C5B57"/>
          <w:sz w:val="17"/>
        </w:rPr>
        <w:t>Illustrative group cash flow; the formula-driven companion workbook carries the full monthly Year-1 detail and the five-year build.</w:t>
      </w:r>
    </w:p>
    <w:p>
      <w:r>
        <w:br w:type="page"/>
      </w:r>
    </w:p>
    <w:p>
      <w:pPr>
        <w:keepNext/>
        <w:spacing w:before="320" w:after="160"/>
        <w:pBdr>
          <w:bottom w:val="single" w:sz="6" w:space="4" w:color="0F2942"/>
        </w:pBdr>
      </w:pPr>
      <w:r>
        <w:rPr>
          <w:rFonts w:ascii="Calibri" w:hAnsi="Calibri"/>
          <w:b/>
          <w:i w:val="0"/>
          <w:color w:val="C8892A"/>
          <w:sz w:val="30"/>
        </w:rPr>
        <w:t xml:space="preserve">7   </w:t>
      </w:r>
      <w:r>
        <w:rPr>
          <w:rFonts w:ascii="Calibri" w:hAnsi="Calibri"/>
          <w:b/>
          <w:i w:val="0"/>
          <w:color w:val="0F2942"/>
          <w:sz w:val="30"/>
        </w:rPr>
        <w:t>Staffing Plan</w:t>
      </w:r>
    </w:p>
    <w:p>
      <w:pPr>
        <w:spacing w:after="160" w:before="0"/>
      </w:pPr>
      <w:r>
        <w:rPr>
          <w:rFonts w:ascii="Calibri" w:hAnsi="Calibri"/>
          <w:b w:val="0"/>
          <w:i w:val="0"/>
          <w:color w:val="1A1A19"/>
          <w:sz w:val="21"/>
        </w:rPr>
        <w:t>Institutional management from day one, shared across both divisions: CEO/MD, CFO and COO hired in Month 1, Director of Sales in Month 2, Marketing and HR in Month 3. Headcount reaches 21 by Month 12 and grows to ~58 by Year 5. Egyptian social insurance at 15% and 4% Egypt sales commissions are included. A dedicated houseware sales desk is added within the existing structure, keeping Al Reem's incremental personnel cost low.</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6048"/>
            <w:shd w:val="clear" w:color="auto" w:fill="0F2942"/>
            <w:tcMar>
              <w:top w:w="60" w:type="dxa"/>
              <w:bottom w:w="60" w:type="dxa"/>
              <w:start w:w="110" w:type="dxa"/>
              <w:end w:w="110" w:type="dxa"/>
            </w:tcMar>
          </w:tcPr>
          <w:p>
            <w:pPr>
              <w:spacing w:after="0"/>
            </w:pPr>
            <w:r>
              <w:rPr>
                <w:rFonts w:ascii="Calibri" w:hAnsi="Calibri"/>
                <w:b/>
                <w:i w:val="0"/>
                <w:color w:val="FFFFFF"/>
                <w:sz w:val="18"/>
              </w:rPr>
              <w:t>Year &amp; additions</w:t>
            </w:r>
          </w:p>
        </w:tc>
        <w:tc>
          <w:tcPr>
            <w:tcW w:type="dxa" w:w="1728"/>
            <w:shd w:val="clear" w:color="auto" w:fill="0F2942"/>
            <w:tcMar>
              <w:top w:w="60" w:type="dxa"/>
              <w:bottom w:w="60" w:type="dxa"/>
              <w:start w:w="110" w:type="dxa"/>
              <w:end w:w="110" w:type="dxa"/>
            </w:tcMar>
          </w:tcPr>
          <w:p>
            <w:pPr>
              <w:spacing w:after="0"/>
              <w:jc w:val="right"/>
            </w:pPr>
            <w:r>
              <w:rPr>
                <w:rFonts w:ascii="Calibri" w:hAnsi="Calibri"/>
                <w:b/>
                <w:i w:val="0"/>
                <w:color w:val="FFFFFF"/>
                <w:sz w:val="18"/>
              </w:rPr>
              <w:t>Headcount</w:t>
            </w:r>
          </w:p>
        </w:tc>
        <w:tc>
          <w:tcPr>
            <w:tcW w:type="dxa" w:w="2304"/>
            <w:shd w:val="clear" w:color="auto" w:fill="0F2942"/>
            <w:tcMar>
              <w:top w:w="60" w:type="dxa"/>
              <w:bottom w:w="60" w:type="dxa"/>
              <w:start w:w="110" w:type="dxa"/>
              <w:end w:w="110" w:type="dxa"/>
            </w:tcMar>
          </w:tcPr>
          <w:p>
            <w:pPr>
              <w:spacing w:after="0"/>
              <w:jc w:val="right"/>
            </w:pPr>
            <w:r>
              <w:rPr>
                <w:rFonts w:ascii="Calibri" w:hAnsi="Calibri"/>
                <w:b/>
                <w:i w:val="0"/>
                <w:color w:val="FFFFFF"/>
                <w:sz w:val="18"/>
              </w:rPr>
              <w:t>Total personnel (USD)</w:t>
            </w:r>
          </w:p>
        </w:tc>
      </w:tr>
      <w:tr>
        <w:tc>
          <w:tcPr>
            <w:tcW w:type="dxa" w:w="6048"/>
            <w:tcMar>
              <w:top w:w="60" w:type="dxa"/>
              <w:bottom w:w="60" w:type="dxa"/>
              <w:start w:w="110" w:type="dxa"/>
              <w:end w:w="110" w:type="dxa"/>
            </w:tcMar>
          </w:tcPr>
          <w:p>
            <w:pPr>
              <w:spacing w:after="0"/>
            </w:pPr>
            <w:r>
              <w:rPr>
                <w:rFonts w:ascii="Calibri" w:hAnsi="Calibri"/>
                <w:b w:val="0"/>
                <w:i w:val="0"/>
                <w:color w:val="1A1A19"/>
                <w:sz w:val="18"/>
              </w:rPr>
              <w:t>Year 1 — launch team (CEO, CFO, COO, Directors, showrooms, warehouse, sales)</w:t>
            </w:r>
          </w:p>
        </w:tc>
        <w:tc>
          <w:tcPr>
            <w:tcW w:type="dxa" w:w="1728"/>
            <w:tcMar>
              <w:top w:w="60" w:type="dxa"/>
              <w:bottom w:w="60" w:type="dxa"/>
              <w:start w:w="110" w:type="dxa"/>
              <w:end w:w="110" w:type="dxa"/>
            </w:tcMar>
          </w:tcPr>
          <w:p>
            <w:pPr>
              <w:spacing w:after="0"/>
              <w:jc w:val="right"/>
            </w:pPr>
            <w:r>
              <w:rPr>
                <w:rFonts w:ascii="Calibri" w:hAnsi="Calibri"/>
                <w:b w:val="0"/>
                <w:i w:val="0"/>
                <w:color w:val="1A1A19"/>
                <w:sz w:val="18"/>
              </w:rPr>
              <w:t>21</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8"/>
              </w:rPr>
              <w:t>547,515</w:t>
            </w:r>
          </w:p>
        </w:tc>
      </w:tr>
      <w:tr>
        <w:tc>
          <w:tcPr>
            <w:tcW w:type="dxa" w:w="6048"/>
            <w:tcMar>
              <w:top w:w="60" w:type="dxa"/>
              <w:bottom w:w="60" w:type="dxa"/>
              <w:start w:w="110" w:type="dxa"/>
              <w:end w:w="110" w:type="dxa"/>
            </w:tcMar>
            <w:shd w:val="clear" w:color="auto" w:fill="F5F7F9"/>
          </w:tcPr>
          <w:p>
            <w:pPr>
              <w:spacing w:after="0"/>
            </w:pPr>
            <w:r>
              <w:rPr>
                <w:rFonts w:ascii="Calibri" w:hAnsi="Calibri"/>
                <w:b w:val="0"/>
                <w:i w:val="0"/>
                <w:color w:val="1A1A19"/>
                <w:sz w:val="18"/>
              </w:rPr>
              <w:t>Year 2 — + BD Director, Logistics, Customer Service, houseware desk</w:t>
            </w:r>
          </w:p>
        </w:tc>
        <w:tc>
          <w:tcPr>
            <w:tcW w:type="dxa" w:w="172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29</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751,440</w:t>
            </w:r>
          </w:p>
        </w:tc>
      </w:tr>
      <w:tr>
        <w:tc>
          <w:tcPr>
            <w:tcW w:type="dxa" w:w="6048"/>
            <w:tcMar>
              <w:top w:w="60" w:type="dxa"/>
              <w:bottom w:w="60" w:type="dxa"/>
              <w:start w:w="110" w:type="dxa"/>
              <w:end w:w="110" w:type="dxa"/>
            </w:tcMar>
          </w:tcPr>
          <w:p>
            <w:pPr>
              <w:spacing w:after="0"/>
            </w:pPr>
            <w:r>
              <w:rPr>
                <w:rFonts w:ascii="Calibri" w:hAnsi="Calibri"/>
                <w:b w:val="0"/>
                <w:i w:val="0"/>
                <w:color w:val="1A1A19"/>
                <w:sz w:val="18"/>
              </w:rPr>
              <w:t>Year 3 — + Alexandria branch, installation engineers, analysts</w:t>
            </w:r>
          </w:p>
        </w:tc>
        <w:tc>
          <w:tcPr>
            <w:tcW w:type="dxa" w:w="1728"/>
            <w:tcMar>
              <w:top w:w="60" w:type="dxa"/>
              <w:bottom w:w="60" w:type="dxa"/>
              <w:start w:w="110" w:type="dxa"/>
              <w:end w:w="110" w:type="dxa"/>
            </w:tcMar>
          </w:tcPr>
          <w:p>
            <w:pPr>
              <w:spacing w:after="0"/>
              <w:jc w:val="right"/>
            </w:pPr>
            <w:r>
              <w:rPr>
                <w:rFonts w:ascii="Calibri" w:hAnsi="Calibri"/>
                <w:b w:val="0"/>
                <w:i w:val="0"/>
                <w:color w:val="1A1A19"/>
                <w:sz w:val="18"/>
              </w:rPr>
              <w:t>38</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8"/>
              </w:rPr>
              <w:t>1,014,200</w:t>
            </w:r>
          </w:p>
        </w:tc>
      </w:tr>
      <w:tr>
        <w:tc>
          <w:tcPr>
            <w:tcW w:type="dxa" w:w="6048"/>
            <w:tcMar>
              <w:top w:w="60" w:type="dxa"/>
              <w:bottom w:w="60" w:type="dxa"/>
              <w:start w:w="110" w:type="dxa"/>
              <w:end w:w="110" w:type="dxa"/>
            </w:tcMar>
            <w:shd w:val="clear" w:color="auto" w:fill="F5F7F9"/>
          </w:tcPr>
          <w:p>
            <w:pPr>
              <w:spacing w:after="0"/>
            </w:pPr>
            <w:r>
              <w:rPr>
                <w:rFonts w:ascii="Calibri" w:hAnsi="Calibri"/>
                <w:b w:val="0"/>
                <w:i w:val="0"/>
                <w:color w:val="1A1A19"/>
                <w:sz w:val="18"/>
              </w:rPr>
              <w:t>Year 4 — + B2G/Tenders, C&amp;I sales, IT/CRM, Sudan coordinator</w:t>
            </w:r>
          </w:p>
        </w:tc>
        <w:tc>
          <w:tcPr>
            <w:tcW w:type="dxa" w:w="1728"/>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47</w:t>
            </w:r>
          </w:p>
        </w:tc>
        <w:tc>
          <w:tcPr>
            <w:tcW w:type="dxa" w:w="2304"/>
            <w:tcMar>
              <w:top w:w="60" w:type="dxa"/>
              <w:bottom w:w="60" w:type="dxa"/>
              <w:start w:w="110" w:type="dxa"/>
              <w:end w:w="110" w:type="dxa"/>
            </w:tcMar>
            <w:shd w:val="clear" w:color="auto" w:fill="F5F7F9"/>
          </w:tcPr>
          <w:p>
            <w:pPr>
              <w:spacing w:after="0"/>
              <w:jc w:val="right"/>
            </w:pPr>
            <w:r>
              <w:rPr>
                <w:rFonts w:ascii="Calibri" w:hAnsi="Calibri"/>
                <w:b w:val="0"/>
                <w:i w:val="0"/>
                <w:color w:val="1A1A19"/>
                <w:sz w:val="18"/>
              </w:rPr>
              <w:t>1,303,160</w:t>
            </w:r>
          </w:p>
        </w:tc>
      </w:tr>
      <w:tr>
        <w:tc>
          <w:tcPr>
            <w:tcW w:type="dxa" w:w="6048"/>
            <w:tcMar>
              <w:top w:w="60" w:type="dxa"/>
              <w:bottom w:w="60" w:type="dxa"/>
              <w:start w:w="110" w:type="dxa"/>
              <w:end w:w="110" w:type="dxa"/>
            </w:tcMar>
          </w:tcPr>
          <w:p>
            <w:pPr>
              <w:spacing w:after="0"/>
            </w:pPr>
            <w:r>
              <w:rPr>
                <w:rFonts w:ascii="Calibri" w:hAnsi="Calibri"/>
                <w:b w:val="0"/>
                <w:i w:val="0"/>
                <w:color w:val="1A1A19"/>
                <w:sz w:val="18"/>
              </w:rPr>
              <w:t>Year 5 — + Algeria/Libya export desk, service &amp; warehouse scale</w:t>
            </w:r>
          </w:p>
        </w:tc>
        <w:tc>
          <w:tcPr>
            <w:tcW w:type="dxa" w:w="1728"/>
            <w:tcMar>
              <w:top w:w="60" w:type="dxa"/>
              <w:bottom w:w="60" w:type="dxa"/>
              <w:start w:w="110" w:type="dxa"/>
              <w:end w:w="110" w:type="dxa"/>
            </w:tcMar>
          </w:tcPr>
          <w:p>
            <w:pPr>
              <w:spacing w:after="0"/>
              <w:jc w:val="right"/>
            </w:pPr>
            <w:r>
              <w:rPr>
                <w:rFonts w:ascii="Calibri" w:hAnsi="Calibri"/>
                <w:b w:val="0"/>
                <w:i w:val="0"/>
                <w:color w:val="1A1A19"/>
                <w:sz w:val="18"/>
              </w:rPr>
              <w:t>58</w:t>
            </w:r>
          </w:p>
        </w:tc>
        <w:tc>
          <w:tcPr>
            <w:tcW w:type="dxa" w:w="2304"/>
            <w:tcMar>
              <w:top w:w="60" w:type="dxa"/>
              <w:bottom w:w="60" w:type="dxa"/>
              <w:start w:w="110" w:type="dxa"/>
              <w:end w:w="110" w:type="dxa"/>
            </w:tcMar>
          </w:tcPr>
          <w:p>
            <w:pPr>
              <w:spacing w:after="0"/>
              <w:jc w:val="right"/>
            </w:pPr>
            <w:r>
              <w:rPr>
                <w:rFonts w:ascii="Calibri" w:hAnsi="Calibri"/>
                <w:b w:val="0"/>
                <w:i w:val="0"/>
                <w:color w:val="1A1A19"/>
                <w:sz w:val="18"/>
              </w:rPr>
              <w:t>1,935,060</w:t>
            </w:r>
          </w:p>
        </w:tc>
      </w:tr>
    </w:tbl>
    <w:p>
      <w:pPr>
        <w:spacing w:after="40"/>
      </w:pPr>
    </w:p>
    <w:p>
      <w:pPr>
        <w:keepNext/>
        <w:spacing w:before="320" w:after="160"/>
        <w:pBdr>
          <w:bottom w:val="single" w:sz="6" w:space="4" w:color="0F2942"/>
        </w:pBdr>
      </w:pPr>
      <w:r>
        <w:rPr>
          <w:rFonts w:ascii="Calibri" w:hAnsi="Calibri"/>
          <w:b/>
          <w:i w:val="0"/>
          <w:color w:val="C8892A"/>
          <w:sz w:val="30"/>
        </w:rPr>
        <w:t xml:space="preserve">8   </w:t>
      </w:r>
      <w:r>
        <w:rPr>
          <w:rFonts w:ascii="Calibri" w:hAnsi="Calibri"/>
          <w:b/>
          <w:i w:val="0"/>
          <w:color w:val="0F2942"/>
          <w:sz w:val="30"/>
        </w:rPr>
        <w:t>Funding Requirements &amp; Investor Proposal</w:t>
      </w:r>
    </w:p>
    <w:p>
      <w:pPr>
        <w:keepNext/>
        <w:spacing w:before="220" w:after="80"/>
      </w:pPr>
      <w:r>
        <w:rPr>
          <w:rFonts w:ascii="Calibri" w:hAnsi="Calibri"/>
          <w:b/>
          <w:i w:val="0"/>
          <w:color w:val="0F6E6A"/>
          <w:sz w:val="24"/>
        </w:rPr>
        <w:t>8.1  The ask</w:t>
      </w:r>
    </w:p>
    <w:p>
      <w:pPr>
        <w:spacing w:after="120" w:before="0"/>
      </w:pPr>
      <w:r>
        <w:rPr>
          <w:rFonts w:ascii="Calibri" w:hAnsi="Calibri"/>
          <w:b w:val="0"/>
          <w:i w:val="0"/>
          <w:color w:val="1A1A19"/>
          <w:sz w:val="21"/>
        </w:rPr>
        <w:t>USD 2,000,000 core raise for the combined two-division plan — an expansion of the Vestwoods-only requirement to fund Al Reem's opening inventory alongside Vestwoods' Year-1 container prepayments. Released in three milestone-gated tranches; band USD 1.0M – 2.5M.</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2412"/>
        <w:gridCol w:w="2412"/>
        <w:gridCol w:w="2412"/>
        <w:gridCol w:w="2412"/>
      </w:tblGrid>
      <w:tr>
        <w:tc>
          <w:tcPr>
            <w:tcW w:type="dxa" w:w="2160"/>
            <w:shd w:val="clear" w:color="auto" w:fill="0F2942"/>
            <w:tcMar>
              <w:top w:w="60" w:type="dxa"/>
              <w:bottom w:w="60" w:type="dxa"/>
              <w:start w:w="110" w:type="dxa"/>
              <w:end w:w="110" w:type="dxa"/>
            </w:tcMar>
          </w:tcPr>
          <w:p>
            <w:pPr>
              <w:spacing w:after="0"/>
            </w:pPr>
            <w:r>
              <w:rPr>
                <w:rFonts w:ascii="Calibri" w:hAnsi="Calibri"/>
                <w:b/>
                <w:i w:val="0"/>
                <w:color w:val="FFFFFF"/>
                <w:sz w:val="17"/>
              </w:rPr>
              <w:t>Tranche</w:t>
            </w:r>
          </w:p>
        </w:tc>
        <w:tc>
          <w:tcPr>
            <w:tcW w:type="dxa" w:w="1296"/>
            <w:shd w:val="clear" w:color="auto" w:fill="0F2942"/>
            <w:tcMar>
              <w:top w:w="60" w:type="dxa"/>
              <w:bottom w:w="60" w:type="dxa"/>
              <w:start w:w="110" w:type="dxa"/>
              <w:end w:w="110" w:type="dxa"/>
            </w:tcMar>
          </w:tcPr>
          <w:p>
            <w:pPr>
              <w:spacing w:after="0"/>
              <w:jc w:val="right"/>
            </w:pPr>
            <w:r>
              <w:rPr>
                <w:rFonts w:ascii="Calibri" w:hAnsi="Calibri"/>
                <w:b/>
                <w:i w:val="0"/>
                <w:color w:val="FFFFFF"/>
                <w:sz w:val="17"/>
              </w:rPr>
              <w:t>USD</w:t>
            </w:r>
          </w:p>
        </w:tc>
        <w:tc>
          <w:tcPr>
            <w:tcW w:type="dxa" w:w="2448"/>
            <w:shd w:val="clear" w:color="auto" w:fill="0F2942"/>
            <w:tcMar>
              <w:top w:w="60" w:type="dxa"/>
              <w:bottom w:w="60" w:type="dxa"/>
              <w:start w:w="110" w:type="dxa"/>
              <w:end w:w="110" w:type="dxa"/>
            </w:tcMar>
          </w:tcPr>
          <w:p>
            <w:pPr>
              <w:spacing w:after="0"/>
              <w:jc w:val="right"/>
            </w:pPr>
            <w:r>
              <w:rPr>
                <w:rFonts w:ascii="Calibri" w:hAnsi="Calibri"/>
                <w:b/>
                <w:i w:val="0"/>
                <w:color w:val="FFFFFF"/>
                <w:sz w:val="17"/>
              </w:rPr>
              <w:t>Timing</w:t>
            </w:r>
          </w:p>
        </w:tc>
        <w:tc>
          <w:tcPr>
            <w:tcW w:type="dxa" w:w="3600"/>
            <w:shd w:val="clear" w:color="auto" w:fill="0F2942"/>
            <w:tcMar>
              <w:top w:w="60" w:type="dxa"/>
              <w:bottom w:w="60" w:type="dxa"/>
              <w:start w:w="110" w:type="dxa"/>
              <w:end w:w="110" w:type="dxa"/>
            </w:tcMar>
          </w:tcPr>
          <w:p>
            <w:pPr>
              <w:spacing w:after="0"/>
              <w:jc w:val="right"/>
            </w:pPr>
            <w:r>
              <w:rPr>
                <w:rFonts w:ascii="Calibri" w:hAnsi="Calibri"/>
                <w:b/>
                <w:i w:val="0"/>
                <w:color w:val="FFFFFF"/>
                <w:sz w:val="17"/>
              </w:rPr>
              <w:t>Purpose / gate</w:t>
            </w:r>
          </w:p>
        </w:tc>
      </w:tr>
      <w:tr>
        <w:tc>
          <w:tcPr>
            <w:tcW w:type="dxa" w:w="2160"/>
            <w:tcMar>
              <w:top w:w="60" w:type="dxa"/>
              <w:bottom w:w="60" w:type="dxa"/>
              <w:start w:w="110" w:type="dxa"/>
              <w:end w:w="110" w:type="dxa"/>
            </w:tcMar>
          </w:tcPr>
          <w:p>
            <w:pPr>
              <w:spacing w:after="0"/>
            </w:pPr>
            <w:r>
              <w:rPr>
                <w:rFonts w:ascii="Calibri" w:hAnsi="Calibri"/>
                <w:b w:val="0"/>
                <w:i w:val="0"/>
                <w:color w:val="1A1A19"/>
                <w:sz w:val="17"/>
              </w:rPr>
              <w:t>Tranche 1 - Launch</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1,000,000</w:t>
            </w:r>
          </w:p>
        </w:tc>
        <w:tc>
          <w:tcPr>
            <w:tcW w:type="dxa" w:w="2448"/>
            <w:tcMar>
              <w:top w:w="60" w:type="dxa"/>
              <w:bottom w:w="60" w:type="dxa"/>
              <w:start w:w="110" w:type="dxa"/>
              <w:end w:w="110" w:type="dxa"/>
            </w:tcMar>
          </w:tcPr>
          <w:p>
            <w:pPr>
              <w:spacing w:after="0"/>
              <w:jc w:val="right"/>
            </w:pPr>
            <w:r>
              <w:rPr>
                <w:rFonts w:ascii="Calibri" w:hAnsi="Calibri"/>
                <w:b w:val="0"/>
                <w:i w:val="0"/>
                <w:color w:val="1A1A19"/>
                <w:sz w:val="17"/>
              </w:rPr>
              <w:t>Month 1 (Aug-26, at close)</w:t>
            </w:r>
          </w:p>
        </w:tc>
        <w:tc>
          <w:tcPr>
            <w:tcW w:type="dxa" w:w="3600"/>
            <w:tcMar>
              <w:top w:w="60" w:type="dxa"/>
              <w:bottom w:w="60" w:type="dxa"/>
              <w:start w:w="110" w:type="dxa"/>
              <w:end w:w="110" w:type="dxa"/>
            </w:tcMar>
          </w:tcPr>
          <w:p>
            <w:pPr>
              <w:spacing w:after="0"/>
              <w:jc w:val="right"/>
            </w:pPr>
            <w:r>
              <w:rPr>
                <w:rFonts w:ascii="Calibri" w:hAnsi="Calibri"/>
                <w:b w:val="0"/>
                <w:i w:val="0"/>
                <w:color w:val="1A1A19"/>
                <w:sz w:val="17"/>
              </w:rPr>
              <w:t>Vestwoods container waves 1-3, group setup, 12-month opex runway</w:t>
            </w:r>
          </w:p>
        </w:tc>
      </w:tr>
      <w:tr>
        <w:tc>
          <w:tcPr>
            <w:tcW w:type="dxa" w:w="2160"/>
            <w:tcMar>
              <w:top w:w="60" w:type="dxa"/>
              <w:bottom w:w="60" w:type="dxa"/>
              <w:start w:w="110" w:type="dxa"/>
              <w:end w:w="110" w:type="dxa"/>
            </w:tcMar>
            <w:shd w:val="clear" w:color="auto" w:fill="F5F7F9"/>
          </w:tcPr>
          <w:p>
            <w:pPr>
              <w:spacing w:after="0"/>
            </w:pPr>
            <w:r>
              <w:rPr>
                <w:rFonts w:ascii="Calibri" w:hAnsi="Calibri"/>
                <w:b w:val="0"/>
                <w:i w:val="0"/>
                <w:color w:val="1A1A19"/>
                <w:sz w:val="17"/>
              </w:rPr>
              <w:t>Tranche 2 - Scale</w:t>
            </w:r>
          </w:p>
        </w:tc>
        <w:tc>
          <w:tcPr>
            <w:tcW w:type="dxa" w:w="1296"/>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500,000</w:t>
            </w:r>
          </w:p>
        </w:tc>
        <w:tc>
          <w:tcPr>
            <w:tcW w:type="dxa" w:w="2448"/>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Month 4 (Nov-26), milestone-gated</w:t>
            </w:r>
          </w:p>
        </w:tc>
        <w:tc>
          <w:tcPr>
            <w:tcW w:type="dxa" w:w="3600"/>
            <w:tcMar>
              <w:top w:w="60" w:type="dxa"/>
              <w:bottom w:w="60" w:type="dxa"/>
              <w:start w:w="110" w:type="dxa"/>
              <w:end w:w="110" w:type="dxa"/>
            </w:tcMar>
            <w:shd w:val="clear" w:color="auto" w:fill="F5F7F9"/>
          </w:tcPr>
          <w:p>
            <w:pPr>
              <w:spacing w:after="0"/>
              <w:jc w:val="right"/>
            </w:pPr>
            <w:r>
              <w:rPr>
                <w:rFonts w:ascii="Calibri" w:hAnsi="Calibri"/>
                <w:b w:val="0"/>
                <w:i w:val="0"/>
                <w:color w:val="1A1A19"/>
                <w:sz w:val="17"/>
              </w:rPr>
              <w:t>Vestwoods waves 4-6; released on &gt;=3 containers sold through + Sudan advances received</w:t>
            </w:r>
          </w:p>
        </w:tc>
      </w:tr>
      <w:tr>
        <w:tc>
          <w:tcPr>
            <w:tcW w:type="dxa" w:w="2160"/>
            <w:tcMar>
              <w:top w:w="60" w:type="dxa"/>
              <w:bottom w:w="60" w:type="dxa"/>
              <w:start w:w="110" w:type="dxa"/>
              <w:end w:w="110" w:type="dxa"/>
            </w:tcMar>
          </w:tcPr>
          <w:p>
            <w:pPr>
              <w:spacing w:after="0"/>
            </w:pPr>
            <w:r>
              <w:rPr>
                <w:rFonts w:ascii="Calibri" w:hAnsi="Calibri"/>
                <w:b w:val="0"/>
                <w:i w:val="0"/>
                <w:color w:val="1A1A19"/>
                <w:sz w:val="17"/>
              </w:rPr>
              <w:t>Tranche 3 - Diversify</w:t>
            </w:r>
          </w:p>
        </w:tc>
        <w:tc>
          <w:tcPr>
            <w:tcW w:type="dxa" w:w="1296"/>
            <w:tcMar>
              <w:top w:w="60" w:type="dxa"/>
              <w:bottom w:w="60" w:type="dxa"/>
              <w:start w:w="110" w:type="dxa"/>
              <w:end w:w="110" w:type="dxa"/>
            </w:tcMar>
          </w:tcPr>
          <w:p>
            <w:pPr>
              <w:spacing w:after="0"/>
              <w:jc w:val="right"/>
            </w:pPr>
            <w:r>
              <w:rPr>
                <w:rFonts w:ascii="Calibri" w:hAnsi="Calibri"/>
                <w:b w:val="0"/>
                <w:i w:val="0"/>
                <w:color w:val="1A1A19"/>
                <w:sz w:val="17"/>
              </w:rPr>
              <w:t>500,000</w:t>
            </w:r>
          </w:p>
        </w:tc>
        <w:tc>
          <w:tcPr>
            <w:tcW w:type="dxa" w:w="2448"/>
            <w:tcMar>
              <w:top w:w="60" w:type="dxa"/>
              <w:bottom w:w="60" w:type="dxa"/>
              <w:start w:w="110" w:type="dxa"/>
              <w:end w:w="110" w:type="dxa"/>
            </w:tcMar>
          </w:tcPr>
          <w:p>
            <w:pPr>
              <w:spacing w:after="0"/>
              <w:jc w:val="right"/>
            </w:pPr>
            <w:r>
              <w:rPr>
                <w:rFonts w:ascii="Calibri" w:hAnsi="Calibri"/>
                <w:b w:val="0"/>
                <w:i w:val="0"/>
                <w:color w:val="1A1A19"/>
                <w:sz w:val="17"/>
              </w:rPr>
              <w:t>Months 6-12</w:t>
            </w:r>
          </w:p>
        </w:tc>
        <w:tc>
          <w:tcPr>
            <w:tcW w:type="dxa" w:w="3600"/>
            <w:tcMar>
              <w:top w:w="60" w:type="dxa"/>
              <w:bottom w:w="60" w:type="dxa"/>
              <w:start w:w="110" w:type="dxa"/>
              <w:end w:w="110" w:type="dxa"/>
            </w:tcMar>
          </w:tcPr>
          <w:p>
            <w:pPr>
              <w:spacing w:after="0"/>
              <w:jc w:val="right"/>
            </w:pPr>
            <w:r>
              <w:rPr>
                <w:rFonts w:ascii="Calibri" w:hAnsi="Calibri"/>
                <w:b w:val="0"/>
                <w:i w:val="0"/>
                <w:color w:val="1A1A19"/>
                <w:sz w:val="17"/>
              </w:rPr>
              <w:t>Al Reem Plastics houseware inventory + Sudan/Libya export working capital</w:t>
            </w:r>
          </w:p>
        </w:tc>
      </w:tr>
    </w:tbl>
    <w:p>
      <w:pPr>
        <w:spacing w:after="40"/>
      </w:pPr>
    </w:p>
    <w:p>
      <w:pPr>
        <w:jc w:val="center"/>
      </w:pPr>
      <w:r>
        <w:drawing>
          <wp:inline xmlns:a="http://schemas.openxmlformats.org/drawingml/2006/main" xmlns:pic="http://schemas.openxmlformats.org/drawingml/2006/picture">
            <wp:extent cx="4206240" cy="5012992"/>
            <wp:docPr id="6" name="Picture 6"/>
            <wp:cNvGraphicFramePr>
              <a:graphicFrameLocks noChangeAspect="1"/>
            </wp:cNvGraphicFramePr>
            <a:graphic>
              <a:graphicData uri="http://schemas.openxmlformats.org/drawingml/2006/picture">
                <pic:pic>
                  <pic:nvPicPr>
                    <pic:cNvPr id="0" name="use_of_funds.png"/>
                    <pic:cNvPicPr/>
                  </pic:nvPicPr>
                  <pic:blipFill>
                    <a:blip r:embed="rId15"/>
                    <a:stretch>
                      <a:fillRect/>
                    </a:stretch>
                  </pic:blipFill>
                  <pic:spPr>
                    <a:xfrm>
                      <a:off x="0" y="0"/>
                      <a:ext cx="4206240" cy="5012992"/>
                    </a:xfrm>
                    <a:prstGeom prst="rect"/>
                  </pic:spPr>
                </pic:pic>
              </a:graphicData>
            </a:graphic>
          </wp:inline>
        </w:drawing>
      </w:r>
    </w:p>
    <w:p>
      <w:pPr>
        <w:keepNext/>
        <w:spacing w:before="220" w:after="80"/>
      </w:pPr>
      <w:r>
        <w:rPr>
          <w:rFonts w:ascii="Calibri" w:hAnsi="Calibri"/>
          <w:b/>
          <w:i w:val="0"/>
          <w:color w:val="0F6E6A"/>
          <w:sz w:val="24"/>
        </w:rPr>
        <w:t>8.2  Investor structures</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Option A — 50% equity: </w:t>
      </w:r>
      <w:r>
        <w:rPr>
          <w:rFonts w:ascii="Calibri" w:hAnsi="Calibri"/>
          <w:b w:val="0"/>
          <w:i w:val="0"/>
          <w:color w:val="1A1A19"/>
          <w:sz w:val="21"/>
        </w:rPr>
        <w:t>the investor takes 50% of the company (existing shareholders dilute per Section 2.1). Dividends at 50% of net profit plus the retained stake deliver a 60% IRR and 8.8x MOIC over five years; dividends alone return 2.12x the capital, before counting a 50% share of a business earning USD 5.4M net profit by Year 5.</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Option B — no equity: </w:t>
      </w:r>
      <w:r>
        <w:rPr>
          <w:rFonts w:ascii="Calibri" w:hAnsi="Calibri"/>
          <w:b w:val="0"/>
          <w:i w:val="0"/>
          <w:color w:val="1A1A19"/>
          <w:sz w:val="21"/>
        </w:rPr>
        <w:t>25% net-profit share plus capital redemption at par at the end of Year 5 — 28% IRR, 2.73x MOIC, with the investor's principal returned.</w:t>
      </w:r>
    </w:p>
    <w:p>
      <w:pPr>
        <w:jc w:val="center"/>
      </w:pPr>
      <w:r>
        <w:drawing>
          <wp:inline xmlns:a="http://schemas.openxmlformats.org/drawingml/2006/main" xmlns:pic="http://schemas.openxmlformats.org/drawingml/2006/picture">
            <wp:extent cx="5486400" cy="2860209"/>
            <wp:docPr id="7" name="Picture 7"/>
            <wp:cNvGraphicFramePr>
              <a:graphicFrameLocks noChangeAspect="1"/>
            </wp:cNvGraphicFramePr>
            <a:graphic>
              <a:graphicData uri="http://schemas.openxmlformats.org/drawingml/2006/picture">
                <pic:pic>
                  <pic:nvPicPr>
                    <pic:cNvPr id="0" name="returns.png"/>
                    <pic:cNvPicPr/>
                  </pic:nvPicPr>
                  <pic:blipFill>
                    <a:blip r:embed="rId16"/>
                    <a:stretch>
                      <a:fillRect/>
                    </a:stretch>
                  </pic:blipFill>
                  <pic:spPr>
                    <a:xfrm>
                      <a:off x="0" y="0"/>
                      <a:ext cx="5486400" cy="2860209"/>
                    </a:xfrm>
                    <a:prstGeom prst="rect"/>
                  </pic:spPr>
                </pic:pic>
              </a:graphicData>
            </a:graphic>
          </wp:inline>
        </w:drawing>
      </w:r>
    </w:p>
    <w:p>
      <w:pPr>
        <w:jc w:val="center"/>
      </w:pPr>
      <w:r>
        <w:drawing>
          <wp:inline xmlns:a="http://schemas.openxmlformats.org/drawingml/2006/main" xmlns:pic="http://schemas.openxmlformats.org/drawingml/2006/picture">
            <wp:extent cx="5486400" cy="2998033"/>
            <wp:docPr id="8" name="Picture 8"/>
            <wp:cNvGraphicFramePr>
              <a:graphicFrameLocks noChangeAspect="1"/>
            </wp:cNvGraphicFramePr>
            <a:graphic>
              <a:graphicData uri="http://schemas.openxmlformats.org/drawingml/2006/picture">
                <pic:pic>
                  <pic:nvPicPr>
                    <pic:cNvPr id="0" name="cumulative_profit.png"/>
                    <pic:cNvPicPr/>
                  </pic:nvPicPr>
                  <pic:blipFill>
                    <a:blip r:embed="rId17"/>
                    <a:stretch>
                      <a:fillRect/>
                    </a:stretch>
                  </pic:blipFill>
                  <pic:spPr>
                    <a:xfrm>
                      <a:off x="0" y="0"/>
                      <a:ext cx="5486400" cy="2998033"/>
                    </a:xfrm>
                    <a:prstGeom prst="rect"/>
                  </pic:spPr>
                </pic:pic>
              </a:graphicData>
            </a:graphic>
          </wp:inline>
        </w:drawing>
      </w:r>
    </w:p>
    <w:p>
      <w:pPr>
        <w:keepNext/>
        <w:spacing w:before="220" w:after="80"/>
      </w:pPr>
      <w:r>
        <w:rPr>
          <w:rFonts w:ascii="Calibri" w:hAnsi="Calibri"/>
          <w:b/>
          <w:i w:val="0"/>
          <w:color w:val="0F6E6A"/>
          <w:sz w:val="24"/>
        </w:rPr>
        <w:t>8.3  Investor protections (both options)</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Milestone-gated tranches — Tranche 2 released only against verified Month-4 milestones (containers sold through + Sudan advances received); Tranche 3 against houseware sell-through.</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Quarterly management accounts from the formula-driven model; monthly cash and inventory reporting across both divisions.</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USD-denominated books; Egypt customers on max 60-day terms; Sudan/Libya cash-before-shipment; Algeria LC only.</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Exclusive Vestwoods agency (with first right of engagement and non-circumvention) assignable as security.</w:t>
      </w:r>
    </w:p>
    <w:p>
      <w:pPr>
        <w:spacing w:after="80" w:line="264" w:lineRule="auto"/>
        <w:ind w:left="403"/>
      </w:pPr>
      <w:r>
        <w:rPr>
          <w:rFonts w:ascii="Calibri" w:hAnsi="Calibri"/>
          <w:b/>
          <w:i w:val="0"/>
          <w:color w:val="C8892A"/>
          <w:sz w:val="21"/>
        </w:rPr>
        <w:t xml:space="preserve">▪  </w:t>
      </w:r>
      <w:r>
        <w:rPr>
          <w:rFonts w:ascii="Calibri" w:hAnsi="Calibri"/>
          <w:b w:val="0"/>
          <w:i w:val="0"/>
          <w:color w:val="1A1A19"/>
          <w:sz w:val="21"/>
        </w:rPr>
        <w:t>Founder pre-investment of USD 14,517 already deployed — operational showroom, licences and import permits complete.</w:t>
      </w:r>
    </w:p>
    <w:p>
      <w:r>
        <w:br w:type="page"/>
      </w:r>
    </w:p>
    <w:p>
      <w:pPr>
        <w:keepNext/>
        <w:spacing w:before="320" w:after="160"/>
        <w:pBdr>
          <w:bottom w:val="single" w:sz="6" w:space="4" w:color="0F2942"/>
        </w:pBdr>
      </w:pPr>
      <w:r>
        <w:rPr>
          <w:rFonts w:ascii="Calibri" w:hAnsi="Calibri"/>
          <w:b/>
          <w:i w:val="0"/>
          <w:color w:val="C8892A"/>
          <w:sz w:val="30"/>
        </w:rPr>
        <w:t xml:space="preserve">9   </w:t>
      </w:r>
      <w:r>
        <w:rPr>
          <w:rFonts w:ascii="Calibri" w:hAnsi="Calibri"/>
          <w:b/>
          <w:i w:val="0"/>
          <w:color w:val="0F2942"/>
          <w:sz w:val="30"/>
        </w:rPr>
        <w:t>Operations, Risks &amp; Mitigation</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Supply chain (Vestwoods) — </w:t>
      </w:r>
      <w:r>
        <w:rPr>
          <w:rFonts w:ascii="Calibri" w:hAnsi="Calibri"/>
          <w:b w:val="0"/>
          <w:i w:val="0"/>
          <w:color w:val="1A1A19"/>
          <w:sz w:val="21"/>
        </w:rPr>
        <w:t>PO (100% prepaid Y1) → factory 15–20 days → sea 18 days → clearance 7–10 days (5% duty, 2% GOEIC, 14% VAT recoverable) → 6th October warehouse; roughly one container every three weeks in Year 1.</w:t>
      </w:r>
    </w:p>
    <w:p>
      <w:pPr>
        <w:spacing w:after="80" w:line="264" w:lineRule="auto"/>
        <w:ind w:left="403"/>
      </w:pPr>
      <w:r>
        <w:rPr>
          <w:rFonts w:ascii="Calibri" w:hAnsi="Calibri"/>
          <w:b/>
          <w:i w:val="0"/>
          <w:color w:val="C8892A"/>
          <w:sz w:val="21"/>
        </w:rPr>
        <w:t xml:space="preserve">▪  </w:t>
      </w:r>
      <w:r>
        <w:rPr>
          <w:rFonts w:ascii="Calibri" w:hAnsi="Calibri"/>
          <w:b/>
          <w:i w:val="0"/>
          <w:color w:val="1A1A19"/>
          <w:sz w:val="21"/>
        </w:rPr>
        <w:t xml:space="preserve">Supply chain (Al Reem) — </w:t>
      </w:r>
      <w:r>
        <w:rPr>
          <w:rFonts w:ascii="Calibri" w:hAnsi="Calibri"/>
          <w:b w:val="0"/>
          <w:i w:val="0"/>
          <w:color w:val="1A1A19"/>
          <w:sz w:val="21"/>
        </w:rPr>
        <w:t>mixed 40ft containers from Türkiye on a shorter Mediterranean lead time; higher SKU count managed by the shared warehouse team and a simple min/max reorder system.</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4824"/>
        <w:gridCol w:w="4824"/>
      </w:tblGrid>
      <w:tr>
        <w:tc>
          <w:tcPr>
            <w:tcW w:type="dxa" w:w="3312"/>
            <w:shd w:val="clear" w:color="auto" w:fill="0F2942"/>
            <w:tcMar>
              <w:top w:w="60" w:type="dxa"/>
              <w:bottom w:w="60" w:type="dxa"/>
              <w:start w:w="110" w:type="dxa"/>
              <w:end w:w="110" w:type="dxa"/>
            </w:tcMar>
          </w:tcPr>
          <w:p>
            <w:pPr>
              <w:spacing w:after="0"/>
            </w:pPr>
            <w:r>
              <w:rPr>
                <w:rFonts w:ascii="Calibri" w:hAnsi="Calibri"/>
                <w:b/>
                <w:i w:val="0"/>
                <w:color w:val="FFFFFF"/>
                <w:sz w:val="18"/>
              </w:rPr>
              <w:t>Risk</w:t>
            </w:r>
          </w:p>
        </w:tc>
        <w:tc>
          <w:tcPr>
            <w:tcW w:type="dxa" w:w="6336"/>
            <w:shd w:val="clear" w:color="auto" w:fill="0F2942"/>
            <w:tcMar>
              <w:top w:w="60" w:type="dxa"/>
              <w:bottom w:w="60" w:type="dxa"/>
              <w:start w:w="110" w:type="dxa"/>
              <w:end w:w="110" w:type="dxa"/>
            </w:tcMar>
          </w:tcPr>
          <w:p>
            <w:pPr>
              <w:spacing w:after="0"/>
            </w:pPr>
            <w:r>
              <w:rPr>
                <w:rFonts w:ascii="Calibri" w:hAnsi="Calibri"/>
                <w:b/>
                <w:i w:val="0"/>
                <w:color w:val="FFFFFF"/>
                <w:sz w:val="18"/>
              </w:rPr>
              <w:t>Mitigation</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EGP devaluation</w:t>
            </w:r>
          </w:p>
        </w:tc>
        <w:tc>
          <w:tcPr>
            <w:tcW w:type="dxa" w:w="6336"/>
            <w:tcMar>
              <w:top w:w="60" w:type="dxa"/>
              <w:bottom w:w="60" w:type="dxa"/>
              <w:start w:w="110" w:type="dxa"/>
              <w:end w:w="110" w:type="dxa"/>
            </w:tcMar>
          </w:tcPr>
          <w:p>
            <w:pPr>
              <w:spacing w:after="0"/>
            </w:pPr>
            <w:r>
              <w:rPr>
                <w:rFonts w:ascii="Calibri" w:hAnsi="Calibri"/>
                <w:b w:val="0"/>
                <w:i w:val="0"/>
                <w:color w:val="1A1A19"/>
                <w:sz w:val="18"/>
              </w:rPr>
              <w:t>USD-indexed pricing at EGP 53 planning rate (spot ~49–51); 30-day quote validity; USD books</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Y1 Vestwoods prepayment exposure</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Haier-backed counterparty; staged POs; credit switch contractually anchored at Month 13</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Raise timing</w:t>
            </w:r>
          </w:p>
        </w:tc>
        <w:tc>
          <w:tcPr>
            <w:tcW w:type="dxa" w:w="6336"/>
            <w:tcMar>
              <w:top w:w="60" w:type="dxa"/>
              <w:bottom w:w="60" w:type="dxa"/>
              <w:start w:w="110" w:type="dxa"/>
              <w:end w:w="110" w:type="dxa"/>
            </w:tcMar>
          </w:tcPr>
          <w:p>
            <w:pPr>
              <w:spacing w:after="0"/>
            </w:pPr>
            <w:r>
              <w:rPr>
                <w:rFonts w:ascii="Calibri" w:hAnsi="Calibri"/>
                <w:b w:val="0"/>
                <w:i w:val="0"/>
                <w:color w:val="1A1A19"/>
                <w:sz w:val="18"/>
              </w:rPr>
              <w:t>Tranche 1 must close before first PO; container schedule flexes with drawdown</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Customs / GOEIC delays</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Permits issued; broker retained; 45–60 day inventory cover</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Egypt receivables</w:t>
            </w:r>
          </w:p>
        </w:tc>
        <w:tc>
          <w:tcPr>
            <w:tcW w:type="dxa" w:w="6336"/>
            <w:tcMar>
              <w:top w:w="60" w:type="dxa"/>
              <w:bottom w:w="60" w:type="dxa"/>
              <w:start w:w="110" w:type="dxa"/>
              <w:end w:w="110" w:type="dxa"/>
            </w:tcMar>
          </w:tcPr>
          <w:p>
            <w:pPr>
              <w:spacing w:after="0"/>
            </w:pPr>
            <w:r>
              <w:rPr>
                <w:rFonts w:ascii="Calibri" w:hAnsi="Calibri"/>
                <w:b w:val="0"/>
                <w:i w:val="0"/>
                <w:color w:val="1A1A19"/>
                <w:sz w:val="18"/>
              </w:rPr>
              <w:t>45-day terms; anchor accounts on agreed limits; stop-supply discipline</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Export instability (Sudan/Libya)</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Cash before shipment; no in-country assets</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Algeria regime</w:t>
            </w:r>
          </w:p>
        </w:tc>
        <w:tc>
          <w:tcPr>
            <w:tcW w:type="dxa" w:w="6336"/>
            <w:tcMar>
              <w:top w:w="60" w:type="dxa"/>
              <w:bottom w:w="60" w:type="dxa"/>
              <w:start w:w="110" w:type="dxa"/>
              <w:end w:w="110" w:type="dxa"/>
            </w:tcMar>
          </w:tcPr>
          <w:p>
            <w:pPr>
              <w:spacing w:after="0"/>
            </w:pPr>
            <w:r>
              <w:rPr>
                <w:rFonts w:ascii="Calibri" w:hAnsi="Calibri"/>
                <w:b w:val="0"/>
                <w:i w:val="0"/>
                <w:color w:val="1A1A19"/>
                <w:sz w:val="18"/>
              </w:rPr>
              <w:t>Licensed-importer FOB + 100% LC; zero NORCO exposure</w:t>
            </w:r>
          </w:p>
        </w:tc>
      </w:tr>
      <w:tr>
        <w:tc>
          <w:tcPr>
            <w:tcW w:type="dxa" w:w="3312"/>
            <w:tcMar>
              <w:top w:w="60" w:type="dxa"/>
              <w:bottom w:w="60" w:type="dxa"/>
              <w:start w:w="110" w:type="dxa"/>
              <w:end w:w="110" w:type="dxa"/>
            </w:tcMar>
            <w:shd w:val="clear" w:color="auto" w:fill="F5F7F9"/>
          </w:tcPr>
          <w:p>
            <w:pPr>
              <w:spacing w:after="0"/>
            </w:pPr>
            <w:r>
              <w:rPr>
                <w:rFonts w:ascii="Calibri" w:hAnsi="Calibri"/>
                <w:b w:val="0"/>
                <w:i w:val="0"/>
                <w:color w:val="1A1A19"/>
                <w:sz w:val="18"/>
              </w:rPr>
              <w:t>Grey-market / local plastics pricing</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5-yr warranty + Cairo service bench (Vestwoods); Türkiye quality + brand (Al Reem)</w:t>
            </w:r>
          </w:p>
        </w:tc>
      </w:tr>
      <w:tr>
        <w:tc>
          <w:tcPr>
            <w:tcW w:type="dxa" w:w="3312"/>
            <w:tcMar>
              <w:top w:w="60" w:type="dxa"/>
              <w:bottom w:w="60" w:type="dxa"/>
              <w:start w:w="110" w:type="dxa"/>
              <w:end w:w="110" w:type="dxa"/>
            </w:tcMar>
          </w:tcPr>
          <w:p>
            <w:pPr>
              <w:spacing w:after="0"/>
            </w:pPr>
            <w:r>
              <w:rPr>
                <w:rFonts w:ascii="Calibri" w:hAnsi="Calibri"/>
                <w:b w:val="0"/>
                <w:i w:val="0"/>
                <w:color w:val="1A1A19"/>
                <w:sz w:val="18"/>
              </w:rPr>
              <w:t>Two supply chains to manage</w:t>
            </w:r>
          </w:p>
        </w:tc>
        <w:tc>
          <w:tcPr>
            <w:tcW w:type="dxa" w:w="6336"/>
            <w:tcMar>
              <w:top w:w="60" w:type="dxa"/>
              <w:bottom w:w="60" w:type="dxa"/>
              <w:start w:w="110" w:type="dxa"/>
              <w:end w:w="110" w:type="dxa"/>
            </w:tcMar>
          </w:tcPr>
          <w:p>
            <w:pPr>
              <w:spacing w:after="0"/>
            </w:pPr>
            <w:r>
              <w:rPr>
                <w:rFonts w:ascii="Calibri" w:hAnsi="Calibri"/>
                <w:b w:val="0"/>
                <w:i w:val="0"/>
                <w:color w:val="1A1A19"/>
                <w:sz w:val="18"/>
              </w:rPr>
              <w:t>Shared platform, single ERP/inventory system, one management team</w:t>
            </w:r>
          </w:p>
        </w:tc>
      </w:tr>
    </w:tbl>
    <w:p>
      <w:pPr>
        <w:spacing w:after="40"/>
      </w:pPr>
    </w:p>
    <w:p>
      <w:pPr>
        <w:keepNext/>
        <w:spacing w:before="320" w:after="160"/>
        <w:pBdr>
          <w:bottom w:val="single" w:sz="6" w:space="4" w:color="0F2942"/>
        </w:pBdr>
      </w:pPr>
      <w:r>
        <w:rPr>
          <w:rFonts w:ascii="Calibri" w:hAnsi="Calibri"/>
          <w:b/>
          <w:i w:val="0"/>
          <w:color w:val="C8892A"/>
          <w:sz w:val="30"/>
        </w:rPr>
        <w:t xml:space="preserve">10   </w:t>
      </w:r>
      <w:r>
        <w:rPr>
          <w:rFonts w:ascii="Calibri" w:hAnsi="Calibri"/>
          <w:b/>
          <w:i w:val="0"/>
          <w:color w:val="0F2942"/>
          <w:sz w:val="30"/>
        </w:rPr>
        <w:t>Execution Roadmap</w:t>
      </w:r>
    </w:p>
    <w:tbl>
      <w:tblPr>
        <w:tblW w:type="auto" w:w="0"/>
        <w:jc w:val="center"/>
        <w:tblLook w:firstColumn="1" w:firstRow="1" w:lastColumn="0" w:lastRow="0" w:noHBand="0" w:noVBand="1" w:val="04A0"/>
        <w:tblBorders>
          <w:top w:val="single" w:sz="4" w:space="0" w:color="D8DCE0"/>
          <w:left w:val="single" w:sz="4" w:space="0" w:color="D8DCE0"/>
          <w:bottom w:val="single" w:sz="4" w:space="0" w:color="D8DCE0"/>
          <w:right w:val="single" w:sz="4" w:space="0" w:color="D8DCE0"/>
          <w:insideH w:val="single" w:sz="4" w:space="0" w:color="D8DCE0"/>
          <w:insideV w:val="single" w:sz="4" w:space="0" w:color="D8DCE0"/>
        </w:tblBorders>
      </w:tblPr>
      <w:tblGrid>
        <w:gridCol w:w="3216"/>
        <w:gridCol w:w="3216"/>
        <w:gridCol w:w="3216"/>
      </w:tblGrid>
      <w:tr>
        <w:tc>
          <w:tcPr>
            <w:tcW w:type="dxa" w:w="1728"/>
            <w:shd w:val="clear" w:color="auto" w:fill="0F2942"/>
            <w:tcMar>
              <w:top w:w="60" w:type="dxa"/>
              <w:bottom w:w="60" w:type="dxa"/>
              <w:start w:w="110" w:type="dxa"/>
              <w:end w:w="110" w:type="dxa"/>
            </w:tcMar>
          </w:tcPr>
          <w:p>
            <w:pPr>
              <w:spacing w:after="0"/>
            </w:pPr>
            <w:r>
              <w:rPr>
                <w:rFonts w:ascii="Calibri" w:hAnsi="Calibri"/>
                <w:b/>
                <w:i w:val="0"/>
                <w:color w:val="FFFFFF"/>
                <w:sz w:val="18"/>
              </w:rPr>
              <w:t>Phase</w:t>
            </w:r>
          </w:p>
        </w:tc>
        <w:tc>
          <w:tcPr>
            <w:tcW w:type="dxa" w:w="1584"/>
            <w:shd w:val="clear" w:color="auto" w:fill="0F2942"/>
            <w:tcMar>
              <w:top w:w="60" w:type="dxa"/>
              <w:bottom w:w="60" w:type="dxa"/>
              <w:start w:w="110" w:type="dxa"/>
              <w:end w:w="110" w:type="dxa"/>
            </w:tcMar>
          </w:tcPr>
          <w:p>
            <w:pPr>
              <w:spacing w:after="0"/>
            </w:pPr>
            <w:r>
              <w:rPr>
                <w:rFonts w:ascii="Calibri" w:hAnsi="Calibri"/>
                <w:b/>
                <w:i w:val="0"/>
                <w:color w:val="FFFFFF"/>
                <w:sz w:val="18"/>
              </w:rPr>
              <w:t>Timing</w:t>
            </w:r>
          </w:p>
        </w:tc>
        <w:tc>
          <w:tcPr>
            <w:tcW w:type="dxa" w:w="6336"/>
            <w:shd w:val="clear" w:color="auto" w:fill="0F2942"/>
            <w:tcMar>
              <w:top w:w="60" w:type="dxa"/>
              <w:bottom w:w="60" w:type="dxa"/>
              <w:start w:w="110" w:type="dxa"/>
              <w:end w:w="110" w:type="dxa"/>
            </w:tcMar>
          </w:tcPr>
          <w:p>
            <w:pPr>
              <w:spacing w:after="0"/>
            </w:pPr>
            <w:r>
              <w:rPr>
                <w:rFonts w:ascii="Calibri" w:hAnsi="Calibri"/>
                <w:b/>
                <w:i w:val="0"/>
                <w:color w:val="FFFFFF"/>
                <w:sz w:val="18"/>
              </w:rPr>
              <w:t>Milestones</w:t>
            </w:r>
          </w:p>
        </w:tc>
      </w:tr>
      <w:tr>
        <w:tc>
          <w:tcPr>
            <w:tcW w:type="dxa" w:w="1728"/>
            <w:tcMar>
              <w:top w:w="60" w:type="dxa"/>
              <w:bottom w:w="60" w:type="dxa"/>
              <w:start w:w="110" w:type="dxa"/>
              <w:end w:w="110" w:type="dxa"/>
            </w:tcMar>
          </w:tcPr>
          <w:p>
            <w:pPr>
              <w:spacing w:after="0"/>
            </w:pPr>
            <w:r>
              <w:rPr>
                <w:rFonts w:ascii="Calibri" w:hAnsi="Calibri"/>
                <w:b w:val="0"/>
                <w:i w:val="0"/>
                <w:color w:val="1A1A19"/>
                <w:sz w:val="18"/>
              </w:rPr>
              <w:t>Launch</w:t>
            </w:r>
          </w:p>
        </w:tc>
        <w:tc>
          <w:tcPr>
            <w:tcW w:type="dxa" w:w="1584"/>
            <w:tcMar>
              <w:top w:w="60" w:type="dxa"/>
              <w:bottom w:w="60" w:type="dxa"/>
              <w:start w:w="110" w:type="dxa"/>
              <w:end w:w="110" w:type="dxa"/>
            </w:tcMar>
          </w:tcPr>
          <w:p>
            <w:pPr>
              <w:spacing w:after="0"/>
            </w:pPr>
            <w:r>
              <w:rPr>
                <w:rFonts w:ascii="Calibri" w:hAnsi="Calibri"/>
                <w:b w:val="0"/>
                <w:i w:val="0"/>
                <w:color w:val="1A1A19"/>
                <w:sz w:val="18"/>
              </w:rPr>
              <w:t>M1–M3</w:t>
            </w:r>
          </w:p>
        </w:tc>
        <w:tc>
          <w:tcPr>
            <w:tcW w:type="dxa" w:w="6336"/>
            <w:tcMar>
              <w:top w:w="60" w:type="dxa"/>
              <w:bottom w:w="60" w:type="dxa"/>
              <w:start w:w="110" w:type="dxa"/>
              <w:end w:w="110" w:type="dxa"/>
            </w:tcMar>
          </w:tcPr>
          <w:p>
            <w:pPr>
              <w:spacing w:after="0"/>
            </w:pPr>
            <w:r>
              <w:rPr>
                <w:rFonts w:ascii="Calibri" w:hAnsi="Calibri"/>
                <w:b w:val="0"/>
                <w:i w:val="0"/>
                <w:color w:val="1A1A19"/>
                <w:sz w:val="18"/>
              </w:rPr>
              <w:t>T1 drawn; Vestwoods containers 1–3 prepaid; showroom #2 opens; Sudan buyer inspects warehouse stock and places first order; first Al Reem houseware container ordered</w:t>
            </w:r>
          </w:p>
        </w:tc>
      </w:tr>
      <w:tr>
        <w:tc>
          <w:tcPr>
            <w:tcW w:type="dxa" w:w="1728"/>
            <w:tcMar>
              <w:top w:w="60" w:type="dxa"/>
              <w:bottom w:w="60" w:type="dxa"/>
              <w:start w:w="110" w:type="dxa"/>
              <w:end w:w="110" w:type="dxa"/>
            </w:tcMar>
            <w:shd w:val="clear" w:color="auto" w:fill="F5F7F9"/>
          </w:tcPr>
          <w:p>
            <w:pPr>
              <w:spacing w:after="0"/>
            </w:pPr>
            <w:r>
              <w:rPr>
                <w:rFonts w:ascii="Calibri" w:hAnsi="Calibri"/>
                <w:b w:val="0"/>
                <w:i w:val="0"/>
                <w:color w:val="1A1A19"/>
                <w:sz w:val="18"/>
              </w:rPr>
              <w:t>Prove</w:t>
            </w:r>
          </w:p>
        </w:tc>
        <w:tc>
          <w:tcPr>
            <w:tcW w:type="dxa" w:w="1584"/>
            <w:tcMar>
              <w:top w:w="60" w:type="dxa"/>
              <w:bottom w:w="60" w:type="dxa"/>
              <w:start w:w="110" w:type="dxa"/>
              <w:end w:w="110" w:type="dxa"/>
            </w:tcMar>
            <w:shd w:val="clear" w:color="auto" w:fill="F5F7F9"/>
          </w:tcPr>
          <w:p>
            <w:pPr>
              <w:spacing w:after="0"/>
            </w:pPr>
            <w:r>
              <w:rPr>
                <w:rFonts w:ascii="Calibri" w:hAnsi="Calibri"/>
                <w:b w:val="0"/>
                <w:i w:val="0"/>
                <w:color w:val="1A1A19"/>
                <w:sz w:val="18"/>
              </w:rPr>
              <w:t>M4–M6</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T2 drawn; operating break-even confirmed; dealers signed; first Cairo energy exhibition; Al Reem retail sell-through established; Algeria negotiation to term sheet</w:t>
            </w:r>
          </w:p>
        </w:tc>
      </w:tr>
      <w:tr>
        <w:tc>
          <w:tcPr>
            <w:tcW w:type="dxa" w:w="1728"/>
            <w:tcMar>
              <w:top w:w="60" w:type="dxa"/>
              <w:bottom w:w="60" w:type="dxa"/>
              <w:start w:w="110" w:type="dxa"/>
              <w:end w:w="110" w:type="dxa"/>
            </w:tcMar>
          </w:tcPr>
          <w:p>
            <w:pPr>
              <w:spacing w:after="0"/>
            </w:pPr>
            <w:r>
              <w:rPr>
                <w:rFonts w:ascii="Calibri" w:hAnsi="Calibri"/>
                <w:b w:val="0"/>
                <w:i w:val="0"/>
                <w:color w:val="1A1A19"/>
                <w:sz w:val="18"/>
              </w:rPr>
              <w:t>Convert</w:t>
            </w:r>
          </w:p>
        </w:tc>
        <w:tc>
          <w:tcPr>
            <w:tcW w:type="dxa" w:w="1584"/>
            <w:tcMar>
              <w:top w:w="60" w:type="dxa"/>
              <w:bottom w:w="60" w:type="dxa"/>
              <w:start w:w="110" w:type="dxa"/>
              <w:end w:w="110" w:type="dxa"/>
            </w:tcMar>
          </w:tcPr>
          <w:p>
            <w:pPr>
              <w:spacing w:after="0"/>
            </w:pPr>
            <w:r>
              <w:rPr>
                <w:rFonts w:ascii="Calibri" w:hAnsi="Calibri"/>
                <w:b w:val="0"/>
                <w:i w:val="0"/>
                <w:color w:val="1A1A19"/>
                <w:sz w:val="18"/>
              </w:rPr>
              <w:t>M7–M12</w:t>
            </w:r>
          </w:p>
        </w:tc>
        <w:tc>
          <w:tcPr>
            <w:tcW w:type="dxa" w:w="6336"/>
            <w:tcMar>
              <w:top w:w="60" w:type="dxa"/>
              <w:bottom w:w="60" w:type="dxa"/>
              <w:start w:w="110" w:type="dxa"/>
              <w:end w:w="110" w:type="dxa"/>
            </w:tcMar>
          </w:tcPr>
          <w:p>
            <w:pPr>
              <w:spacing w:after="0"/>
            </w:pPr>
            <w:r>
              <w:rPr>
                <w:rFonts w:ascii="Calibri" w:hAnsi="Calibri"/>
                <w:b w:val="0"/>
                <w:i w:val="0"/>
                <w:color w:val="1A1A19"/>
                <w:sz w:val="18"/>
              </w:rPr>
              <w:t>T3 drawn for houseware inventory; second exhibition; Algeria agency signed — first LC order ships; Libya distributor due diligence</w:t>
            </w:r>
          </w:p>
        </w:tc>
      </w:tr>
      <w:tr>
        <w:tc>
          <w:tcPr>
            <w:tcW w:type="dxa" w:w="1728"/>
            <w:tcMar>
              <w:top w:w="60" w:type="dxa"/>
              <w:bottom w:w="60" w:type="dxa"/>
              <w:start w:w="110" w:type="dxa"/>
              <w:end w:w="110" w:type="dxa"/>
            </w:tcMar>
            <w:shd w:val="clear" w:color="auto" w:fill="F5F7F9"/>
          </w:tcPr>
          <w:p>
            <w:pPr>
              <w:spacing w:after="0"/>
            </w:pPr>
            <w:r>
              <w:rPr>
                <w:rFonts w:ascii="Calibri" w:hAnsi="Calibri"/>
                <w:b w:val="0"/>
                <w:i w:val="0"/>
                <w:color w:val="1A1A19"/>
                <w:sz w:val="18"/>
              </w:rPr>
              <w:t>Compound</w:t>
            </w:r>
          </w:p>
        </w:tc>
        <w:tc>
          <w:tcPr>
            <w:tcW w:type="dxa" w:w="1584"/>
            <w:tcMar>
              <w:top w:w="60" w:type="dxa"/>
              <w:bottom w:w="60" w:type="dxa"/>
              <w:start w:w="110" w:type="dxa"/>
              <w:end w:w="110" w:type="dxa"/>
            </w:tcMar>
            <w:shd w:val="clear" w:color="auto" w:fill="F5F7F9"/>
          </w:tcPr>
          <w:p>
            <w:pPr>
              <w:spacing w:after="0"/>
            </w:pPr>
            <w:r>
              <w:rPr>
                <w:rFonts w:ascii="Calibri" w:hAnsi="Calibri"/>
                <w:b w:val="0"/>
                <w:i w:val="0"/>
                <w:color w:val="1A1A19"/>
                <w:sz w:val="18"/>
              </w:rPr>
              <w:t>M13–M18</w:t>
            </w:r>
          </w:p>
        </w:tc>
        <w:tc>
          <w:tcPr>
            <w:tcW w:type="dxa" w:w="6336"/>
            <w:tcMar>
              <w:top w:w="60" w:type="dxa"/>
              <w:bottom w:w="60" w:type="dxa"/>
              <w:start w:w="110" w:type="dxa"/>
              <w:end w:w="110" w:type="dxa"/>
            </w:tcMar>
            <w:shd w:val="clear" w:color="auto" w:fill="F5F7F9"/>
          </w:tcPr>
          <w:p>
            <w:pPr>
              <w:spacing w:after="0"/>
            </w:pPr>
            <w:r>
              <w:rPr>
                <w:rFonts w:ascii="Calibri" w:hAnsi="Calibri"/>
                <w:b w:val="0"/>
                <w:i w:val="0"/>
                <w:color w:val="1A1A19"/>
                <w:sz w:val="18"/>
              </w:rPr>
              <w:t>Vestwoods credit terms activate; Libya first containers; four-market, two-division operation running on self-generated cash</w:t>
            </w:r>
          </w:p>
        </w:tc>
      </w:tr>
      <w:tr>
        <w:tc>
          <w:tcPr>
            <w:tcW w:type="dxa" w:w="1728"/>
            <w:tcMar>
              <w:top w:w="60" w:type="dxa"/>
              <w:bottom w:w="60" w:type="dxa"/>
              <w:start w:w="110" w:type="dxa"/>
              <w:end w:w="110" w:type="dxa"/>
            </w:tcMar>
          </w:tcPr>
          <w:p>
            <w:pPr>
              <w:spacing w:after="0"/>
            </w:pPr>
            <w:r>
              <w:rPr>
                <w:rFonts w:ascii="Calibri" w:hAnsi="Calibri"/>
                <w:b w:val="0"/>
                <w:i w:val="0"/>
                <w:color w:val="1A1A19"/>
                <w:sz w:val="18"/>
              </w:rPr>
              <w:t>Scale</w:t>
            </w:r>
          </w:p>
        </w:tc>
        <w:tc>
          <w:tcPr>
            <w:tcW w:type="dxa" w:w="1584"/>
            <w:tcMar>
              <w:top w:w="60" w:type="dxa"/>
              <w:bottom w:w="60" w:type="dxa"/>
              <w:start w:w="110" w:type="dxa"/>
              <w:end w:w="110" w:type="dxa"/>
            </w:tcMar>
          </w:tcPr>
          <w:p>
            <w:pPr>
              <w:spacing w:after="0"/>
            </w:pPr>
            <w:r>
              <w:rPr>
                <w:rFonts w:ascii="Calibri" w:hAnsi="Calibri"/>
                <w:b w:val="0"/>
                <w:i w:val="0"/>
                <w:color w:val="1A1A19"/>
                <w:sz w:val="18"/>
              </w:rPr>
              <w:t>Y3–Y5</w:t>
            </w:r>
          </w:p>
        </w:tc>
        <w:tc>
          <w:tcPr>
            <w:tcW w:type="dxa" w:w="6336"/>
            <w:tcMar>
              <w:top w:w="60" w:type="dxa"/>
              <w:bottom w:w="60" w:type="dxa"/>
              <w:start w:w="110" w:type="dxa"/>
              <w:end w:w="110" w:type="dxa"/>
            </w:tcMar>
          </w:tcPr>
          <w:p>
            <w:pPr>
              <w:spacing w:after="0"/>
            </w:pPr>
            <w:r>
              <w:rPr>
                <w:rFonts w:ascii="Calibri" w:hAnsi="Calibri"/>
                <w:b w:val="0"/>
                <w:i w:val="0"/>
                <w:color w:val="1A1A19"/>
                <w:sz w:val="18"/>
              </w:rPr>
              <w:t>40 Egypt + 20 Sudan + 7 Libya + 9 Algeria Vestwoods containers by Y5; Al Reem houseware scaled across retail &amp; export; CKD assembly evaluation; closing cash ~USD 9.3M</w:t>
            </w:r>
          </w:p>
        </w:tc>
      </w:tr>
    </w:tbl>
    <w:p>
      <w:pPr>
        <w:spacing w:after="40"/>
      </w:pPr>
    </w:p>
    <w:p>
      <w:pPr>
        <w:spacing w:after="160" w:before="0"/>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48"/>
      </w:tblGrid>
      <w:tr>
        <w:tc>
          <w:tcPr>
            <w:tcW w:type="dxa" w:w="9648"/>
            <w:shd w:val="clear" w:color="auto" w:fill="0F2942"/>
            <w:tcMar>
              <w:top w:w="160" w:type="dxa"/>
              <w:bottom w:w="160" w:type="dxa"/>
              <w:start w:w="200" w:type="dxa"/>
              <w:end w:w="200" w:type="dxa"/>
            </w:tcMar>
          </w:tcPr>
          <w:p>
            <w:pPr>
              <w:spacing w:after="80"/>
              <w:jc w:val="center"/>
            </w:pPr>
            <w:r>
              <w:rPr>
                <w:rFonts w:ascii="Calibri" w:hAnsi="Calibri"/>
                <w:b/>
                <w:i w:val="0"/>
                <w:color w:val="C8892A"/>
                <w:sz w:val="22"/>
              </w:rPr>
              <w:t>The opportunity</w:t>
            </w:r>
          </w:p>
          <w:p>
            <w:pPr>
              <w:spacing w:after="0"/>
              <w:jc w:val="center"/>
            </w:pPr>
            <w:r>
              <w:rPr>
                <w:rFonts w:ascii="Calibri" w:hAnsi="Calibri"/>
                <w:b w:val="0"/>
                <w:i w:val="0"/>
                <w:color w:val="FFFFFF"/>
                <w:sz w:val="21"/>
              </w:rPr>
              <w:t>USD 2.0M funds a de-risked, two-division distribution platform with an exclusive energy-storage agency, a fully-costed houseware range, live export corridors and a founder already invested and operational — targeting USD 101M of revenue and USD 13.8M of net profit over five years, at a 60% investor IRR.</w:t>
            </w:r>
          </w:p>
        </w:tc>
      </w:tr>
    </w:tbl>
    <w:p>
      <w:pPr>
        <w:spacing w:after="160" w:before="0"/>
      </w:pPr>
    </w:p>
    <w:p>
      <w:pPr>
        <w:spacing w:after="120" w:before="0"/>
      </w:pPr>
      <w:r>
        <w:rPr>
          <w:rFonts w:ascii="Calibri" w:hAnsi="Calibri"/>
          <w:b w:val="0"/>
          <w:i/>
          <w:color w:val="5C5B57"/>
          <w:sz w:val="18"/>
        </w:rPr>
        <w:t>Companion workbook: NORCO_Group_Investor_Model.xlsx — consolidated 5-year P&amp;L, revenue build by market and division, cash flow, Al Reem catalogue economics, funding scenarios, investor returns and shareholding, all formula-driven.</w:t>
      </w:r>
    </w:p>
    <w:sectPr w:rsidR="00FC693F" w:rsidRPr="0006063C" w:rsidSect="00034616">
      <w:footerReference w:type="default" r:id="rId9"/>
      <w:pgSz w:w="12240" w:h="15840"/>
      <w:pgMar w:top="1296"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C5B57"/>
        <w:sz w:val="15"/>
      </w:rPr>
      <w:t>NORCO General Trading L.L.C.  ·  Business Plan &amp; Investment Proposal  ·  Strictly Private &amp;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