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before="0"/>
      </w:pPr>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0F2942"/>
            <w:tcMar>
              <w:top w:w="300" w:type="dxa"/>
              <w:bottom w:w="300" w:type="dxa"/>
              <w:start w:w="260" w:type="dxa"/>
              <w:end w:w="260" w:type="dxa"/>
            </w:tcMar>
          </w:tcPr>
          <w:p>
            <w:pPr>
              <w:spacing w:after="0"/>
              <w:jc w:val="center"/>
            </w:pPr>
            <w:r>
              <w:rPr>
                <w:rFonts w:ascii="Calibri" w:hAnsi="Calibri"/>
                <w:b/>
                <w:i w:val="0"/>
                <w:color w:val="FFFFFF"/>
                <w:sz w:val="84"/>
              </w:rPr>
              <w:t>NORCO</w:t>
            </w:r>
          </w:p>
          <w:p>
            <w:pPr>
              <w:spacing w:after="0"/>
              <w:jc w:val="center"/>
            </w:pPr>
            <w:r>
              <w:rPr>
                <w:rFonts w:ascii="Calibri" w:hAnsi="Calibri"/>
                <w:b/>
                <w:i w:val="0"/>
                <w:color w:val="C8892A"/>
                <w:sz w:val="26"/>
              </w:rPr>
              <w:t>EGYPT  ·  GENERAL TRADING</w:t>
            </w:r>
          </w:p>
          <w:p>
            <w:pPr>
              <w:spacing w:before="120" w:after="0"/>
              <w:jc w:val="center"/>
            </w:pPr>
            <w:r>
              <w:rPr>
                <w:rFonts w:ascii="Calibri" w:hAnsi="Calibri"/>
                <w:b w:val="0"/>
                <w:i w:val="0"/>
                <w:color w:val="C7D3DE"/>
                <w:sz w:val="21"/>
              </w:rPr>
              <w:t>Exclusive Distributor of Vestwoods (Haier Energy) Battery Storage</w:t>
            </w:r>
          </w:p>
        </w:tc>
      </w:tr>
    </w:tbl>
    <w:p>
      <w:pPr>
        <w:spacing w:after="440" w:before="0"/>
      </w:pPr>
    </w:p>
    <w:p>
      <w:pPr>
        <w:spacing w:after="120" w:before="0"/>
        <w:jc w:val="center"/>
      </w:pPr>
      <w:r>
        <w:rPr>
          <w:rFonts w:ascii="Calibri" w:hAnsi="Calibri"/>
          <w:b/>
          <w:i w:val="0"/>
          <w:color w:val="0F2942"/>
          <w:sz w:val="38"/>
        </w:rPr>
        <w:t>VESTWOODS BUSINESS PLAN &amp; INVESTMENT PROPOSAL</w:t>
      </w:r>
    </w:p>
    <w:p>
      <w:pPr>
        <w:spacing w:after="400" w:before="0"/>
        <w:jc w:val="center"/>
      </w:pPr>
      <w:r>
        <w:rPr>
          <w:rFonts w:ascii="Calibri" w:hAnsi="Calibri"/>
          <w:b w:val="0"/>
          <w:i/>
          <w:color w:val="0F6E6A"/>
          <w:sz w:val="26"/>
        </w:rPr>
        <w:t>Lithium Battery Energy Storage for Egypt, Sudan, Algeria &amp; Libya</w:t>
      </w:r>
    </w:p>
    <w:p>
      <w:pPr>
        <w:spacing w:after="320" w:before="0"/>
        <w:jc w:val="center"/>
      </w:pPr>
      <w:r>
        <w:rPr>
          <w:rFonts w:ascii="Calibri" w:hAnsi="Calibri"/>
          <w:b/>
          <w:i w:val="0"/>
          <w:color w:val="1A1A19"/>
          <w:sz w:val="22"/>
        </w:rPr>
        <w:t>August 2026 – July 2031   |   Investment into NORCO Egypt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C8892A"/>
            <w:tcMar>
              <w:top w:w="130" w:type="dxa"/>
              <w:bottom w:w="130" w:type="dxa"/>
              <w:start w:w="200" w:type="dxa"/>
              <w:end w:w="200" w:type="dxa"/>
            </w:tcMar>
          </w:tcPr>
          <w:p>
            <w:pPr>
              <w:spacing w:after="0"/>
              <w:jc w:val="center"/>
            </w:pPr>
            <w:r>
              <w:rPr>
                <w:rFonts w:ascii="Calibri" w:hAnsi="Calibri"/>
                <w:b/>
                <w:i w:val="0"/>
                <w:color w:val="FFFFFF"/>
                <w:sz w:val="28"/>
              </w:rPr>
              <w:t>Investment Sought:  USD 1,000,000  —  50% of NORCO Egypt</w:t>
            </w:r>
          </w:p>
          <w:p>
            <w:pPr>
              <w:spacing w:after="0"/>
              <w:jc w:val="center"/>
            </w:pPr>
            <w:r>
              <w:rPr>
                <w:rFonts w:ascii="Calibri" w:hAnsi="Calibri"/>
                <w:b w:val="0"/>
                <w:i w:val="0"/>
                <w:color w:val="FFF4DF"/>
                <w:sz w:val="20"/>
              </w:rPr>
              <w:t>core raise  ·  optional USD 500,000 accelerator (ceiling USD 1.5M)</w:t>
            </w:r>
          </w:p>
        </w:tc>
      </w:tr>
    </w:tbl>
    <w:p>
      <w:pPr>
        <w:spacing w:after="440" w:before="0"/>
      </w:pPr>
    </w:p>
    <w:p>
      <w:pPr>
        <w:spacing w:after="40" w:before="0"/>
        <w:jc w:val="center"/>
      </w:pPr>
      <w:r>
        <w:rPr>
          <w:rFonts w:ascii="Calibri" w:hAnsi="Calibri"/>
          <w:b/>
          <w:i w:val="0"/>
          <w:color w:val="1A1A19"/>
          <w:sz w:val="21"/>
        </w:rPr>
        <w:t>Prepared by  Fadi Jannan — Managing Director</w:t>
      </w:r>
    </w:p>
    <w:p>
      <w:pPr>
        <w:spacing w:after="40" w:before="0"/>
        <w:jc w:val="center"/>
      </w:pPr>
      <w:r>
        <w:rPr>
          <w:rFonts w:ascii="Calibri" w:hAnsi="Calibri"/>
          <w:b w:val="0"/>
          <w:i w:val="0"/>
          <w:color w:val="5C5B57"/>
          <w:sz w:val="19"/>
        </w:rPr>
        <w:t>Dubai, UAE  ·  Cairo, Egypt   |   +971 58 509 3383  ·  +20 10 5544 2066</w:t>
      </w:r>
    </w:p>
    <w:p>
      <w:pPr>
        <w:spacing w:after="280" w:before="0"/>
        <w:jc w:val="center"/>
      </w:pPr>
      <w:r>
        <w:rPr>
          <w:rFonts w:ascii="Calibri" w:hAnsi="Calibri"/>
          <w:b w:val="0"/>
          <w:i w:val="0"/>
          <w:color w:val="5C5B57"/>
          <w:sz w:val="19"/>
        </w:rPr>
        <w:t>f.jannan@norcotrading.com   ·   www.norcotrading.com</w:t>
      </w:r>
    </w:p>
    <w:p>
      <w:pPr>
        <w:spacing w:after="120" w:before="0"/>
        <w:jc w:val="center"/>
      </w:pPr>
      <w:r>
        <w:rPr>
          <w:rFonts w:ascii="Calibri" w:hAnsi="Calibri"/>
          <w:b/>
          <w:i w:val="0"/>
          <w:color w:val="5C5B57"/>
          <w:sz w:val="18"/>
        </w:rPr>
        <w:t>14 July 2026  ·  Version 7.0 (Vestwoods)  ·  Strictly Private &amp; Confidential</w:t>
      </w:r>
    </w:p>
    <w:p>
      <w:r>
        <w:br w:type="page"/>
      </w:r>
    </w:p>
    <w:p>
      <w:pPr>
        <w:keepNext/>
        <w:spacing w:before="320" w:after="160"/>
        <w:pBdr>
          <w:bottom w:val="single" w:sz="6" w:space="4" w:color="0F2942"/>
        </w:pBdr>
      </w:pPr>
      <w:r>
        <w:rPr>
          <w:rFonts w:ascii="Calibri" w:hAnsi="Calibri"/>
          <w:b/>
          <w:i w:val="0"/>
          <w:color w:val="C8892A"/>
          <w:sz w:val="30"/>
        </w:rPr>
        <w:t xml:space="preserve">1   </w:t>
      </w:r>
      <w:r>
        <w:rPr>
          <w:rFonts w:ascii="Calibri" w:hAnsi="Calibri"/>
          <w:b/>
          <w:i w:val="0"/>
          <w:color w:val="0F2942"/>
          <w:sz w:val="30"/>
        </w:rPr>
        <w:t>Executive Summary</w:t>
      </w:r>
    </w:p>
    <w:p>
      <w:pPr>
        <w:spacing w:after="160" w:before="0"/>
      </w:pPr>
      <w:r>
        <w:rPr>
          <w:rFonts w:ascii="Calibri" w:hAnsi="Calibri"/>
          <w:b w:val="0"/>
          <w:i w:val="0"/>
          <w:color w:val="1A1A19"/>
          <w:sz w:val="21"/>
        </w:rPr>
        <w:t>NORCO Egypt is the exclusive distributor of Vestwoods (Haier Energy) lithium battery energy storage systems for Egypt, with three live export corridors across North and East Africa. The company is Cairo-based and backed by NORCO General Trading L.L.C. (UAE), which holds the exclusive Vestwoods agency and 20% of the Egyptian operating company. Commercial operations begin in August 2026 from an already-renovated, operating showroom in 6th October City.</w:t>
      </w:r>
    </w:p>
    <w:p>
      <w:pPr>
        <w:keepNext/>
        <w:spacing w:before="220" w:after="80"/>
      </w:pPr>
      <w:r>
        <w:rPr>
          <w:rFonts w:ascii="Calibri" w:hAnsi="Calibri"/>
          <w:b/>
          <w:i w:val="0"/>
          <w:color w:val="0F6E6A"/>
          <w:sz w:val="24"/>
        </w:rPr>
        <w:t>Four markets, one agency</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Egypt — </w:t>
      </w:r>
      <w:r>
        <w:rPr>
          <w:rFonts w:ascii="Calibri" w:hAnsi="Calibri"/>
          <w:b w:val="0"/>
          <w:i w:val="0"/>
          <w:color w:val="1A1A19"/>
          <w:sz w:val="21"/>
        </w:rPr>
        <w:t>the core market: chronic load-shedding, diesel escalation and the national solar push make lithium storage a purchase of necessity across residential, telecom and commercial &amp; industrial (C&amp;I) segments. 6 containers in Year 1 growing to 15 by Year 5.</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Sudan — </w:t>
      </w:r>
      <w:r>
        <w:rPr>
          <w:rFonts w:ascii="Calibri" w:hAnsi="Calibri"/>
          <w:b w:val="0"/>
          <w:i w:val="0"/>
          <w:color w:val="1A1A19"/>
          <w:sz w:val="21"/>
        </w:rPr>
        <w:t>committed buyer already identified; orders trigger on arrival of the first containers on 50% advance + 50% delivery terms. 4 → 10 containers.</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Algeria — </w:t>
      </w:r>
      <w:r>
        <w:rPr>
          <w:rFonts w:ascii="Calibri" w:hAnsi="Calibri"/>
          <w:b w:val="0"/>
          <w:i w:val="0"/>
          <w:color w:val="1A1A19"/>
          <w:sz w:val="21"/>
        </w:rPr>
        <w:t>agency in advanced negotiation; first orders on 100% letters of credit from Month 8, FOB Jebel Ali to a licensed importer. 3 → 8 containers.</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Libya — </w:t>
      </w:r>
      <w:r>
        <w:rPr>
          <w:rFonts w:ascii="Calibri" w:hAnsi="Calibri"/>
          <w:b w:val="0"/>
          <w:i w:val="0"/>
          <w:color w:val="1A1A19"/>
          <w:sz w:val="21"/>
        </w:rPr>
        <w:t>dual-hub distributors (Tripoli + Benghazi) from Year 2 on advance/LC terms. 0 → 8 containers. Total across four markets: 13 in Year 1 to 41 by Year 5.</w:t>
      </w:r>
    </w:p>
    <w:p>
      <w:pPr>
        <w:spacing w:after="4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12"/>
        <w:gridCol w:w="2412"/>
        <w:gridCol w:w="2412"/>
        <w:gridCol w:w="2412"/>
      </w:tblGrid>
      <w:tr>
        <w:tc>
          <w:tcPr>
            <w:tcW w:type="dxa" w:w="2412"/>
            <w:shd w:val="clear" w:color="auto" w:fill="0F2942"/>
            <w:tcMar>
              <w:top w:w="90" w:type="dxa"/>
              <w:bottom w:w="10" w:type="dxa"/>
              <w:start w:w="110" w:type="dxa"/>
              <w:end w:w="110" w:type="dxa"/>
            </w:tcMar>
          </w:tcPr>
          <w:p>
            <w:pPr>
              <w:spacing w:after="0"/>
              <w:jc w:val="center"/>
            </w:pPr>
            <w:r>
              <w:rPr>
                <w:rFonts w:ascii="Calibri" w:hAnsi="Calibri"/>
                <w:b/>
                <w:i w:val="0"/>
                <w:color w:val="FFFFFF"/>
                <w:sz w:val="32"/>
              </w:rPr>
              <w:t>$48.32M</w:t>
            </w:r>
          </w:p>
        </w:tc>
        <w:tc>
          <w:tcPr>
            <w:tcW w:type="dxa" w:w="2412"/>
            <w:shd w:val="clear" w:color="auto" w:fill="0F2942"/>
            <w:tcMar>
              <w:top w:w="90" w:type="dxa"/>
              <w:bottom w:w="10" w:type="dxa"/>
              <w:start w:w="110" w:type="dxa"/>
              <w:end w:w="110" w:type="dxa"/>
            </w:tcMar>
          </w:tcPr>
          <w:p>
            <w:pPr>
              <w:spacing w:after="0"/>
              <w:jc w:val="center"/>
            </w:pPr>
            <w:r>
              <w:rPr>
                <w:rFonts w:ascii="Calibri" w:hAnsi="Calibri"/>
                <w:b/>
                <w:i w:val="0"/>
                <w:color w:val="FFFFFF"/>
                <w:sz w:val="32"/>
              </w:rPr>
              <w:t>$9.44M</w:t>
            </w:r>
          </w:p>
        </w:tc>
        <w:tc>
          <w:tcPr>
            <w:tcW w:type="dxa" w:w="2412"/>
            <w:shd w:val="clear" w:color="auto" w:fill="0F2942"/>
            <w:tcMar>
              <w:top w:w="90" w:type="dxa"/>
              <w:bottom w:w="10" w:type="dxa"/>
              <w:start w:w="110" w:type="dxa"/>
              <w:end w:w="110" w:type="dxa"/>
            </w:tcMar>
          </w:tcPr>
          <w:p>
            <w:pPr>
              <w:spacing w:after="0"/>
              <w:jc w:val="center"/>
            </w:pPr>
            <w:r>
              <w:rPr>
                <w:rFonts w:ascii="Calibri" w:hAnsi="Calibri"/>
                <w:b/>
                <w:i w:val="0"/>
                <w:color w:val="FFFFFF"/>
                <w:sz w:val="32"/>
              </w:rPr>
              <w:t>Month 6</w:t>
            </w:r>
          </w:p>
        </w:tc>
        <w:tc>
          <w:tcPr>
            <w:tcW w:type="dxa" w:w="2412"/>
            <w:shd w:val="clear" w:color="auto" w:fill="0F2942"/>
            <w:tcMar>
              <w:top w:w="90" w:type="dxa"/>
              <w:bottom w:w="10" w:type="dxa"/>
              <w:start w:w="110" w:type="dxa"/>
              <w:end w:w="110" w:type="dxa"/>
            </w:tcMar>
          </w:tcPr>
          <w:p>
            <w:pPr>
              <w:spacing w:after="0"/>
              <w:jc w:val="center"/>
            </w:pPr>
            <w:r>
              <w:rPr>
                <w:rFonts w:ascii="Calibri" w:hAnsi="Calibri"/>
                <w:b/>
                <w:i w:val="0"/>
                <w:color w:val="FFFFFF"/>
                <w:sz w:val="32"/>
              </w:rPr>
              <w:t>69% / 10.0x</w:t>
            </w:r>
          </w:p>
        </w:tc>
      </w:tr>
      <w:tr>
        <w:tc>
          <w:tcPr>
            <w:tcW w:type="dxa" w:w="2412"/>
            <w:shd w:val="clear" w:color="auto" w:fill="0F2942"/>
            <w:tcMar>
              <w:top w:w="0" w:type="dxa"/>
              <w:bottom w:w="90" w:type="dxa"/>
              <w:start w:w="110" w:type="dxa"/>
              <w:end w:w="110" w:type="dxa"/>
            </w:tcMar>
          </w:tcPr>
          <w:p>
            <w:pPr>
              <w:spacing w:after="0"/>
              <w:jc w:val="center"/>
            </w:pPr>
            <w:r>
              <w:rPr>
                <w:rFonts w:ascii="Calibri" w:hAnsi="Calibri"/>
                <w:b w:val="0"/>
                <w:i w:val="0"/>
                <w:color w:val="C7D3DE"/>
                <w:sz w:val="16"/>
              </w:rPr>
              <w:t>5-YEAR REVENUE</w:t>
            </w:r>
          </w:p>
        </w:tc>
        <w:tc>
          <w:tcPr>
            <w:tcW w:type="dxa" w:w="2412"/>
            <w:shd w:val="clear" w:color="auto" w:fill="0F2942"/>
            <w:tcMar>
              <w:top w:w="0" w:type="dxa"/>
              <w:bottom w:w="90" w:type="dxa"/>
              <w:start w:w="110" w:type="dxa"/>
              <w:end w:w="110" w:type="dxa"/>
            </w:tcMar>
          </w:tcPr>
          <w:p>
            <w:pPr>
              <w:spacing w:after="0"/>
              <w:jc w:val="center"/>
            </w:pPr>
            <w:r>
              <w:rPr>
                <w:rFonts w:ascii="Calibri" w:hAnsi="Calibri"/>
                <w:b w:val="0"/>
                <w:i w:val="0"/>
                <w:color w:val="C7D3DE"/>
                <w:sz w:val="16"/>
              </w:rPr>
              <w:t>5-YEAR NET PROFIT</w:t>
            </w:r>
          </w:p>
        </w:tc>
        <w:tc>
          <w:tcPr>
            <w:tcW w:type="dxa" w:w="2412"/>
            <w:shd w:val="clear" w:color="auto" w:fill="0F2942"/>
            <w:tcMar>
              <w:top w:w="0" w:type="dxa"/>
              <w:bottom w:w="90" w:type="dxa"/>
              <w:start w:w="110" w:type="dxa"/>
              <w:end w:w="110" w:type="dxa"/>
            </w:tcMar>
          </w:tcPr>
          <w:p>
            <w:pPr>
              <w:spacing w:after="0"/>
              <w:jc w:val="center"/>
            </w:pPr>
            <w:r>
              <w:rPr>
                <w:rFonts w:ascii="Calibri" w:hAnsi="Calibri"/>
                <w:b w:val="0"/>
                <w:i w:val="0"/>
                <w:color w:val="C7D3DE"/>
                <w:sz w:val="16"/>
              </w:rPr>
              <w:t>BREAK-EVEN (OP. &amp; CUM.)</w:t>
            </w:r>
          </w:p>
        </w:tc>
        <w:tc>
          <w:tcPr>
            <w:tcW w:type="dxa" w:w="2412"/>
            <w:shd w:val="clear" w:color="auto" w:fill="0F2942"/>
            <w:tcMar>
              <w:top w:w="0" w:type="dxa"/>
              <w:bottom w:w="90" w:type="dxa"/>
              <w:start w:w="110" w:type="dxa"/>
              <w:end w:w="110" w:type="dxa"/>
            </w:tcMar>
          </w:tcPr>
          <w:p>
            <w:pPr>
              <w:spacing w:after="0"/>
              <w:jc w:val="center"/>
            </w:pPr>
            <w:r>
              <w:rPr>
                <w:rFonts w:ascii="Calibri" w:hAnsi="Calibri"/>
                <w:b w:val="0"/>
                <w:i w:val="0"/>
                <w:color w:val="C7D3DE"/>
                <w:sz w:val="16"/>
              </w:rPr>
              <w:t>INVESTOR IRR / MOIC</w:t>
            </w:r>
          </w:p>
        </w:tc>
      </w:tr>
    </w:tbl>
    <w:p>
      <w:pPr>
        <w:spacing w:after="80"/>
      </w:pPr>
    </w:p>
    <w:p>
      <w:pPr>
        <w:keepNext/>
        <w:spacing w:before="220" w:after="80"/>
      </w:pPr>
      <w:r>
        <w:rPr>
          <w:rFonts w:ascii="Calibri" w:hAnsi="Calibri"/>
          <w:b/>
          <w:i w:val="0"/>
          <w:color w:val="0F6E6A"/>
          <w:sz w:val="24"/>
        </w:rPr>
        <w:t>The ask and the return</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USD 1,000,000 for 50% of NORCO Egypt </w:t>
      </w:r>
      <w:r>
        <w:rPr>
          <w:rFonts w:ascii="Calibri" w:hAnsi="Calibri"/>
          <w:b w:val="0"/>
          <w:i w:val="0"/>
          <w:color w:val="1A1A19"/>
          <w:sz w:val="21"/>
        </w:rPr>
        <w:t>released in two milestone-gated tranches of USD 500,000 — plus an optional USD 500,000 accelerator (ceiling USD 1.5M). The capital covers the Year-1 working-capital requirement of USD 915,603 created by Vestwoods' import terms; Sinosure-approved supplier credit (10% down + 90% at 3-month credit) keeps the need this low.</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Profitable in Year 1 — </w:t>
      </w:r>
      <w:r>
        <w:rPr>
          <w:rFonts w:ascii="Calibri" w:hAnsi="Calibri"/>
          <w:b w:val="0"/>
          <w:i w:val="0"/>
          <w:color w:val="1A1A19"/>
          <w:sz w:val="21"/>
        </w:rPr>
        <w:t>USD $5.36M revenue and USD 897,753 net profit, with operating and cumulative break-even both in Month 6 (January 2027). Five-year net profit USD $9.44M; Year-1 profit alone approaches the full USD 1.0M investment and cumulative profit clears it inside Year 2.</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Investor cash flow — </w:t>
      </w:r>
      <w:r>
        <w:rPr>
          <w:rFonts w:ascii="Calibri" w:hAnsi="Calibri"/>
          <w:b w:val="0"/>
          <w:i w:val="0"/>
          <w:color w:val="1A1A19"/>
          <w:sz w:val="21"/>
        </w:rPr>
        <w:t>100% of net profit is distributed annually in arrears; the investor receives half of every distribution — 3.4x the capital in dividends alone (40% IRR) — plus a 50% share of the terminal value (5× Year-5 net profit), lifting the total to 10.0x and a 69% IRR.</w:t>
      </w:r>
    </w:p>
    <w:p>
      <w:pPr>
        <w:keepNext/>
        <w:spacing w:before="220" w:after="80"/>
      </w:pPr>
      <w:r>
        <w:rPr>
          <w:rFonts w:ascii="Calibri" w:hAnsi="Calibri"/>
          <w:b/>
          <w:i w:val="0"/>
          <w:color w:val="0F6E6A"/>
          <w:sz w:val="24"/>
        </w:rPr>
        <w:t>Proof already on the table</w:t>
      </w:r>
    </w:p>
    <w:p>
      <w:pPr>
        <w:spacing w:after="120" w:before="0"/>
      </w:pPr>
      <w:r>
        <w:rPr>
          <w:rFonts w:ascii="Calibri" w:hAnsi="Calibri"/>
          <w:b w:val="0"/>
          <w:i w:val="0"/>
          <w:color w:val="1A1A19"/>
          <w:sz w:val="21"/>
        </w:rPr>
        <w:t>The founder has invested USD 14,517 pre-launch — including EGP 31,948.50 of product stock purchased and sold through the operating showroom before launch. UAE and Egypt registration, import permits, GOEIC application, fit-out and branding are complete, and Vestwoods pricing is verified against the supplier's container packing list.</w:t>
      </w:r>
    </w:p>
    <w:p>
      <w:pPr>
        <w:jc w:val="center"/>
      </w:pPr>
      <w:r>
        <w:drawing>
          <wp:inline xmlns:a="http://schemas.openxmlformats.org/drawingml/2006/main" xmlns:pic="http://schemas.openxmlformats.org/drawingml/2006/picture">
            <wp:extent cx="5852160" cy="3549671"/>
            <wp:docPr id="1" name="Picture 1"/>
            <wp:cNvGraphicFramePr>
              <a:graphicFrameLocks noChangeAspect="1"/>
            </wp:cNvGraphicFramePr>
            <a:graphic>
              <a:graphicData uri="http://schemas.openxmlformats.org/drawingml/2006/picture">
                <pic:pic>
                  <pic:nvPicPr>
                    <pic:cNvPr id="0" name="revenue_by_market.png"/>
                    <pic:cNvPicPr/>
                  </pic:nvPicPr>
                  <pic:blipFill>
                    <a:blip r:embed="rId10"/>
                    <a:stretch>
                      <a:fillRect/>
                    </a:stretch>
                  </pic:blipFill>
                  <pic:spPr>
                    <a:xfrm>
                      <a:off x="0" y="0"/>
                      <a:ext cx="5852160" cy="3549671"/>
                    </a:xfrm>
                    <a:prstGeom prst="rect"/>
                  </pic:spPr>
                </pic:pic>
              </a:graphicData>
            </a:graphic>
          </wp:inline>
        </w:drawing>
      </w:r>
    </w:p>
    <w:p>
      <w:r>
        <w:br w:type="page"/>
      </w:r>
    </w:p>
    <w:p>
      <w:pPr>
        <w:keepNext/>
        <w:spacing w:before="320" w:after="160"/>
        <w:pBdr>
          <w:bottom w:val="single" w:sz="6" w:space="4" w:color="0F2942"/>
        </w:pBdr>
      </w:pPr>
      <w:r>
        <w:rPr>
          <w:rFonts w:ascii="Calibri" w:hAnsi="Calibri"/>
          <w:b/>
          <w:i w:val="0"/>
          <w:color w:val="C8892A"/>
          <w:sz w:val="30"/>
        </w:rPr>
        <w:t xml:space="preserve">2   </w:t>
      </w:r>
      <w:r>
        <w:rPr>
          <w:rFonts w:ascii="Calibri" w:hAnsi="Calibri"/>
          <w:b/>
          <w:i w:val="0"/>
          <w:color w:val="0F2942"/>
          <w:sz w:val="30"/>
        </w:rPr>
        <w:t>Company, Structure &amp; Ownership</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The investment vehicle — </w:t>
      </w:r>
      <w:r>
        <w:rPr>
          <w:rFonts w:ascii="Calibri" w:hAnsi="Calibri"/>
          <w:b w:val="0"/>
          <w:i w:val="0"/>
          <w:color w:val="1A1A19"/>
          <w:sz w:val="21"/>
        </w:rPr>
        <w:t>investors subscribe directly into NORCO Egypt, the operating company that owns the showrooms, inventory, receivables and Egyptian licences. NORCO General Trading L.L.C. (UAE, Dubai trade licence active) is a 20% shareholder and contributes the exclusive Vestwoods agency under a long-term agreement.</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Facilities — </w:t>
      </w:r>
      <w:r>
        <w:rPr>
          <w:rFonts w:ascii="Calibri" w:hAnsi="Calibri"/>
          <w:b w:val="0"/>
          <w:i w:val="0"/>
          <w:color w:val="1A1A19"/>
          <w:sz w:val="21"/>
        </w:rPr>
        <w:t>Showroom #1: 6th October City (operational, 2-year lease, EGP 10,000/month). Showroom #2: New Cairo, ~100 sqm, opens Month 1 (USD 2,500/month). Office: New Cairo, ~100 sqm fully furnished (USD 3,000/month). Warehouse: 300–700 sqm in 6th October, Sheikh Zayed or New Cairo, selected on cost (USD 3,000/month planned).</w:t>
      </w:r>
    </w:p>
    <w:p>
      <w:pPr>
        <w:keepNext/>
        <w:spacing w:before="220" w:after="80"/>
      </w:pPr>
      <w:r>
        <w:rPr>
          <w:rFonts w:ascii="Calibri" w:hAnsi="Calibri"/>
          <w:b/>
          <w:i w:val="0"/>
          <w:color w:val="0F6E6A"/>
          <w:sz w:val="24"/>
        </w:rPr>
        <w:t>2.1  Shareholding of NORCO Egypt</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3888"/>
            <w:shd w:val="clear" w:color="auto" w:fill="0F2942"/>
            <w:tcMar>
              <w:top w:w="60" w:type="dxa"/>
              <w:bottom w:w="60" w:type="dxa"/>
              <w:start w:w="110" w:type="dxa"/>
              <w:end w:w="110" w:type="dxa"/>
            </w:tcMar>
          </w:tcPr>
          <w:p>
            <w:pPr>
              <w:spacing w:after="0"/>
            </w:pPr>
            <w:r>
              <w:rPr>
                <w:rFonts w:ascii="Calibri" w:hAnsi="Calibri"/>
                <w:b/>
                <w:i w:val="0"/>
                <w:color w:val="FFFFFF"/>
                <w:sz w:val="18"/>
              </w:rPr>
              <w:t>Shareholder</w:t>
            </w:r>
          </w:p>
        </w:tc>
        <w:tc>
          <w:tcPr>
            <w:tcW w:type="dxa" w:w="1440"/>
            <w:shd w:val="clear" w:color="auto" w:fill="0F2942"/>
            <w:tcMar>
              <w:top w:w="60" w:type="dxa"/>
              <w:bottom w:w="60" w:type="dxa"/>
              <w:start w:w="110" w:type="dxa"/>
              <w:end w:w="110" w:type="dxa"/>
            </w:tcMar>
          </w:tcPr>
          <w:p>
            <w:pPr>
              <w:spacing w:after="0"/>
              <w:jc w:val="right"/>
            </w:pPr>
            <w:r>
              <w:rPr>
                <w:rFonts w:ascii="Calibri" w:hAnsi="Calibri"/>
                <w:b/>
                <w:i w:val="0"/>
                <w:color w:val="FFFFFF"/>
                <w:sz w:val="18"/>
              </w:rPr>
              <w:t>NORCO Egypt</w:t>
            </w:r>
          </w:p>
        </w:tc>
        <w:tc>
          <w:tcPr>
            <w:tcW w:type="dxa" w:w="4608"/>
            <w:shd w:val="clear" w:color="auto" w:fill="0F2942"/>
            <w:tcMar>
              <w:top w:w="60" w:type="dxa"/>
              <w:bottom w:w="60" w:type="dxa"/>
              <w:start w:w="110" w:type="dxa"/>
              <w:end w:w="110" w:type="dxa"/>
            </w:tcMar>
          </w:tcPr>
          <w:p>
            <w:pPr>
              <w:spacing w:after="0"/>
              <w:jc w:val="right"/>
            </w:pPr>
            <w:r>
              <w:rPr>
                <w:rFonts w:ascii="Calibri" w:hAnsi="Calibri"/>
                <w:b/>
                <w:i w:val="0"/>
                <w:color w:val="FFFFFF"/>
                <w:sz w:val="18"/>
              </w:rPr>
              <w:t>Notes</w:t>
            </w:r>
          </w:p>
        </w:tc>
      </w:tr>
      <w:tr>
        <w:tc>
          <w:tcPr>
            <w:tcW w:type="dxa" w:w="3888"/>
            <w:tcMar>
              <w:top w:w="60" w:type="dxa"/>
              <w:bottom w:w="60" w:type="dxa"/>
              <w:start w:w="110" w:type="dxa"/>
              <w:end w:w="110" w:type="dxa"/>
            </w:tcMar>
          </w:tcPr>
          <w:p>
            <w:pPr>
              <w:spacing w:after="0"/>
            </w:pPr>
            <w:r>
              <w:rPr>
                <w:rFonts w:ascii="Calibri" w:hAnsi="Calibri"/>
                <w:b w:val="0"/>
                <w:i w:val="0"/>
                <w:color w:val="1A1A19"/>
                <w:sz w:val="18"/>
              </w:rPr>
              <w:t>Investor (USD 1.0M capital)</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50%</w:t>
            </w:r>
          </w:p>
        </w:tc>
        <w:tc>
          <w:tcPr>
            <w:tcW w:type="dxa" w:w="4608"/>
            <w:tcMar>
              <w:top w:w="60" w:type="dxa"/>
              <w:bottom w:w="60" w:type="dxa"/>
              <w:start w:w="110" w:type="dxa"/>
              <w:end w:w="110" w:type="dxa"/>
            </w:tcMar>
          </w:tcPr>
          <w:p>
            <w:pPr>
              <w:spacing w:after="0"/>
              <w:jc w:val="right"/>
            </w:pPr>
            <w:r>
              <w:rPr>
                <w:rFonts w:ascii="Calibri" w:hAnsi="Calibri"/>
                <w:b w:val="0"/>
                <w:i w:val="0"/>
                <w:color w:val="1A1A19"/>
                <w:sz w:val="18"/>
              </w:rPr>
              <w:t>Cash for 50% of NORCO Egypt; board seat; reserved matters</w:t>
            </w:r>
          </w:p>
        </w:tc>
      </w:tr>
      <w:tr>
        <w:tc>
          <w:tcPr>
            <w:tcW w:type="dxa" w:w="3888"/>
            <w:tcMar>
              <w:top w:w="60" w:type="dxa"/>
              <w:bottom w:w="60" w:type="dxa"/>
              <w:start w:w="110" w:type="dxa"/>
              <w:end w:w="110" w:type="dxa"/>
            </w:tcMar>
            <w:shd w:val="clear" w:color="auto" w:fill="F5F7F9"/>
          </w:tcPr>
          <w:p>
            <w:pPr>
              <w:spacing w:after="0"/>
            </w:pPr>
            <w:r>
              <w:rPr>
                <w:rFonts w:ascii="Calibri" w:hAnsi="Calibri"/>
                <w:b w:val="0"/>
                <w:i w:val="0"/>
                <w:color w:val="1A1A19"/>
                <w:sz w:val="18"/>
              </w:rPr>
              <w:t>NORCO General Trading L.L.C. (UAE)</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20%</w:t>
            </w:r>
          </w:p>
        </w:tc>
        <w:tc>
          <w:tcPr>
            <w:tcW w:type="dxa" w:w="4608"/>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Holds the Vestwoods exclusive agency</w:t>
            </w:r>
          </w:p>
        </w:tc>
      </w:tr>
      <w:tr>
        <w:tc>
          <w:tcPr>
            <w:tcW w:type="dxa" w:w="3888"/>
            <w:tcMar>
              <w:top w:w="60" w:type="dxa"/>
              <w:bottom w:w="60" w:type="dxa"/>
              <w:start w:w="110" w:type="dxa"/>
              <w:end w:w="110" w:type="dxa"/>
            </w:tcMar>
          </w:tcPr>
          <w:p>
            <w:pPr>
              <w:spacing w:after="0"/>
            </w:pPr>
            <w:r>
              <w:rPr>
                <w:rFonts w:ascii="Calibri" w:hAnsi="Calibri"/>
                <w:b w:val="0"/>
                <w:i w:val="0"/>
                <w:color w:val="1A1A19"/>
                <w:sz w:val="18"/>
              </w:rPr>
              <w:t>Mohammed Fadi Jannan — Chairman &amp; Founder</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20%</w:t>
            </w:r>
          </w:p>
        </w:tc>
        <w:tc>
          <w:tcPr>
            <w:tcW w:type="dxa" w:w="4608"/>
            <w:tcMar>
              <w:top w:w="60" w:type="dxa"/>
              <w:bottom w:w="60" w:type="dxa"/>
              <w:start w:w="110" w:type="dxa"/>
              <w:end w:w="110" w:type="dxa"/>
            </w:tcMar>
          </w:tcPr>
          <w:p>
            <w:pPr>
              <w:spacing w:after="0"/>
              <w:jc w:val="right"/>
            </w:pPr>
            <w:r>
              <w:rPr>
                <w:rFonts w:ascii="Calibri" w:hAnsi="Calibri"/>
                <w:b w:val="0"/>
                <w:i w:val="0"/>
                <w:color w:val="1A1A19"/>
                <w:sz w:val="18"/>
              </w:rPr>
              <w:t>Executive lead; combined founder-side interest 40% (20% direct + 20% via NORCO UAE)</w:t>
            </w:r>
          </w:p>
        </w:tc>
      </w:tr>
      <w:tr>
        <w:tc>
          <w:tcPr>
            <w:tcW w:type="dxa" w:w="3888"/>
            <w:tcMar>
              <w:top w:w="60" w:type="dxa"/>
              <w:bottom w:w="60" w:type="dxa"/>
              <w:start w:w="110" w:type="dxa"/>
              <w:end w:w="110" w:type="dxa"/>
            </w:tcMar>
            <w:shd w:val="clear" w:color="auto" w:fill="F5F7F9"/>
          </w:tcPr>
          <w:p>
            <w:pPr>
              <w:spacing w:after="0"/>
            </w:pPr>
            <w:r>
              <w:rPr>
                <w:rFonts w:ascii="Calibri" w:hAnsi="Calibri"/>
                <w:b w:val="0"/>
                <w:i w:val="0"/>
                <w:color w:val="1A1A19"/>
                <w:sz w:val="18"/>
              </w:rPr>
              <w:t>Partner A</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5%</w:t>
            </w:r>
          </w:p>
        </w:tc>
        <w:tc>
          <w:tcPr>
            <w:tcW w:type="dxa" w:w="4608"/>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Existing partner</w:t>
            </w:r>
          </w:p>
        </w:tc>
      </w:tr>
      <w:tr>
        <w:tc>
          <w:tcPr>
            <w:tcW w:type="dxa" w:w="3888"/>
            <w:tcMar>
              <w:top w:w="60" w:type="dxa"/>
              <w:bottom w:w="60" w:type="dxa"/>
              <w:start w:w="110" w:type="dxa"/>
              <w:end w:w="110" w:type="dxa"/>
            </w:tcMar>
          </w:tcPr>
          <w:p>
            <w:pPr>
              <w:spacing w:after="0"/>
            </w:pPr>
            <w:r>
              <w:rPr>
                <w:rFonts w:ascii="Calibri" w:hAnsi="Calibri"/>
                <w:b w:val="0"/>
                <w:i w:val="0"/>
                <w:color w:val="1A1A19"/>
                <w:sz w:val="18"/>
              </w:rPr>
              <w:t>Partner B</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5%</w:t>
            </w:r>
          </w:p>
        </w:tc>
        <w:tc>
          <w:tcPr>
            <w:tcW w:type="dxa" w:w="4608"/>
            <w:tcMar>
              <w:top w:w="60" w:type="dxa"/>
              <w:bottom w:w="60" w:type="dxa"/>
              <w:start w:w="110" w:type="dxa"/>
              <w:end w:w="110" w:type="dxa"/>
            </w:tcMar>
          </w:tcPr>
          <w:p>
            <w:pPr>
              <w:spacing w:after="0"/>
              <w:jc w:val="right"/>
            </w:pPr>
            <w:r>
              <w:rPr>
                <w:rFonts w:ascii="Calibri" w:hAnsi="Calibri"/>
                <w:b w:val="0"/>
                <w:i w:val="0"/>
                <w:color w:val="1A1A19"/>
                <w:sz w:val="18"/>
              </w:rPr>
              <w:t>Existing partner</w:t>
            </w:r>
          </w:p>
        </w:tc>
      </w:tr>
      <w:tr>
        <w:tc>
          <w:tcPr>
            <w:tcW w:type="dxa" w:w="3888"/>
            <w:tcMar>
              <w:top w:w="60" w:type="dxa"/>
              <w:bottom w:w="60" w:type="dxa"/>
              <w:start w:w="110" w:type="dxa"/>
              <w:end w:w="110" w:type="dxa"/>
            </w:tcMar>
            <w:shd w:val="clear" w:color="auto" w:fill="E9EDF0"/>
          </w:tcPr>
          <w:p>
            <w:pPr>
              <w:spacing w:after="0"/>
            </w:pPr>
            <w:r>
              <w:rPr>
                <w:rFonts w:ascii="Calibri" w:hAnsi="Calibri"/>
                <w:b/>
                <w:i w:val="0"/>
                <w:color w:val="0F2942"/>
                <w:sz w:val="18"/>
              </w:rPr>
              <w:t>Total</w:t>
            </w:r>
          </w:p>
        </w:tc>
        <w:tc>
          <w:tcPr>
            <w:tcW w:type="dxa" w:w="1440"/>
            <w:tcMar>
              <w:top w:w="60" w:type="dxa"/>
              <w:bottom w:w="60" w:type="dxa"/>
              <w:start w:w="110" w:type="dxa"/>
              <w:end w:w="110" w:type="dxa"/>
            </w:tcMar>
            <w:shd w:val="clear" w:color="auto" w:fill="E9EDF0"/>
          </w:tcPr>
          <w:p>
            <w:pPr>
              <w:spacing w:after="0"/>
              <w:jc w:val="right"/>
            </w:pPr>
            <w:r>
              <w:rPr>
                <w:rFonts w:ascii="Calibri" w:hAnsi="Calibri"/>
                <w:b/>
                <w:i w:val="0"/>
                <w:color w:val="0F2942"/>
                <w:sz w:val="18"/>
              </w:rPr>
              <w:t>100%</w:t>
            </w:r>
          </w:p>
        </w:tc>
        <w:tc>
          <w:tcPr>
            <w:tcW w:type="dxa" w:w="4608"/>
            <w:tcMar>
              <w:top w:w="60" w:type="dxa"/>
              <w:bottom w:w="60" w:type="dxa"/>
              <w:start w:w="110" w:type="dxa"/>
              <w:end w:w="110" w:type="dxa"/>
            </w:tcMar>
            <w:shd w:val="clear" w:color="auto" w:fill="E9EDF0"/>
          </w:tcPr>
          <w:p>
            <w:pPr>
              <w:spacing w:after="0"/>
              <w:jc w:val="right"/>
            </w:pPr>
            <w:r>
              <w:rPr>
                <w:rFonts w:ascii="Calibri" w:hAnsi="Calibri"/>
                <w:b/>
                <w:i w:val="0"/>
                <w:color w:val="0F2942"/>
                <w:sz w:val="18"/>
              </w:rPr>
            </w:r>
          </w:p>
        </w:tc>
      </w:tr>
    </w:tbl>
    <w:p>
      <w:pPr>
        <w:spacing w:after="40"/>
      </w:pPr>
    </w:p>
    <w:p>
      <w:pPr>
        <w:spacing w:after="160" w:before="0"/>
      </w:pPr>
      <w:r>
        <w:rPr>
          <w:rFonts w:ascii="Calibri" w:hAnsi="Calibri"/>
          <w:b w:val="0"/>
          <w:i/>
          <w:color w:val="5C5B57"/>
          <w:sz w:val="19"/>
        </w:rPr>
        <w:t>The founder's combined interest is 40% — 20% held directly plus 20% held through NORCO UAE, which he controls. The Chairman remains executive lead and agency holder.</w:t>
      </w:r>
    </w:p>
    <w:p>
      <w:pPr>
        <w:keepNext/>
        <w:spacing w:before="220" w:after="80"/>
      </w:pPr>
      <w:r>
        <w:rPr>
          <w:rFonts w:ascii="Calibri" w:hAnsi="Calibri"/>
          <w:b/>
          <w:i w:val="0"/>
          <w:color w:val="0F6E6A"/>
          <w:sz w:val="24"/>
        </w:rPr>
        <w:t>2.2  Pre-operational investment — USD 14,517 already spent</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6336"/>
            <w:shd w:val="clear" w:color="auto" w:fill="0F2942"/>
            <w:tcMar>
              <w:top w:w="60" w:type="dxa"/>
              <w:bottom w:w="60" w:type="dxa"/>
              <w:start w:w="110" w:type="dxa"/>
              <w:end w:w="110" w:type="dxa"/>
            </w:tcMar>
          </w:tcPr>
          <w:p>
            <w:pPr>
              <w:spacing w:after="0"/>
            </w:pPr>
            <w:r>
              <w:rPr>
                <w:rFonts w:ascii="Calibri" w:hAnsi="Calibri"/>
                <w:b/>
                <w:i w:val="0"/>
                <w:color w:val="FFFFFF"/>
                <w:sz w:val="19"/>
              </w:rPr>
              <w:t>Item</w:t>
            </w:r>
          </w:p>
        </w:tc>
        <w:tc>
          <w:tcPr>
            <w:tcW w:type="dxa" w:w="2304"/>
            <w:shd w:val="clear" w:color="auto" w:fill="0F2942"/>
            <w:tcMar>
              <w:top w:w="60" w:type="dxa"/>
              <w:bottom w:w="60" w:type="dxa"/>
              <w:start w:w="110" w:type="dxa"/>
              <w:end w:w="110" w:type="dxa"/>
            </w:tcMar>
          </w:tcPr>
          <w:p>
            <w:pPr>
              <w:spacing w:after="0"/>
            </w:pPr>
            <w:r>
              <w:rPr>
                <w:rFonts w:ascii="Calibri" w:hAnsi="Calibri"/>
                <w:b/>
                <w:i w:val="0"/>
                <w:color w:val="FFFFFF"/>
                <w:sz w:val="19"/>
              </w:rPr>
              <w:t>Original</w:t>
            </w:r>
          </w:p>
        </w:tc>
        <w:tc>
          <w:tcPr>
            <w:tcW w:type="dxa" w:w="1296"/>
            <w:shd w:val="clear" w:color="auto" w:fill="0F2942"/>
            <w:tcMar>
              <w:top w:w="60" w:type="dxa"/>
              <w:bottom w:w="60" w:type="dxa"/>
              <w:start w:w="110" w:type="dxa"/>
              <w:end w:w="110" w:type="dxa"/>
            </w:tcMar>
          </w:tcPr>
          <w:p>
            <w:pPr>
              <w:spacing w:after="0"/>
              <w:jc w:val="right"/>
            </w:pPr>
            <w:r>
              <w:rPr>
                <w:rFonts w:ascii="Calibri" w:hAnsi="Calibri"/>
                <w:b/>
                <w:i w:val="0"/>
                <w:color w:val="FFFFFF"/>
                <w:sz w:val="19"/>
              </w:rPr>
              <w:t>USD</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Showroom renovation — 6th October City</w:t>
            </w:r>
          </w:p>
        </w:tc>
        <w:tc>
          <w:tcPr>
            <w:tcW w:type="dxa" w:w="2304"/>
            <w:tcMar>
              <w:top w:w="60" w:type="dxa"/>
              <w:bottom w:w="60" w:type="dxa"/>
              <w:start w:w="110" w:type="dxa"/>
              <w:end w:w="110" w:type="dxa"/>
            </w:tcMar>
          </w:tcPr>
          <w:p>
            <w:pPr>
              <w:spacing w:after="0"/>
            </w:pPr>
            <w:r>
              <w:rPr>
                <w:rFonts w:ascii="Calibri" w:hAnsi="Calibri"/>
                <w:b w:val="0"/>
                <w:i w:val="0"/>
                <w:color w:val="1A1A19"/>
                <w:sz w:val="19"/>
              </w:rPr>
              <w:t>EGP 82,000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1,640</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Showroom furniture &amp; fittings</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EGP 85,000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1,700</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Security cameras &amp; CCTV</w:t>
            </w:r>
          </w:p>
        </w:tc>
        <w:tc>
          <w:tcPr>
            <w:tcW w:type="dxa" w:w="2304"/>
            <w:tcMar>
              <w:top w:w="60" w:type="dxa"/>
              <w:bottom w:w="60" w:type="dxa"/>
              <w:start w:w="110" w:type="dxa"/>
              <w:end w:w="110" w:type="dxa"/>
            </w:tcMar>
          </w:tcPr>
          <w:p>
            <w:pPr>
              <w:spacing w:after="0"/>
            </w:pPr>
            <w:r>
              <w:rPr>
                <w:rFonts w:ascii="Calibri" w:hAnsi="Calibri"/>
                <w:b w:val="0"/>
                <w:i w:val="0"/>
                <w:color w:val="1A1A19"/>
                <w:sz w:val="19"/>
              </w:rPr>
              <w:t>EGP 7,500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150</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Additional setup &amp; equipment</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EGP 50,000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1,000</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Legal &amp; licensing — Egypt registration (2025)</w:t>
            </w:r>
          </w:p>
        </w:tc>
        <w:tc>
          <w:tcPr>
            <w:tcW w:type="dxa" w:w="2304"/>
            <w:tcMar>
              <w:top w:w="60" w:type="dxa"/>
              <w:bottom w:w="60" w:type="dxa"/>
              <w:start w:w="110" w:type="dxa"/>
              <w:end w:w="110" w:type="dxa"/>
            </w:tcMar>
          </w:tcPr>
          <w:p>
            <w:pPr>
              <w:spacing w:after="0"/>
            </w:pPr>
            <w:r>
              <w:rPr>
                <w:rFonts w:ascii="Calibri" w:hAnsi="Calibri"/>
                <w:b w:val="0"/>
                <w:i w:val="0"/>
                <w:color w:val="1A1A19"/>
                <w:sz w:val="19"/>
              </w:rPr>
              <w:t>EGP 87,000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1,740</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Legal &amp; licensing — import permits (2026)</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EGP 80,000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1,600</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UAE business licence — NORCO LLC</w:t>
            </w:r>
          </w:p>
        </w:tc>
        <w:tc>
          <w:tcPr>
            <w:tcW w:type="dxa" w:w="2304"/>
            <w:tcMar>
              <w:top w:w="60" w:type="dxa"/>
              <w:bottom w:w="60" w:type="dxa"/>
              <w:start w:w="110" w:type="dxa"/>
              <w:end w:w="110" w:type="dxa"/>
            </w:tcMar>
          </w:tcPr>
          <w:p>
            <w:pPr>
              <w:spacing w:after="0"/>
            </w:pPr>
            <w:r>
              <w:rPr>
                <w:rFonts w:ascii="Calibri" w:hAnsi="Calibri"/>
                <w:b w:val="0"/>
                <w:i w:val="0"/>
                <w:color w:val="1A1A19"/>
                <w:sz w:val="19"/>
              </w:rPr>
              <w:t>AED 15,000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4,084</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Showroom rent — 2 months pre-operations</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EGP 20,000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400</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Sales representative — 2 months pre-launch</w:t>
            </w:r>
          </w:p>
        </w:tc>
        <w:tc>
          <w:tcPr>
            <w:tcW w:type="dxa" w:w="2304"/>
            <w:tcMar>
              <w:top w:w="60" w:type="dxa"/>
              <w:bottom w:w="60" w:type="dxa"/>
              <w:start w:w="110" w:type="dxa"/>
              <w:end w:w="110" w:type="dxa"/>
            </w:tcMar>
          </w:tcPr>
          <w:p>
            <w:pPr>
              <w:spacing w:after="0"/>
            </w:pPr>
            <w:r>
              <w:rPr>
                <w:rFonts w:ascii="Calibri" w:hAnsi="Calibri"/>
                <w:b w:val="0"/>
                <w:i w:val="0"/>
                <w:color w:val="1A1A19"/>
                <w:sz w:val="19"/>
              </w:rPr>
              <w:t>2 × USD 500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1,000</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Products purchased &amp; sold in showroom (pre-launch trading)</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EGP 31,948.50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603</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Branding, logo &amp; stationery</w:t>
            </w:r>
          </w:p>
        </w:tc>
        <w:tc>
          <w:tcPr>
            <w:tcW w:type="dxa" w:w="2304"/>
            <w:tcMar>
              <w:top w:w="60" w:type="dxa"/>
              <w:bottom w:w="60" w:type="dxa"/>
              <w:start w:w="110" w:type="dxa"/>
              <w:end w:w="110" w:type="dxa"/>
            </w:tcMar>
          </w:tcPr>
          <w:p>
            <w:pPr>
              <w:spacing w:after="0"/>
            </w:pPr>
            <w:r>
              <w:rPr>
                <w:rFonts w:ascii="Calibri" w:hAnsi="Calibri"/>
                <w:b w:val="0"/>
                <w:i w:val="0"/>
                <w:color w:val="1A1A19"/>
                <w:sz w:val="19"/>
              </w:rPr>
              <w:t>USD 300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300</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Corporate website — norcotrading.com</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USD 300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300</w:t>
            </w:r>
          </w:p>
        </w:tc>
      </w:tr>
      <w:tr>
        <w:tc>
          <w:tcPr>
            <w:tcW w:type="dxa" w:w="6336"/>
            <w:tcMar>
              <w:top w:w="60" w:type="dxa"/>
              <w:bottom w:w="60" w:type="dxa"/>
              <w:start w:w="110" w:type="dxa"/>
              <w:end w:w="110" w:type="dxa"/>
            </w:tcMar>
            <w:shd w:val="clear" w:color="auto" w:fill="E9EDF0"/>
          </w:tcPr>
          <w:p>
            <w:pPr>
              <w:spacing w:after="0"/>
            </w:pPr>
            <w:r>
              <w:rPr>
                <w:rFonts w:ascii="Calibri" w:hAnsi="Calibri"/>
                <w:b/>
                <w:i w:val="0"/>
                <w:color w:val="0F2942"/>
                <w:sz w:val="19"/>
              </w:rPr>
              <w:t>Total pre-operational investment</w:t>
            </w:r>
          </w:p>
        </w:tc>
        <w:tc>
          <w:tcPr>
            <w:tcW w:type="dxa" w:w="2304"/>
            <w:tcMar>
              <w:top w:w="60" w:type="dxa"/>
              <w:bottom w:w="60" w:type="dxa"/>
              <w:start w:w="110" w:type="dxa"/>
              <w:end w:w="110" w:type="dxa"/>
            </w:tcMar>
            <w:shd w:val="clear" w:color="auto" w:fill="E9EDF0"/>
          </w:tcPr>
          <w:p>
            <w:pPr>
              <w:spacing w:after="0"/>
            </w:pPr>
            <w:r>
              <w:rPr>
                <w:rFonts w:ascii="Calibri" w:hAnsi="Calibri"/>
                <w:b/>
                <w:i w:val="0"/>
                <w:color w:val="0F2942"/>
                <w:sz w:val="19"/>
              </w:rPr>
            </w:r>
          </w:p>
        </w:tc>
        <w:tc>
          <w:tcPr>
            <w:tcW w:type="dxa" w:w="1296"/>
            <w:tcMar>
              <w:top w:w="60" w:type="dxa"/>
              <w:bottom w:w="60" w:type="dxa"/>
              <w:start w:w="110" w:type="dxa"/>
              <w:end w:w="110" w:type="dxa"/>
            </w:tcMar>
            <w:shd w:val="clear" w:color="auto" w:fill="E9EDF0"/>
          </w:tcPr>
          <w:p>
            <w:pPr>
              <w:spacing w:after="0"/>
              <w:jc w:val="right"/>
            </w:pPr>
            <w:r>
              <w:rPr>
                <w:rFonts w:ascii="Calibri" w:hAnsi="Calibri"/>
                <w:b/>
                <w:i w:val="0"/>
                <w:color w:val="0F2942"/>
                <w:sz w:val="19"/>
              </w:rPr>
              <w:t>14,517</w:t>
            </w:r>
          </w:p>
        </w:tc>
      </w:tr>
    </w:tbl>
    <w:p>
      <w:pPr>
        <w:spacing w:after="40"/>
      </w:pPr>
    </w:p>
    <w:p>
      <w:r>
        <w:br w:type="page"/>
      </w:r>
    </w:p>
    <w:p>
      <w:pPr>
        <w:keepNext/>
        <w:spacing w:before="320" w:after="160"/>
        <w:pBdr>
          <w:bottom w:val="single" w:sz="6" w:space="4" w:color="0F2942"/>
        </w:pBdr>
      </w:pPr>
      <w:r>
        <w:rPr>
          <w:rFonts w:ascii="Calibri" w:hAnsi="Calibri"/>
          <w:b/>
          <w:i w:val="0"/>
          <w:color w:val="C8892A"/>
          <w:sz w:val="30"/>
        </w:rPr>
        <w:t xml:space="preserve">3   </w:t>
      </w:r>
      <w:r>
        <w:rPr>
          <w:rFonts w:ascii="Calibri" w:hAnsi="Calibri"/>
          <w:b/>
          <w:i w:val="0"/>
          <w:color w:val="0F2942"/>
          <w:sz w:val="30"/>
        </w:rPr>
        <w:t>Products &amp; Pricing</w:t>
      </w:r>
    </w:p>
    <w:p>
      <w:pPr>
        <w:spacing w:after="120" w:before="0"/>
      </w:pPr>
      <w:r>
        <w:rPr>
          <w:rFonts w:ascii="Calibri" w:hAnsi="Calibri"/>
          <w:b w:val="0"/>
          <w:i w:val="0"/>
          <w:color w:val="1A1A19"/>
          <w:sz w:val="21"/>
        </w:rPr>
        <w:t>Vestwoods is a Haier Energy brand of lithium (LFP) battery energy storage, hybrid inverters and telecom power. NORCO holds the exclusive Egypt agency with price control. The product answers a purchase of necessity — chronic load-shedding, diesel-price escalation and a national solar push across residential, telecom and C&amp;I segments. Vestwoods prices 15–25% below premium brands with Haier-backed quality and a 5-year warranty; grey-market imports cannot match warranty, service or price control.</w:t>
      </w:r>
    </w:p>
    <w:p>
      <w:pPr>
        <w:spacing w:after="120" w:before="0"/>
      </w:pPr>
      <w:r>
        <w:rPr>
          <w:rFonts w:ascii="Calibri" w:hAnsi="Calibri"/>
          <w:b w:val="0"/>
          <w:i w:val="0"/>
          <w:color w:val="1A1A19"/>
          <w:sz w:val="21"/>
        </w:rPr>
        <w:t>The full range ships in 40ft FCL containers (340 units, landed USD 342,316 each), China → Alexandria, 45–55 day lead time. In Egypt the container sells at a 50/50 retail-wholesale mix for USD 433,281 (21% blended margin); export containers to Sudan, Algeria and Libya are billed at USD 393,861 wholesale. Verified pricing (USD, EGP 53):</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378"/>
        <w:gridCol w:w="1378"/>
        <w:gridCol w:w="1378"/>
        <w:gridCol w:w="1378"/>
        <w:gridCol w:w="1378"/>
        <w:gridCol w:w="1378"/>
        <w:gridCol w:w="1378"/>
      </w:tblGrid>
      <w:tr>
        <w:tc>
          <w:tcPr>
            <w:tcW w:type="dxa" w:w="1656"/>
            <w:shd w:val="clear" w:color="auto" w:fill="0F2942"/>
            <w:tcMar>
              <w:top w:w="60" w:type="dxa"/>
              <w:bottom w:w="60" w:type="dxa"/>
              <w:start w:w="110" w:type="dxa"/>
              <w:end w:w="110" w:type="dxa"/>
            </w:tcMar>
          </w:tcPr>
          <w:p>
            <w:pPr>
              <w:spacing w:after="0"/>
            </w:pPr>
            <w:r>
              <w:rPr>
                <w:rFonts w:ascii="Calibri" w:hAnsi="Calibri"/>
                <w:b/>
                <w:i w:val="0"/>
                <w:color w:val="FFFFFF"/>
                <w:sz w:val="17"/>
              </w:rPr>
              <w:t>Model</w:t>
            </w:r>
          </w:p>
        </w:tc>
        <w:tc>
          <w:tcPr>
            <w:tcW w:type="dxa" w:w="2736"/>
            <w:shd w:val="clear" w:color="auto" w:fill="0F2942"/>
            <w:tcMar>
              <w:top w:w="60" w:type="dxa"/>
              <w:bottom w:w="60" w:type="dxa"/>
              <w:start w:w="110" w:type="dxa"/>
              <w:end w:w="110" w:type="dxa"/>
            </w:tcMar>
          </w:tcPr>
          <w:p>
            <w:pPr>
              <w:spacing w:after="0"/>
            </w:pPr>
            <w:r>
              <w:rPr>
                <w:rFonts w:ascii="Calibri" w:hAnsi="Calibri"/>
                <w:b/>
                <w:i w:val="0"/>
                <w:color w:val="FFFFFF"/>
                <w:sz w:val="17"/>
              </w:rPr>
              <w:t>Description</w:t>
            </w:r>
          </w:p>
        </w:tc>
        <w:tc>
          <w:tcPr>
            <w:tcW w:type="dxa" w:w="720"/>
            <w:shd w:val="clear" w:color="auto" w:fill="0F2942"/>
            <w:tcMar>
              <w:top w:w="60" w:type="dxa"/>
              <w:bottom w:w="60" w:type="dxa"/>
              <w:start w:w="110" w:type="dxa"/>
              <w:end w:w="110" w:type="dxa"/>
            </w:tcMar>
          </w:tcPr>
          <w:p>
            <w:pPr>
              <w:spacing w:after="0"/>
              <w:jc w:val="right"/>
            </w:pPr>
            <w:r>
              <w:rPr>
                <w:rFonts w:ascii="Calibri" w:hAnsi="Calibri"/>
                <w:b/>
                <w:i w:val="0"/>
                <w:color w:val="FFFFFF"/>
                <w:sz w:val="17"/>
              </w:rPr>
              <w:t>Qty</w:t>
            </w:r>
          </w:p>
        </w:tc>
        <w:tc>
          <w:tcPr>
            <w:tcW w:type="dxa" w:w="1152"/>
            <w:shd w:val="clear" w:color="auto" w:fill="0F2942"/>
            <w:tcMar>
              <w:top w:w="60" w:type="dxa"/>
              <w:bottom w:w="60" w:type="dxa"/>
              <w:start w:w="110" w:type="dxa"/>
              <w:end w:w="110" w:type="dxa"/>
            </w:tcMar>
          </w:tcPr>
          <w:p>
            <w:pPr>
              <w:spacing w:after="0"/>
              <w:jc w:val="right"/>
            </w:pPr>
            <w:r>
              <w:rPr>
                <w:rFonts w:ascii="Calibri" w:hAnsi="Calibri"/>
                <w:b/>
                <w:i w:val="0"/>
                <w:color w:val="FFFFFF"/>
                <w:sz w:val="17"/>
              </w:rPr>
              <w:t>Factory</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Landed COGS</w:t>
            </w:r>
          </w:p>
        </w:tc>
        <w:tc>
          <w:tcPr>
            <w:tcW w:type="dxa" w:w="1296"/>
            <w:shd w:val="clear" w:color="auto" w:fill="0F2942"/>
            <w:tcMar>
              <w:top w:w="60" w:type="dxa"/>
              <w:bottom w:w="60" w:type="dxa"/>
              <w:start w:w="110" w:type="dxa"/>
              <w:end w:w="110" w:type="dxa"/>
            </w:tcMar>
          </w:tcPr>
          <w:p>
            <w:pPr>
              <w:spacing w:after="0"/>
              <w:jc w:val="right"/>
            </w:pPr>
            <w:r>
              <w:rPr>
                <w:rFonts w:ascii="Calibri" w:hAnsi="Calibri"/>
                <w:b/>
                <w:i w:val="0"/>
                <w:color w:val="FFFFFF"/>
                <w:sz w:val="17"/>
              </w:rPr>
              <w:t>Wholesale</w:t>
            </w:r>
          </w:p>
        </w:tc>
        <w:tc>
          <w:tcPr>
            <w:tcW w:type="dxa" w:w="1224"/>
            <w:shd w:val="clear" w:color="auto" w:fill="0F2942"/>
            <w:tcMar>
              <w:top w:w="60" w:type="dxa"/>
              <w:bottom w:w="60" w:type="dxa"/>
              <w:start w:w="110" w:type="dxa"/>
              <w:end w:w="110" w:type="dxa"/>
            </w:tcMar>
          </w:tcPr>
          <w:p>
            <w:pPr>
              <w:spacing w:after="0"/>
              <w:jc w:val="right"/>
            </w:pPr>
            <w:r>
              <w:rPr>
                <w:rFonts w:ascii="Calibri" w:hAnsi="Calibri"/>
                <w:b/>
                <w:i w:val="0"/>
                <w:color w:val="FFFFFF"/>
                <w:sz w:val="17"/>
              </w:rPr>
              <w:t>Retail</w:t>
            </w:r>
          </w:p>
        </w:tc>
      </w:tr>
      <w:tr>
        <w:tc>
          <w:tcPr>
            <w:tcW w:type="dxa" w:w="1656"/>
            <w:tcMar>
              <w:top w:w="60" w:type="dxa"/>
              <w:bottom w:w="60" w:type="dxa"/>
              <w:start w:w="110" w:type="dxa"/>
              <w:end w:w="110" w:type="dxa"/>
            </w:tcMar>
          </w:tcPr>
          <w:p>
            <w:pPr>
              <w:spacing w:after="0"/>
            </w:pPr>
            <w:r>
              <w:rPr>
                <w:rFonts w:ascii="Calibri" w:hAnsi="Calibri"/>
                <w:b w:val="0"/>
                <w:i w:val="0"/>
                <w:color w:val="1A1A19"/>
                <w:sz w:val="17"/>
              </w:rPr>
              <w:t>VE51100L</w:t>
            </w:r>
          </w:p>
        </w:tc>
        <w:tc>
          <w:tcPr>
            <w:tcW w:type="dxa" w:w="2736"/>
            <w:tcMar>
              <w:top w:w="60" w:type="dxa"/>
              <w:bottom w:w="60" w:type="dxa"/>
              <w:start w:w="110" w:type="dxa"/>
              <w:end w:w="110" w:type="dxa"/>
            </w:tcMar>
          </w:tcPr>
          <w:p>
            <w:pPr>
              <w:spacing w:after="0"/>
            </w:pPr>
            <w:r>
              <w:rPr>
                <w:rFonts w:ascii="Calibri" w:hAnsi="Calibri"/>
                <w:b w:val="0"/>
                <w:i w:val="0"/>
                <w:color w:val="1A1A19"/>
                <w:sz w:val="17"/>
              </w:rPr>
              <w:t>Smart Battery 5.12kWh</w:t>
            </w:r>
          </w:p>
        </w:tc>
        <w:tc>
          <w:tcPr>
            <w:tcW w:type="dxa" w:w="720"/>
            <w:tcMar>
              <w:top w:w="60" w:type="dxa"/>
              <w:bottom w:w="60" w:type="dxa"/>
              <w:start w:w="110" w:type="dxa"/>
              <w:end w:w="110" w:type="dxa"/>
            </w:tcMar>
          </w:tcPr>
          <w:p>
            <w:pPr>
              <w:spacing w:after="0"/>
              <w:jc w:val="right"/>
            </w:pPr>
            <w:r>
              <w:rPr>
                <w:rFonts w:ascii="Calibri" w:hAnsi="Calibri"/>
                <w:b w:val="0"/>
                <w:i w:val="0"/>
                <w:color w:val="1A1A19"/>
                <w:sz w:val="17"/>
              </w:rPr>
              <w:t>70</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7"/>
              </w:rPr>
              <w:t>672</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988</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1,137</w:t>
            </w:r>
          </w:p>
        </w:tc>
        <w:tc>
          <w:tcPr>
            <w:tcW w:type="dxa" w:w="1224"/>
            <w:tcMar>
              <w:top w:w="60" w:type="dxa"/>
              <w:bottom w:w="60" w:type="dxa"/>
              <w:start w:w="110" w:type="dxa"/>
              <w:end w:w="110" w:type="dxa"/>
            </w:tcMar>
          </w:tcPr>
          <w:p>
            <w:pPr>
              <w:spacing w:after="0"/>
              <w:jc w:val="right"/>
            </w:pPr>
            <w:r>
              <w:rPr>
                <w:rFonts w:ascii="Calibri" w:hAnsi="Calibri"/>
                <w:b w:val="0"/>
                <w:i w:val="0"/>
                <w:color w:val="1A1A19"/>
                <w:sz w:val="17"/>
              </w:rPr>
              <w:t>1,364</w:t>
            </w:r>
          </w:p>
        </w:tc>
      </w:tr>
      <w:tr>
        <w:tc>
          <w:tcPr>
            <w:tcW w:type="dxa" w:w="1656"/>
            <w:tcMar>
              <w:top w:w="60" w:type="dxa"/>
              <w:bottom w:w="60" w:type="dxa"/>
              <w:start w:w="110" w:type="dxa"/>
              <w:end w:w="110" w:type="dxa"/>
            </w:tcMar>
            <w:shd w:val="clear" w:color="auto" w:fill="F5F7F9"/>
          </w:tcPr>
          <w:p>
            <w:pPr>
              <w:spacing w:after="0"/>
            </w:pPr>
            <w:r>
              <w:rPr>
                <w:rFonts w:ascii="Calibri" w:hAnsi="Calibri"/>
                <w:b w:val="0"/>
                <w:i w:val="0"/>
                <w:color w:val="1A1A19"/>
                <w:sz w:val="17"/>
              </w:rPr>
              <w:t>VE51200L</w:t>
            </w:r>
          </w:p>
        </w:tc>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Smart Battery 10.24kWh</w:t>
            </w:r>
          </w:p>
        </w:tc>
        <w:tc>
          <w:tcPr>
            <w:tcW w:type="dxa" w:w="72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24</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1,200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1,748</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2,011</w:t>
            </w:r>
          </w:p>
        </w:tc>
        <w:tc>
          <w:tcPr>
            <w:tcW w:type="dxa" w:w="122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2,413</w:t>
            </w:r>
          </w:p>
        </w:tc>
      </w:tr>
      <w:tr>
        <w:tc>
          <w:tcPr>
            <w:tcW w:type="dxa" w:w="1656"/>
            <w:tcMar>
              <w:top w:w="60" w:type="dxa"/>
              <w:bottom w:w="60" w:type="dxa"/>
              <w:start w:w="110" w:type="dxa"/>
              <w:end w:w="110" w:type="dxa"/>
            </w:tcMar>
          </w:tcPr>
          <w:p>
            <w:pPr>
              <w:spacing w:after="0"/>
            </w:pPr>
            <w:r>
              <w:rPr>
                <w:rFonts w:ascii="Calibri" w:hAnsi="Calibri"/>
                <w:b w:val="0"/>
                <w:i w:val="0"/>
                <w:color w:val="1A1A19"/>
                <w:sz w:val="17"/>
              </w:rPr>
              <w:t>VE51314L</w:t>
            </w:r>
          </w:p>
        </w:tc>
        <w:tc>
          <w:tcPr>
            <w:tcW w:type="dxa" w:w="2736"/>
            <w:tcMar>
              <w:top w:w="60" w:type="dxa"/>
              <w:bottom w:w="60" w:type="dxa"/>
              <w:start w:w="110" w:type="dxa"/>
              <w:end w:w="110" w:type="dxa"/>
            </w:tcMar>
          </w:tcPr>
          <w:p>
            <w:pPr>
              <w:spacing w:after="0"/>
            </w:pPr>
            <w:r>
              <w:rPr>
                <w:rFonts w:ascii="Calibri" w:hAnsi="Calibri"/>
                <w:b w:val="0"/>
                <w:i w:val="0"/>
                <w:color w:val="1A1A19"/>
                <w:sz w:val="17"/>
              </w:rPr>
              <w:t>Smart Battery 16.07kWh</w:t>
            </w:r>
          </w:p>
        </w:tc>
        <w:tc>
          <w:tcPr>
            <w:tcW w:type="dxa" w:w="720"/>
            <w:tcMar>
              <w:top w:w="60" w:type="dxa"/>
              <w:bottom w:w="60" w:type="dxa"/>
              <w:start w:w="110" w:type="dxa"/>
              <w:end w:w="110" w:type="dxa"/>
            </w:tcMar>
          </w:tcPr>
          <w:p>
            <w:pPr>
              <w:spacing w:after="0"/>
              <w:jc w:val="right"/>
            </w:pPr>
            <w:r>
              <w:rPr>
                <w:rFonts w:ascii="Calibri" w:hAnsi="Calibri"/>
                <w:b w:val="0"/>
                <w:i w:val="0"/>
                <w:color w:val="1A1A19"/>
                <w:sz w:val="17"/>
              </w:rPr>
              <w:t>32</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7"/>
              </w:rPr>
              <w:t>1,560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2,266</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2,607</w:t>
            </w:r>
          </w:p>
        </w:tc>
        <w:tc>
          <w:tcPr>
            <w:tcW w:type="dxa" w:w="1224"/>
            <w:tcMar>
              <w:top w:w="60" w:type="dxa"/>
              <w:bottom w:w="60" w:type="dxa"/>
              <w:start w:w="110" w:type="dxa"/>
              <w:end w:w="110" w:type="dxa"/>
            </w:tcMar>
          </w:tcPr>
          <w:p>
            <w:pPr>
              <w:spacing w:after="0"/>
              <w:jc w:val="right"/>
            </w:pPr>
            <w:r>
              <w:rPr>
                <w:rFonts w:ascii="Calibri" w:hAnsi="Calibri"/>
                <w:b w:val="0"/>
                <w:i w:val="0"/>
                <w:color w:val="1A1A19"/>
                <w:sz w:val="17"/>
              </w:rPr>
              <w:t>3,129</w:t>
            </w:r>
          </w:p>
        </w:tc>
      </w:tr>
      <w:tr>
        <w:tc>
          <w:tcPr>
            <w:tcW w:type="dxa" w:w="1656"/>
            <w:tcMar>
              <w:top w:w="60" w:type="dxa"/>
              <w:bottom w:w="60" w:type="dxa"/>
              <w:start w:w="110" w:type="dxa"/>
              <w:end w:w="110" w:type="dxa"/>
            </w:tcMar>
            <w:shd w:val="clear" w:color="auto" w:fill="F5F7F9"/>
          </w:tcPr>
          <w:p>
            <w:pPr>
              <w:spacing w:after="0"/>
            </w:pPr>
            <w:r>
              <w:rPr>
                <w:rFonts w:ascii="Calibri" w:hAnsi="Calibri"/>
                <w:b w:val="0"/>
                <w:i w:val="0"/>
                <w:color w:val="1A1A19"/>
                <w:sz w:val="17"/>
              </w:rPr>
              <w:t>VEH-T20KA3</w:t>
            </w:r>
          </w:p>
        </w:tc>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3-Phase Inverter 20kW</w:t>
            </w:r>
          </w:p>
        </w:tc>
        <w:tc>
          <w:tcPr>
            <w:tcW w:type="dxa" w:w="72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24</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1,870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2,713</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3,121</w:t>
            </w:r>
          </w:p>
        </w:tc>
        <w:tc>
          <w:tcPr>
            <w:tcW w:type="dxa" w:w="122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3,745</w:t>
            </w:r>
          </w:p>
        </w:tc>
      </w:tr>
      <w:tr>
        <w:tc>
          <w:tcPr>
            <w:tcW w:type="dxa" w:w="1656"/>
            <w:tcMar>
              <w:top w:w="60" w:type="dxa"/>
              <w:bottom w:w="60" w:type="dxa"/>
              <w:start w:w="110" w:type="dxa"/>
              <w:end w:w="110" w:type="dxa"/>
            </w:tcMar>
          </w:tcPr>
          <w:p>
            <w:pPr>
              <w:spacing w:after="0"/>
            </w:pPr>
            <w:r>
              <w:rPr>
                <w:rFonts w:ascii="Calibri" w:hAnsi="Calibri"/>
                <w:b w:val="0"/>
                <w:i w:val="0"/>
                <w:color w:val="1A1A19"/>
                <w:sz w:val="17"/>
              </w:rPr>
              <w:t>HEH-S6KB3</w:t>
            </w:r>
          </w:p>
        </w:tc>
        <w:tc>
          <w:tcPr>
            <w:tcW w:type="dxa" w:w="2736"/>
            <w:tcMar>
              <w:top w:w="60" w:type="dxa"/>
              <w:bottom w:w="60" w:type="dxa"/>
              <w:start w:w="110" w:type="dxa"/>
              <w:end w:w="110" w:type="dxa"/>
            </w:tcMar>
          </w:tcPr>
          <w:p>
            <w:pPr>
              <w:spacing w:after="0"/>
            </w:pPr>
            <w:r>
              <w:rPr>
                <w:rFonts w:ascii="Calibri" w:hAnsi="Calibri"/>
                <w:b w:val="0"/>
                <w:i w:val="0"/>
                <w:color w:val="1A1A19"/>
                <w:sz w:val="17"/>
              </w:rPr>
              <w:t>Hybrid Inverter 6kW</w:t>
            </w:r>
          </w:p>
        </w:tc>
        <w:tc>
          <w:tcPr>
            <w:tcW w:type="dxa" w:w="720"/>
            <w:tcMar>
              <w:top w:w="60" w:type="dxa"/>
              <w:bottom w:w="60" w:type="dxa"/>
              <w:start w:w="110" w:type="dxa"/>
              <w:end w:w="110" w:type="dxa"/>
            </w:tcMar>
          </w:tcPr>
          <w:p>
            <w:pPr>
              <w:spacing w:after="0"/>
              <w:jc w:val="right"/>
            </w:pPr>
            <w:r>
              <w:rPr>
                <w:rFonts w:ascii="Calibri" w:hAnsi="Calibri"/>
                <w:b w:val="0"/>
                <w:i w:val="0"/>
                <w:color w:val="1A1A19"/>
                <w:sz w:val="17"/>
              </w:rPr>
              <w:t>70</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7"/>
              </w:rPr>
              <w:t>390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582</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670</w:t>
            </w:r>
          </w:p>
        </w:tc>
        <w:tc>
          <w:tcPr>
            <w:tcW w:type="dxa" w:w="1224"/>
            <w:tcMar>
              <w:top w:w="60" w:type="dxa"/>
              <w:bottom w:w="60" w:type="dxa"/>
              <w:start w:w="110" w:type="dxa"/>
              <w:end w:w="110" w:type="dxa"/>
            </w:tcMar>
          </w:tcPr>
          <w:p>
            <w:pPr>
              <w:spacing w:after="0"/>
              <w:jc w:val="right"/>
            </w:pPr>
            <w:r>
              <w:rPr>
                <w:rFonts w:ascii="Calibri" w:hAnsi="Calibri"/>
                <w:b w:val="0"/>
                <w:i w:val="0"/>
                <w:color w:val="1A1A19"/>
                <w:sz w:val="17"/>
              </w:rPr>
              <w:t>804</w:t>
            </w:r>
          </w:p>
        </w:tc>
      </w:tr>
      <w:tr>
        <w:tc>
          <w:tcPr>
            <w:tcW w:type="dxa" w:w="1656"/>
            <w:tcMar>
              <w:top w:w="60" w:type="dxa"/>
              <w:bottom w:w="60" w:type="dxa"/>
              <w:start w:w="110" w:type="dxa"/>
              <w:end w:w="110" w:type="dxa"/>
            </w:tcMar>
            <w:shd w:val="clear" w:color="auto" w:fill="F5F7F9"/>
          </w:tcPr>
          <w:p>
            <w:pPr>
              <w:spacing w:after="0"/>
            </w:pPr>
            <w:r>
              <w:rPr>
                <w:rFonts w:ascii="Calibri" w:hAnsi="Calibri"/>
                <w:b w:val="0"/>
                <w:i w:val="0"/>
                <w:color w:val="1A1A19"/>
                <w:sz w:val="17"/>
              </w:rPr>
              <w:t>VEP500W</w:t>
            </w:r>
          </w:p>
        </w:tc>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Rescube Portable 0.5kW/1kWh</w:t>
            </w:r>
          </w:p>
        </w:tc>
        <w:tc>
          <w:tcPr>
            <w:tcW w:type="dxa" w:w="72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40</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145</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229</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264</w:t>
            </w:r>
          </w:p>
        </w:tc>
        <w:tc>
          <w:tcPr>
            <w:tcW w:type="dxa" w:w="122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317</w:t>
            </w:r>
          </w:p>
        </w:tc>
      </w:tr>
      <w:tr>
        <w:tc>
          <w:tcPr>
            <w:tcW w:type="dxa" w:w="1656"/>
            <w:tcMar>
              <w:top w:w="60" w:type="dxa"/>
              <w:bottom w:w="60" w:type="dxa"/>
              <w:start w:w="110" w:type="dxa"/>
              <w:end w:w="110" w:type="dxa"/>
            </w:tcMar>
          </w:tcPr>
          <w:p>
            <w:pPr>
              <w:spacing w:after="0"/>
            </w:pPr>
            <w:r>
              <w:rPr>
                <w:rFonts w:ascii="Calibri" w:hAnsi="Calibri"/>
                <w:b w:val="0"/>
                <w:i w:val="0"/>
                <w:color w:val="1A1A19"/>
                <w:sz w:val="17"/>
              </w:rPr>
              <w:t>VEP1K20</w:t>
            </w:r>
          </w:p>
        </w:tc>
        <w:tc>
          <w:tcPr>
            <w:tcW w:type="dxa" w:w="2736"/>
            <w:tcMar>
              <w:top w:w="60" w:type="dxa"/>
              <w:bottom w:w="60" w:type="dxa"/>
              <w:start w:w="110" w:type="dxa"/>
              <w:end w:w="110" w:type="dxa"/>
            </w:tcMar>
          </w:tcPr>
          <w:p>
            <w:pPr>
              <w:spacing w:after="0"/>
            </w:pPr>
            <w:r>
              <w:rPr>
                <w:rFonts w:ascii="Calibri" w:hAnsi="Calibri"/>
                <w:b w:val="0"/>
                <w:i w:val="0"/>
                <w:color w:val="1A1A19"/>
                <w:sz w:val="17"/>
              </w:rPr>
              <w:t>Rescube All-in-One 1kW/2kWh</w:t>
            </w:r>
          </w:p>
        </w:tc>
        <w:tc>
          <w:tcPr>
            <w:tcW w:type="dxa" w:w="720"/>
            <w:tcMar>
              <w:top w:w="60" w:type="dxa"/>
              <w:bottom w:w="60" w:type="dxa"/>
              <w:start w:w="110" w:type="dxa"/>
              <w:end w:w="110" w:type="dxa"/>
            </w:tcMar>
          </w:tcPr>
          <w:p>
            <w:pPr>
              <w:spacing w:after="0"/>
              <w:jc w:val="right"/>
            </w:pPr>
            <w:r>
              <w:rPr>
                <w:rFonts w:ascii="Calibri" w:hAnsi="Calibri"/>
                <w:b w:val="0"/>
                <w:i w:val="0"/>
                <w:color w:val="1A1A19"/>
                <w:sz w:val="17"/>
              </w:rPr>
              <w:t>80</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7"/>
              </w:rPr>
              <w:t>365</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546</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628</w:t>
            </w:r>
          </w:p>
        </w:tc>
        <w:tc>
          <w:tcPr>
            <w:tcW w:type="dxa" w:w="1224"/>
            <w:tcMar>
              <w:top w:w="60" w:type="dxa"/>
              <w:bottom w:w="60" w:type="dxa"/>
              <w:start w:w="110" w:type="dxa"/>
              <w:end w:w="110" w:type="dxa"/>
            </w:tcMar>
          </w:tcPr>
          <w:p>
            <w:pPr>
              <w:spacing w:after="0"/>
              <w:jc w:val="right"/>
            </w:pPr>
            <w:r>
              <w:rPr>
                <w:rFonts w:ascii="Calibri" w:hAnsi="Calibri"/>
                <w:b w:val="0"/>
                <w:i w:val="0"/>
                <w:color w:val="1A1A19"/>
                <w:sz w:val="17"/>
              </w:rPr>
              <w:t>754</w:t>
            </w:r>
          </w:p>
        </w:tc>
      </w:tr>
      <w:tr>
        <w:tc>
          <w:tcPr>
            <w:tcW w:type="dxa" w:w="1656"/>
            <w:tcMar>
              <w:top w:w="60" w:type="dxa"/>
              <w:bottom w:w="60" w:type="dxa"/>
              <w:start w:w="110" w:type="dxa"/>
              <w:end w:w="110" w:type="dxa"/>
            </w:tcMar>
            <w:shd w:val="clear" w:color="auto" w:fill="E9EDF0"/>
          </w:tcPr>
          <w:p>
            <w:pPr>
              <w:spacing w:after="0"/>
            </w:pPr>
            <w:r>
              <w:rPr>
                <w:rFonts w:ascii="Calibri" w:hAnsi="Calibri"/>
                <w:b/>
                <w:i w:val="0"/>
                <w:color w:val="0F2942"/>
                <w:sz w:val="17"/>
              </w:rPr>
              <w:t>Container</w:t>
            </w:r>
          </w:p>
        </w:tc>
        <w:tc>
          <w:tcPr>
            <w:tcW w:type="dxa" w:w="2736"/>
            <w:tcMar>
              <w:top w:w="60" w:type="dxa"/>
              <w:bottom w:w="60" w:type="dxa"/>
              <w:start w:w="110" w:type="dxa"/>
              <w:end w:w="110" w:type="dxa"/>
            </w:tcMar>
            <w:shd w:val="clear" w:color="auto" w:fill="E9EDF0"/>
          </w:tcPr>
          <w:p>
            <w:pPr>
              <w:spacing w:after="0"/>
            </w:pPr>
            <w:r>
              <w:rPr>
                <w:rFonts w:ascii="Calibri" w:hAnsi="Calibri"/>
                <w:b/>
                <w:i w:val="0"/>
                <w:color w:val="0F2942"/>
                <w:sz w:val="17"/>
              </w:rPr>
              <w:t>340 units, 40ft FCL</w:t>
            </w:r>
          </w:p>
        </w:tc>
        <w:tc>
          <w:tcPr>
            <w:tcW w:type="dxa" w:w="720"/>
            <w:tcMar>
              <w:top w:w="60" w:type="dxa"/>
              <w:bottom w:w="60" w:type="dxa"/>
              <w:start w:w="110" w:type="dxa"/>
              <w:end w:w="110" w:type="dxa"/>
            </w:tcMar>
            <w:shd w:val="clear" w:color="auto" w:fill="E9EDF0"/>
          </w:tcPr>
          <w:p>
            <w:pPr>
              <w:spacing w:after="0"/>
              <w:jc w:val="right"/>
            </w:pPr>
            <w:r>
              <w:rPr>
                <w:rFonts w:ascii="Calibri" w:hAnsi="Calibri"/>
                <w:b/>
                <w:i w:val="0"/>
                <w:color w:val="0F2942"/>
                <w:sz w:val="17"/>
              </w:rPr>
              <w:t>340</w:t>
            </w:r>
          </w:p>
        </w:tc>
        <w:tc>
          <w:tcPr>
            <w:tcW w:type="dxa" w:w="1152"/>
            <w:tcMar>
              <w:top w:w="60" w:type="dxa"/>
              <w:bottom w:w="60" w:type="dxa"/>
              <w:start w:w="110" w:type="dxa"/>
              <w:end w:w="110" w:type="dxa"/>
            </w:tcMar>
            <w:shd w:val="clear" w:color="auto" w:fill="E9EDF0"/>
          </w:tcPr>
          <w:p>
            <w:pPr>
              <w:spacing w:after="0"/>
              <w:jc w:val="right"/>
            </w:pPr>
            <w:r>
              <w:rPr>
                <w:rFonts w:ascii="Calibri" w:hAnsi="Calibri"/>
                <w:b/>
                <w:i w:val="0"/>
                <w:color w:val="0F2942"/>
                <w:sz w:val="17"/>
              </w:rPr>
              <w:t>239,805</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342,316</w:t>
            </w:r>
          </w:p>
        </w:tc>
        <w:tc>
          <w:tcPr>
            <w:tcW w:type="dxa" w:w="1296"/>
            <w:tcMar>
              <w:top w:w="60" w:type="dxa"/>
              <w:bottom w:w="60" w:type="dxa"/>
              <w:start w:w="110" w:type="dxa"/>
              <w:end w:w="110" w:type="dxa"/>
            </w:tcMar>
            <w:shd w:val="clear" w:color="auto" w:fill="E9EDF0"/>
          </w:tcPr>
          <w:p>
            <w:pPr>
              <w:spacing w:after="0"/>
              <w:jc w:val="right"/>
            </w:pPr>
            <w:r>
              <w:rPr>
                <w:rFonts w:ascii="Calibri" w:hAnsi="Calibri"/>
                <w:b/>
                <w:i w:val="0"/>
                <w:color w:val="0F2942"/>
                <w:sz w:val="17"/>
              </w:rPr>
              <w:t>393,861</w:t>
            </w:r>
          </w:p>
        </w:tc>
        <w:tc>
          <w:tcPr>
            <w:tcW w:type="dxa" w:w="1224"/>
            <w:tcMar>
              <w:top w:w="60" w:type="dxa"/>
              <w:bottom w:w="60" w:type="dxa"/>
              <w:start w:w="110" w:type="dxa"/>
              <w:end w:w="110" w:type="dxa"/>
            </w:tcMar>
            <w:shd w:val="clear" w:color="auto" w:fill="E9EDF0"/>
          </w:tcPr>
          <w:p>
            <w:pPr>
              <w:spacing w:after="0"/>
              <w:jc w:val="right"/>
            </w:pPr>
            <w:r>
              <w:rPr>
                <w:rFonts w:ascii="Calibri" w:hAnsi="Calibri"/>
                <w:b/>
                <w:i w:val="0"/>
                <w:color w:val="0F2942"/>
                <w:sz w:val="17"/>
              </w:rPr>
              <w:t>472,680</w:t>
            </w:r>
          </w:p>
        </w:tc>
      </w:tr>
    </w:tbl>
    <w:p>
      <w:pPr>
        <w:spacing w:after="40"/>
      </w:pPr>
    </w:p>
    <w:p>
      <w:pPr>
        <w:spacing w:after="120" w:before="0"/>
      </w:pPr>
      <w:r>
        <w:rPr>
          <w:rFonts w:ascii="Calibri" w:hAnsi="Calibri"/>
          <w:b w:val="0"/>
          <w:i/>
          <w:color w:val="5C5B57"/>
          <w:sz w:val="18"/>
        </w:rPr>
        <w:t>COGS includes freight (USD 6,865/40ft), 5% duty, 2% GOEIC and handling — the full landed basis. The five verified battery, inverter and Rescube lines above make up the standard container mix; C&amp;I cabinets and telecom 48V lines are added to order.</w:t>
      </w:r>
    </w:p>
    <w:p>
      <w:r>
        <w:br w:type="page"/>
      </w:r>
    </w:p>
    <w:p>
      <w:pPr>
        <w:keepNext/>
        <w:spacing w:before="320" w:after="160"/>
        <w:pBdr>
          <w:bottom w:val="single" w:sz="6" w:space="4" w:color="0F2942"/>
        </w:pBdr>
      </w:pPr>
      <w:r>
        <w:rPr>
          <w:rFonts w:ascii="Calibri" w:hAnsi="Calibri"/>
          <w:b/>
          <w:i w:val="0"/>
          <w:color w:val="C8892A"/>
          <w:sz w:val="30"/>
        </w:rPr>
        <w:t xml:space="preserve">4   </w:t>
      </w:r>
      <w:r>
        <w:rPr>
          <w:rFonts w:ascii="Calibri" w:hAnsi="Calibri"/>
          <w:b/>
          <w:i w:val="0"/>
          <w:color w:val="0F2942"/>
          <w:sz w:val="30"/>
        </w:rPr>
        <w:t>Market Analysis &amp; Competitive Pricing Study</w:t>
      </w:r>
    </w:p>
    <w:p>
      <w:pPr>
        <w:keepNext/>
        <w:spacing w:before="220" w:after="80"/>
      </w:pPr>
      <w:r>
        <w:rPr>
          <w:rFonts w:ascii="Calibri" w:hAnsi="Calibri"/>
          <w:b/>
          <w:i w:val="0"/>
          <w:color w:val="0F6E6A"/>
          <w:sz w:val="24"/>
        </w:rPr>
        <w:t>4.1  Egypt energy storage — the demand driver</w:t>
      </w:r>
    </w:p>
    <w:p>
      <w:pPr>
        <w:spacing w:after="120" w:before="0"/>
      </w:pPr>
      <w:r>
        <w:rPr>
          <w:rFonts w:ascii="Calibri" w:hAnsi="Calibri"/>
          <w:b w:val="0"/>
          <w:i w:val="0"/>
          <w:color w:val="1A1A19"/>
          <w:sz w:val="21"/>
        </w:rPr>
        <w:t>Egypt's grid has run structural summer deficits since 2023; load-shedding, diesel-price escalation and net-metering under Law 87/2015 have made battery storage a mainstream purchase for villas, clinics, telecom towers and light industry. The segments NORCO serves — residential hybrid systems, telecom DC power and C&amp;I backup — are precisely where lithium replaces lead-acid and diesel.</w:t>
      </w:r>
    </w:p>
    <w:p>
      <w:pPr>
        <w:keepNext/>
        <w:spacing w:before="220" w:after="80"/>
      </w:pPr>
      <w:r>
        <w:rPr>
          <w:rFonts w:ascii="Calibri" w:hAnsi="Calibri"/>
          <w:b/>
          <w:i w:val="0"/>
          <w:color w:val="0F6E6A"/>
          <w:sz w:val="24"/>
        </w:rPr>
        <w:t>4.2  Battery price benchmarking — where Vestwoods wins</w:t>
      </w:r>
    </w:p>
    <w:p>
      <w:pPr>
        <w:spacing w:after="120" w:before="0"/>
      </w:pPr>
      <w:r>
        <w:rPr>
          <w:rFonts w:ascii="Calibri" w:hAnsi="Calibri"/>
          <w:b w:val="0"/>
          <w:i w:val="0"/>
          <w:color w:val="1A1A19"/>
          <w:sz w:val="21"/>
        </w:rPr>
        <w:t>NORCO's June-2026 market survey of Cairo retail prices for 5 kWh-class lithium batteries (installed base brands, incl. VAT, at EGP 53/USD):</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608"/>
        <w:gridCol w:w="1608"/>
        <w:gridCol w:w="1608"/>
        <w:gridCol w:w="1608"/>
        <w:gridCol w:w="1608"/>
        <w:gridCol w:w="1608"/>
      </w:tblGrid>
      <w:tr>
        <w:tc>
          <w:tcPr>
            <w:tcW w:type="dxa" w:w="1800"/>
            <w:shd w:val="clear" w:color="auto" w:fill="0F2942"/>
            <w:tcMar>
              <w:top w:w="60" w:type="dxa"/>
              <w:bottom w:w="60" w:type="dxa"/>
              <w:start w:w="110" w:type="dxa"/>
              <w:end w:w="110" w:type="dxa"/>
            </w:tcMar>
          </w:tcPr>
          <w:p>
            <w:pPr>
              <w:spacing w:after="0"/>
            </w:pPr>
            <w:r>
              <w:rPr>
                <w:rFonts w:ascii="Calibri" w:hAnsi="Calibri"/>
                <w:b/>
                <w:i w:val="0"/>
                <w:color w:val="FFFFFF"/>
                <w:sz w:val="16"/>
              </w:rPr>
              <w:t>Brand</w:t>
            </w:r>
          </w:p>
        </w:tc>
        <w:tc>
          <w:tcPr>
            <w:tcW w:type="dxa" w:w="1944"/>
            <w:shd w:val="clear" w:color="auto" w:fill="0F2942"/>
            <w:tcMar>
              <w:top w:w="60" w:type="dxa"/>
              <w:bottom w:w="60" w:type="dxa"/>
              <w:start w:w="110" w:type="dxa"/>
              <w:end w:w="110" w:type="dxa"/>
            </w:tcMar>
          </w:tcPr>
          <w:p>
            <w:pPr>
              <w:spacing w:after="0"/>
            </w:pPr>
            <w:r>
              <w:rPr>
                <w:rFonts w:ascii="Calibri" w:hAnsi="Calibri"/>
                <w:b/>
                <w:i w:val="0"/>
                <w:color w:val="FFFFFF"/>
                <w:sz w:val="16"/>
              </w:rPr>
              <w:t>Model (5 kWh class)</w:t>
            </w:r>
          </w:p>
        </w:tc>
        <w:tc>
          <w:tcPr>
            <w:tcW w:type="dxa" w:w="1152"/>
            <w:shd w:val="clear" w:color="auto" w:fill="0F2942"/>
            <w:tcMar>
              <w:top w:w="60" w:type="dxa"/>
              <w:bottom w:w="60" w:type="dxa"/>
              <w:start w:w="110" w:type="dxa"/>
              <w:end w:w="110" w:type="dxa"/>
            </w:tcMar>
          </w:tcPr>
          <w:p>
            <w:pPr>
              <w:spacing w:after="0"/>
              <w:jc w:val="right"/>
            </w:pPr>
            <w:r>
              <w:rPr>
                <w:rFonts w:ascii="Calibri" w:hAnsi="Calibri"/>
                <w:b/>
                <w:i w:val="0"/>
                <w:color w:val="FFFFFF"/>
                <w:sz w:val="16"/>
              </w:rPr>
              <w:t>Retail USD</w:t>
            </w:r>
          </w:p>
        </w:tc>
        <w:tc>
          <w:tcPr>
            <w:tcW w:type="dxa" w:w="1008"/>
            <w:shd w:val="clear" w:color="auto" w:fill="0F2942"/>
            <w:tcMar>
              <w:top w:w="60" w:type="dxa"/>
              <w:bottom w:w="60" w:type="dxa"/>
              <w:start w:w="110" w:type="dxa"/>
              <w:end w:w="110" w:type="dxa"/>
            </w:tcMar>
          </w:tcPr>
          <w:p>
            <w:pPr>
              <w:spacing w:after="0"/>
              <w:jc w:val="right"/>
            </w:pPr>
            <w:r>
              <w:rPr>
                <w:rFonts w:ascii="Calibri" w:hAnsi="Calibri"/>
                <w:b/>
                <w:i w:val="0"/>
                <w:color w:val="FFFFFF"/>
                <w:sz w:val="16"/>
              </w:rPr>
              <w:t>USD/kWh</w:t>
            </w:r>
          </w:p>
        </w:tc>
        <w:tc>
          <w:tcPr>
            <w:tcW w:type="dxa" w:w="2304"/>
            <w:shd w:val="clear" w:color="auto" w:fill="0F2942"/>
            <w:tcMar>
              <w:top w:w="60" w:type="dxa"/>
              <w:bottom w:w="60" w:type="dxa"/>
              <w:start w:w="110" w:type="dxa"/>
              <w:end w:w="110" w:type="dxa"/>
            </w:tcMar>
          </w:tcPr>
          <w:p>
            <w:pPr>
              <w:spacing w:after="0"/>
              <w:jc w:val="right"/>
            </w:pPr>
            <w:r>
              <w:rPr>
                <w:rFonts w:ascii="Calibri" w:hAnsi="Calibri"/>
                <w:b/>
                <w:i w:val="0"/>
                <w:color w:val="FFFFFF"/>
                <w:sz w:val="16"/>
              </w:rPr>
              <w:t>Warranty &amp; service</w:t>
            </w:r>
          </w:p>
        </w:tc>
        <w:tc>
          <w:tcPr>
            <w:tcW w:type="dxa" w:w="2016"/>
            <w:shd w:val="clear" w:color="auto" w:fill="0F2942"/>
            <w:tcMar>
              <w:top w:w="60" w:type="dxa"/>
              <w:bottom w:w="60" w:type="dxa"/>
              <w:start w:w="110" w:type="dxa"/>
              <w:end w:w="110" w:type="dxa"/>
            </w:tcMar>
          </w:tcPr>
          <w:p>
            <w:pPr>
              <w:spacing w:after="0"/>
              <w:jc w:val="right"/>
            </w:pPr>
            <w:r>
              <w:rPr>
                <w:rFonts w:ascii="Calibri" w:hAnsi="Calibri"/>
                <w:b/>
                <w:i w:val="0"/>
                <w:color w:val="FFFFFF"/>
                <w:sz w:val="16"/>
              </w:rPr>
              <w:t>Position</w:t>
            </w:r>
          </w:p>
        </w:tc>
      </w:tr>
      <w:tr>
        <w:tc>
          <w:tcPr>
            <w:tcW w:type="dxa" w:w="1800"/>
            <w:tcMar>
              <w:top w:w="60" w:type="dxa"/>
              <w:bottom w:w="60" w:type="dxa"/>
              <w:start w:w="110" w:type="dxa"/>
              <w:end w:w="110" w:type="dxa"/>
            </w:tcMar>
          </w:tcPr>
          <w:p>
            <w:pPr>
              <w:spacing w:after="0"/>
            </w:pPr>
            <w:r>
              <w:rPr>
                <w:rFonts w:ascii="Calibri" w:hAnsi="Calibri"/>
                <w:b w:val="0"/>
                <w:i w:val="0"/>
                <w:color w:val="1A1A19"/>
                <w:sz w:val="16"/>
              </w:rPr>
              <w:t>Vestwoods (NORCO)</w:t>
            </w:r>
          </w:p>
        </w:tc>
        <w:tc>
          <w:tcPr>
            <w:tcW w:type="dxa" w:w="1944"/>
            <w:tcMar>
              <w:top w:w="60" w:type="dxa"/>
              <w:bottom w:w="60" w:type="dxa"/>
              <w:start w:w="110" w:type="dxa"/>
              <w:end w:w="110" w:type="dxa"/>
            </w:tcMar>
          </w:tcPr>
          <w:p>
            <w:pPr>
              <w:spacing w:after="0"/>
            </w:pPr>
            <w:r>
              <w:rPr>
                <w:rFonts w:ascii="Calibri" w:hAnsi="Calibri"/>
                <w:b w:val="0"/>
                <w:i w:val="0"/>
                <w:color w:val="1A1A19"/>
                <w:sz w:val="16"/>
              </w:rPr>
              <w:t>VE51100L 5.12 kWh</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6"/>
              </w:rPr>
              <w:t>1,364</w:t>
            </w:r>
          </w:p>
        </w:tc>
        <w:tc>
          <w:tcPr>
            <w:tcW w:type="dxa" w:w="1008"/>
            <w:tcMar>
              <w:top w:w="60" w:type="dxa"/>
              <w:bottom w:w="60" w:type="dxa"/>
              <w:start w:w="110" w:type="dxa"/>
              <w:end w:w="110" w:type="dxa"/>
            </w:tcMar>
          </w:tcPr>
          <w:p>
            <w:pPr>
              <w:spacing w:after="0"/>
              <w:jc w:val="right"/>
            </w:pPr>
            <w:r>
              <w:rPr>
                <w:rFonts w:ascii="Calibri" w:hAnsi="Calibri"/>
                <w:b w:val="0"/>
                <w:i w:val="0"/>
                <w:color w:val="1A1A19"/>
                <w:sz w:val="16"/>
              </w:rPr>
              <w:t>266</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6"/>
              </w:rPr>
              <w:t>5 years + Cairo service bench</w:t>
            </w:r>
          </w:p>
        </w:tc>
        <w:tc>
          <w:tcPr>
            <w:tcW w:type="dxa" w:w="2016"/>
            <w:tcMar>
              <w:top w:w="60" w:type="dxa"/>
              <w:bottom w:w="60" w:type="dxa"/>
              <w:start w:w="110" w:type="dxa"/>
              <w:end w:w="110" w:type="dxa"/>
            </w:tcMar>
          </w:tcPr>
          <w:p>
            <w:pPr>
              <w:spacing w:after="0"/>
              <w:jc w:val="right"/>
            </w:pPr>
            <w:r>
              <w:rPr>
                <w:rFonts w:ascii="Calibri" w:hAnsi="Calibri"/>
                <w:b w:val="0"/>
                <w:i w:val="0"/>
                <w:color w:val="1A1A19"/>
                <w:sz w:val="16"/>
              </w:rPr>
              <w:t>Haier-backed challenger</w:t>
            </w:r>
          </w:p>
        </w:tc>
      </w:tr>
      <w:tr>
        <w:tc>
          <w:tcPr>
            <w:tcW w:type="dxa" w:w="1800"/>
            <w:tcMar>
              <w:top w:w="60" w:type="dxa"/>
              <w:bottom w:w="60" w:type="dxa"/>
              <w:start w:w="110" w:type="dxa"/>
              <w:end w:w="110" w:type="dxa"/>
            </w:tcMar>
            <w:shd w:val="clear" w:color="auto" w:fill="F5F7F9"/>
          </w:tcPr>
          <w:p>
            <w:pPr>
              <w:spacing w:after="0"/>
            </w:pPr>
            <w:r>
              <w:rPr>
                <w:rFonts w:ascii="Calibri" w:hAnsi="Calibri"/>
                <w:b w:val="0"/>
                <w:i w:val="0"/>
                <w:color w:val="1A1A19"/>
                <w:sz w:val="16"/>
              </w:rPr>
              <w:t>Pylontech</w:t>
            </w:r>
          </w:p>
        </w:tc>
        <w:tc>
          <w:tcPr>
            <w:tcW w:type="dxa" w:w="1944"/>
            <w:tcMar>
              <w:top w:w="60" w:type="dxa"/>
              <w:bottom w:w="60" w:type="dxa"/>
              <w:start w:w="110" w:type="dxa"/>
              <w:end w:w="110" w:type="dxa"/>
            </w:tcMar>
            <w:shd w:val="clear" w:color="auto" w:fill="F5F7F9"/>
          </w:tcPr>
          <w:p>
            <w:pPr>
              <w:spacing w:after="0"/>
            </w:pPr>
            <w:r>
              <w:rPr>
                <w:rFonts w:ascii="Calibri" w:hAnsi="Calibri"/>
                <w:b w:val="0"/>
                <w:i w:val="0"/>
                <w:color w:val="1A1A19"/>
                <w:sz w:val="16"/>
              </w:rPr>
              <w:t>US5000 4.8 kWh</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1,850</w:t>
            </w:r>
          </w:p>
        </w:tc>
        <w:tc>
          <w:tcPr>
            <w:tcW w:type="dxa" w:w="1008"/>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385</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7 years</w:t>
            </w:r>
          </w:p>
        </w:tc>
        <w:tc>
          <w:tcPr>
            <w:tcW w:type="dxa" w:w="2016"/>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Premium tier-1</w:t>
            </w:r>
          </w:p>
        </w:tc>
      </w:tr>
      <w:tr>
        <w:tc>
          <w:tcPr>
            <w:tcW w:type="dxa" w:w="1800"/>
            <w:tcMar>
              <w:top w:w="60" w:type="dxa"/>
              <w:bottom w:w="60" w:type="dxa"/>
              <w:start w:w="110" w:type="dxa"/>
              <w:end w:w="110" w:type="dxa"/>
            </w:tcMar>
          </w:tcPr>
          <w:p>
            <w:pPr>
              <w:spacing w:after="0"/>
            </w:pPr>
            <w:r>
              <w:rPr>
                <w:rFonts w:ascii="Calibri" w:hAnsi="Calibri"/>
                <w:b w:val="0"/>
                <w:i w:val="0"/>
                <w:color w:val="1A1A19"/>
                <w:sz w:val="16"/>
              </w:rPr>
              <w:t>Huawei</w:t>
            </w:r>
          </w:p>
        </w:tc>
        <w:tc>
          <w:tcPr>
            <w:tcW w:type="dxa" w:w="1944"/>
            <w:tcMar>
              <w:top w:w="60" w:type="dxa"/>
              <w:bottom w:w="60" w:type="dxa"/>
              <w:start w:w="110" w:type="dxa"/>
              <w:end w:w="110" w:type="dxa"/>
            </w:tcMar>
          </w:tcPr>
          <w:p>
            <w:pPr>
              <w:spacing w:after="0"/>
            </w:pPr>
            <w:r>
              <w:rPr>
                <w:rFonts w:ascii="Calibri" w:hAnsi="Calibri"/>
                <w:b w:val="0"/>
                <w:i w:val="0"/>
                <w:color w:val="1A1A19"/>
                <w:sz w:val="16"/>
              </w:rPr>
              <w:t>LUNA2000-5 5 kWh</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6"/>
              </w:rPr>
              <w:t>2,300</w:t>
            </w:r>
          </w:p>
        </w:tc>
        <w:tc>
          <w:tcPr>
            <w:tcW w:type="dxa" w:w="1008"/>
            <w:tcMar>
              <w:top w:w="60" w:type="dxa"/>
              <w:bottom w:w="60" w:type="dxa"/>
              <w:start w:w="110" w:type="dxa"/>
              <w:end w:w="110" w:type="dxa"/>
            </w:tcMar>
          </w:tcPr>
          <w:p>
            <w:pPr>
              <w:spacing w:after="0"/>
              <w:jc w:val="right"/>
            </w:pPr>
            <w:r>
              <w:rPr>
                <w:rFonts w:ascii="Calibri" w:hAnsi="Calibri"/>
                <w:b w:val="0"/>
                <w:i w:val="0"/>
                <w:color w:val="1A1A19"/>
                <w:sz w:val="16"/>
              </w:rPr>
              <w:t>460</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6"/>
              </w:rPr>
              <w:t>10 years (bundled)</w:t>
            </w:r>
          </w:p>
        </w:tc>
        <w:tc>
          <w:tcPr>
            <w:tcW w:type="dxa" w:w="2016"/>
            <w:tcMar>
              <w:top w:w="60" w:type="dxa"/>
              <w:bottom w:w="60" w:type="dxa"/>
              <w:start w:w="110" w:type="dxa"/>
              <w:end w:w="110" w:type="dxa"/>
            </w:tcMar>
          </w:tcPr>
          <w:p>
            <w:pPr>
              <w:spacing w:after="0"/>
              <w:jc w:val="right"/>
            </w:pPr>
            <w:r>
              <w:rPr>
                <w:rFonts w:ascii="Calibri" w:hAnsi="Calibri"/>
                <w:b w:val="0"/>
                <w:i w:val="0"/>
                <w:color w:val="1A1A19"/>
                <w:sz w:val="16"/>
              </w:rPr>
              <w:t>Premium tier-1</w:t>
            </w:r>
          </w:p>
        </w:tc>
      </w:tr>
      <w:tr>
        <w:tc>
          <w:tcPr>
            <w:tcW w:type="dxa" w:w="1800"/>
            <w:tcMar>
              <w:top w:w="60" w:type="dxa"/>
              <w:bottom w:w="60" w:type="dxa"/>
              <w:start w:w="110" w:type="dxa"/>
              <w:end w:w="110" w:type="dxa"/>
            </w:tcMar>
            <w:shd w:val="clear" w:color="auto" w:fill="F5F7F9"/>
          </w:tcPr>
          <w:p>
            <w:pPr>
              <w:spacing w:after="0"/>
            </w:pPr>
            <w:r>
              <w:rPr>
                <w:rFonts w:ascii="Calibri" w:hAnsi="Calibri"/>
                <w:b w:val="0"/>
                <w:i w:val="0"/>
                <w:color w:val="1A1A19"/>
                <w:sz w:val="16"/>
              </w:rPr>
              <w:t>Deye</w:t>
            </w:r>
          </w:p>
        </w:tc>
        <w:tc>
          <w:tcPr>
            <w:tcW w:type="dxa" w:w="1944"/>
            <w:tcMar>
              <w:top w:w="60" w:type="dxa"/>
              <w:bottom w:w="60" w:type="dxa"/>
              <w:start w:w="110" w:type="dxa"/>
              <w:end w:w="110" w:type="dxa"/>
            </w:tcMar>
            <w:shd w:val="clear" w:color="auto" w:fill="F5F7F9"/>
          </w:tcPr>
          <w:p>
            <w:pPr>
              <w:spacing w:after="0"/>
            </w:pPr>
            <w:r>
              <w:rPr>
                <w:rFonts w:ascii="Calibri" w:hAnsi="Calibri"/>
                <w:b w:val="0"/>
                <w:i w:val="0"/>
                <w:color w:val="1A1A19"/>
                <w:sz w:val="16"/>
              </w:rPr>
              <w:t>SE-G5.1 5.12 kWh</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1,550</w:t>
            </w:r>
          </w:p>
        </w:tc>
        <w:tc>
          <w:tcPr>
            <w:tcW w:type="dxa" w:w="1008"/>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303</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5 years</w:t>
            </w:r>
          </w:p>
        </w:tc>
        <w:tc>
          <w:tcPr>
            <w:tcW w:type="dxa" w:w="2016"/>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Mid-tier</w:t>
            </w:r>
          </w:p>
        </w:tc>
      </w:tr>
      <w:tr>
        <w:tc>
          <w:tcPr>
            <w:tcW w:type="dxa" w:w="1800"/>
            <w:tcMar>
              <w:top w:w="60" w:type="dxa"/>
              <w:bottom w:w="60" w:type="dxa"/>
              <w:start w:w="110" w:type="dxa"/>
              <w:end w:w="110" w:type="dxa"/>
            </w:tcMar>
          </w:tcPr>
          <w:p>
            <w:pPr>
              <w:spacing w:after="0"/>
            </w:pPr>
            <w:r>
              <w:rPr>
                <w:rFonts w:ascii="Calibri" w:hAnsi="Calibri"/>
                <w:b w:val="0"/>
                <w:i w:val="0"/>
                <w:color w:val="1A1A19"/>
                <w:sz w:val="16"/>
              </w:rPr>
              <w:t>Growatt</w:t>
            </w:r>
          </w:p>
        </w:tc>
        <w:tc>
          <w:tcPr>
            <w:tcW w:type="dxa" w:w="1944"/>
            <w:tcMar>
              <w:top w:w="60" w:type="dxa"/>
              <w:bottom w:w="60" w:type="dxa"/>
              <w:start w:w="110" w:type="dxa"/>
              <w:end w:w="110" w:type="dxa"/>
            </w:tcMar>
          </w:tcPr>
          <w:p>
            <w:pPr>
              <w:spacing w:after="0"/>
            </w:pPr>
            <w:r>
              <w:rPr>
                <w:rFonts w:ascii="Calibri" w:hAnsi="Calibri"/>
                <w:b w:val="0"/>
                <w:i w:val="0"/>
                <w:color w:val="1A1A19"/>
                <w:sz w:val="16"/>
              </w:rPr>
              <w:t>ARK 5.12 kWh</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6"/>
              </w:rPr>
              <w:t>1,600</w:t>
            </w:r>
          </w:p>
        </w:tc>
        <w:tc>
          <w:tcPr>
            <w:tcW w:type="dxa" w:w="1008"/>
            <w:tcMar>
              <w:top w:w="60" w:type="dxa"/>
              <w:bottom w:w="60" w:type="dxa"/>
              <w:start w:w="110" w:type="dxa"/>
              <w:end w:w="110" w:type="dxa"/>
            </w:tcMar>
          </w:tcPr>
          <w:p>
            <w:pPr>
              <w:spacing w:after="0"/>
              <w:jc w:val="right"/>
            </w:pPr>
            <w:r>
              <w:rPr>
                <w:rFonts w:ascii="Calibri" w:hAnsi="Calibri"/>
                <w:b w:val="0"/>
                <w:i w:val="0"/>
                <w:color w:val="1A1A19"/>
                <w:sz w:val="16"/>
              </w:rPr>
              <w:t>312</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6"/>
              </w:rPr>
              <w:t>5 years</w:t>
            </w:r>
          </w:p>
        </w:tc>
        <w:tc>
          <w:tcPr>
            <w:tcW w:type="dxa" w:w="2016"/>
            <w:tcMar>
              <w:top w:w="60" w:type="dxa"/>
              <w:bottom w:w="60" w:type="dxa"/>
              <w:start w:w="110" w:type="dxa"/>
              <w:end w:w="110" w:type="dxa"/>
            </w:tcMar>
          </w:tcPr>
          <w:p>
            <w:pPr>
              <w:spacing w:after="0"/>
              <w:jc w:val="right"/>
            </w:pPr>
            <w:r>
              <w:rPr>
                <w:rFonts w:ascii="Calibri" w:hAnsi="Calibri"/>
                <w:b w:val="0"/>
                <w:i w:val="0"/>
                <w:color w:val="1A1A19"/>
                <w:sz w:val="16"/>
              </w:rPr>
              <w:t>Mid-tier</w:t>
            </w:r>
          </w:p>
        </w:tc>
      </w:tr>
      <w:tr>
        <w:tc>
          <w:tcPr>
            <w:tcW w:type="dxa" w:w="1800"/>
            <w:tcMar>
              <w:top w:w="60" w:type="dxa"/>
              <w:bottom w:w="60" w:type="dxa"/>
              <w:start w:w="110" w:type="dxa"/>
              <w:end w:w="110" w:type="dxa"/>
            </w:tcMar>
            <w:shd w:val="clear" w:color="auto" w:fill="F5F7F9"/>
          </w:tcPr>
          <w:p>
            <w:pPr>
              <w:spacing w:after="0"/>
            </w:pPr>
            <w:r>
              <w:rPr>
                <w:rFonts w:ascii="Calibri" w:hAnsi="Calibri"/>
                <w:b w:val="0"/>
                <w:i w:val="0"/>
                <w:color w:val="1A1A19"/>
                <w:sz w:val="16"/>
              </w:rPr>
              <w:t>Grey-market imports</w:t>
            </w:r>
          </w:p>
        </w:tc>
        <w:tc>
          <w:tcPr>
            <w:tcW w:type="dxa" w:w="1944"/>
            <w:tcMar>
              <w:top w:w="60" w:type="dxa"/>
              <w:bottom w:w="60" w:type="dxa"/>
              <w:start w:w="110" w:type="dxa"/>
              <w:end w:w="110" w:type="dxa"/>
            </w:tcMar>
            <w:shd w:val="clear" w:color="auto" w:fill="F5F7F9"/>
          </w:tcPr>
          <w:p>
            <w:pPr>
              <w:spacing w:after="0"/>
            </w:pPr>
            <w:r>
              <w:rPr>
                <w:rFonts w:ascii="Calibri" w:hAnsi="Calibri"/>
                <w:b w:val="0"/>
                <w:i w:val="0"/>
                <w:color w:val="1A1A19"/>
                <w:sz w:val="16"/>
              </w:rPr>
              <w:t>unbranded 5.12 kWh</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1,150</w:t>
            </w:r>
          </w:p>
        </w:tc>
        <w:tc>
          <w:tcPr>
            <w:tcW w:type="dxa" w:w="1008"/>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225</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None / seller-only</w:t>
            </w:r>
          </w:p>
        </w:tc>
        <w:tc>
          <w:tcPr>
            <w:tcW w:type="dxa" w:w="2016"/>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No service, no warranty</w:t>
            </w:r>
          </w:p>
        </w:tc>
      </w:tr>
    </w:tbl>
    <w:p>
      <w:pPr>
        <w:spacing w:after="40"/>
      </w:pPr>
    </w:p>
    <w:p>
      <w:pPr>
        <w:jc w:val="center"/>
      </w:pPr>
      <w:r>
        <w:drawing>
          <wp:inline xmlns:a="http://schemas.openxmlformats.org/drawingml/2006/main" xmlns:pic="http://schemas.openxmlformats.org/drawingml/2006/picture">
            <wp:extent cx="5669280" cy="2830840"/>
            <wp:docPr id="2" name="Picture 2"/>
            <wp:cNvGraphicFramePr>
              <a:graphicFrameLocks noChangeAspect="1"/>
            </wp:cNvGraphicFramePr>
            <a:graphic>
              <a:graphicData uri="http://schemas.openxmlformats.org/drawingml/2006/picture">
                <pic:pic>
                  <pic:nvPicPr>
                    <pic:cNvPr id="0" name="battery_prices.png"/>
                    <pic:cNvPicPr/>
                  </pic:nvPicPr>
                  <pic:blipFill>
                    <a:blip r:embed="rId11"/>
                    <a:stretch>
                      <a:fillRect/>
                    </a:stretch>
                  </pic:blipFill>
                  <pic:spPr>
                    <a:xfrm>
                      <a:off x="0" y="0"/>
                      <a:ext cx="5669280" cy="2830840"/>
                    </a:xfrm>
                    <a:prstGeom prst="rect"/>
                  </pic:spPr>
                </pic:pic>
              </a:graphicData>
            </a:graphic>
          </wp:inline>
        </w:drawing>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The pricing wedge — </w:t>
      </w:r>
      <w:r>
        <w:rPr>
          <w:rFonts w:ascii="Calibri" w:hAnsi="Calibri"/>
          <w:b w:val="0"/>
          <w:i w:val="0"/>
          <w:color w:val="1A1A19"/>
          <w:sz w:val="21"/>
        </w:rPr>
        <w:t>Vestwoods retails 15–26% below tier-1 premium brands (Pylontech, Huawei) on a per-kWh basis while carrying Haier manufacturing pedigree and a 5-year warranty backed by NORCO's Cairo service bench.</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Against the grey market — </w:t>
      </w:r>
      <w:r>
        <w:rPr>
          <w:rFonts w:ascii="Calibri" w:hAnsi="Calibri"/>
          <w:b w:val="0"/>
          <w:i w:val="0"/>
          <w:color w:val="1A1A19"/>
          <w:sz w:val="21"/>
        </w:rPr>
        <w:t>unbranded imports undercut everyone by ~15% but carry no warranty, no BMS support and no spare parts. Vestwoods' exclusive agency lets NORCO hold price while winning the warranty-sensitive buyer — installers, telecoms and C&amp;I clients.</w:t>
      </w:r>
    </w:p>
    <w:p>
      <w:pPr>
        <w:spacing w:after="160" w:before="0"/>
      </w:pPr>
      <w:r>
        <w:rPr>
          <w:rFonts w:ascii="Calibri" w:hAnsi="Calibri"/>
          <w:b w:val="0"/>
          <w:i/>
          <w:color w:val="5C5B57"/>
          <w:sz w:val="17"/>
        </w:rPr>
        <w:t>Indicative street prices, NORCO market survey June 2026; tier-1 pricing varies with FX and customs cycles.</w:t>
      </w:r>
    </w:p>
    <w:p>
      <w:pPr>
        <w:keepNext/>
        <w:spacing w:before="220" w:after="80"/>
      </w:pPr>
      <w:r>
        <w:rPr>
          <w:rFonts w:ascii="Calibri" w:hAnsi="Calibri"/>
          <w:b/>
          <w:i w:val="0"/>
          <w:color w:val="0F6E6A"/>
          <w:sz w:val="24"/>
        </w:rPr>
        <w:t>4.3  Export corridors</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Sudan — </w:t>
      </w:r>
      <w:r>
        <w:rPr>
          <w:rFonts w:ascii="Calibri" w:hAnsi="Calibri"/>
          <w:b w:val="0"/>
          <w:i w:val="0"/>
          <w:color w:val="1A1A19"/>
          <w:sz w:val="21"/>
        </w:rPr>
        <w:t>committed buyer; orders trigger on arrival of the first containers on 50% advance + 50% delivery. Post-conflict reconstruction demand for solar-household and telecom kits. 4 → 10 containers.</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Algeria — </w:t>
      </w:r>
      <w:r>
        <w:rPr>
          <w:rFonts w:ascii="Calibri" w:hAnsi="Calibri"/>
          <w:b w:val="0"/>
          <w:i w:val="0"/>
          <w:color w:val="1A1A19"/>
          <w:sz w:val="21"/>
        </w:rPr>
        <w:t>agency negotiation in progress with first Vestwoods orders by Month 8; structured FOB Jebel Ali to a licensed importer under the bank-domiciliation regime, 100% LC before shipment — zero in-country exposure. 3 → 8 containers.</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Libya — </w:t>
      </w:r>
      <w:r>
        <w:rPr>
          <w:rFonts w:ascii="Calibri" w:hAnsi="Calibri"/>
          <w:b w:val="0"/>
          <w:i w:val="0"/>
          <w:color w:val="1A1A19"/>
          <w:sz w:val="21"/>
        </w:rPr>
        <w:t>dual-hub distributors (Tripoli + Benghazi) from Year 2 on advance/LC terms; chronic-outage residential and telecom demand. 0 → 8 containers.</w:t>
      </w:r>
    </w:p>
    <w:p>
      <w:pPr>
        <w:keepNext/>
        <w:spacing w:before="220" w:after="80"/>
      </w:pPr>
      <w:r>
        <w:rPr>
          <w:rFonts w:ascii="Calibri" w:hAnsi="Calibri"/>
          <w:b/>
          <w:i w:val="0"/>
          <w:color w:val="0F6E6A"/>
          <w:sz w:val="24"/>
        </w:rPr>
        <w:t>4.4  SWOT — NORCO / Vestwoods</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4824"/>
        <w:gridCol w:w="4824"/>
      </w:tblGrid>
      <w:tr>
        <w:tc>
          <w:tcPr>
            <w:tcW w:type="dxa" w:w="4824"/>
            <w:shd w:val="clear" w:color="auto" w:fill="F0F6F2"/>
            <w:tcMar>
              <w:top w:w="110" w:type="dxa"/>
              <w:bottom w:w="110" w:type="dxa"/>
              <w:start w:w="140" w:type="dxa"/>
              <w:end w:w="140" w:type="dxa"/>
            </w:tcMar>
          </w:tcPr>
          <w:p>
            <w:pPr>
              <w:spacing w:after="60"/>
            </w:pPr>
            <w:r>
              <w:rPr>
                <w:rFonts w:ascii="Calibri" w:hAnsi="Calibri"/>
                <w:b/>
                <w:i w:val="0"/>
                <w:color w:val="0F2942"/>
                <w:sz w:val="22"/>
              </w:rPr>
              <w:t>Strengths</w:t>
            </w:r>
          </w:p>
          <w:p>
            <w:pPr>
              <w:spacing w:after="0"/>
            </w:pPr>
            <w:r>
              <w:rPr>
                <w:rFonts w:ascii="Calibri" w:hAnsi="Calibri"/>
                <w:b w:val="0"/>
                <w:i w:val="0"/>
                <w:color w:val="1A1A19"/>
                <w:sz w:val="18"/>
              </w:rPr>
              <w:t>Exclusive Vestwoods agency + price control; operating showroom with pre-launch sales; committed Sudan buyer; Algeria agency advanced; Haier-backed quality priced under the premium brands.</w:t>
            </w:r>
          </w:p>
        </w:tc>
        <w:tc>
          <w:tcPr>
            <w:tcW w:type="dxa" w:w="4824"/>
            <w:shd w:val="clear" w:color="auto" w:fill="FBF3F0"/>
            <w:tcMar>
              <w:top w:w="110" w:type="dxa"/>
              <w:bottom w:w="110" w:type="dxa"/>
              <w:start w:w="140" w:type="dxa"/>
              <w:end w:w="140" w:type="dxa"/>
            </w:tcMar>
          </w:tcPr>
          <w:p>
            <w:pPr>
              <w:spacing w:after="60"/>
            </w:pPr>
            <w:r>
              <w:rPr>
                <w:rFonts w:ascii="Calibri" w:hAnsi="Calibri"/>
                <w:b/>
                <w:i w:val="0"/>
                <w:color w:val="0F2942"/>
                <w:sz w:val="22"/>
              </w:rPr>
              <w:t>Weaknesses</w:t>
            </w:r>
          </w:p>
          <w:p>
            <w:pPr>
              <w:spacing w:after="0"/>
            </w:pPr>
            <w:r>
              <w:rPr>
                <w:rFonts w:ascii="Calibri" w:hAnsi="Calibri"/>
                <w:b w:val="0"/>
                <w:i w:val="0"/>
                <w:color w:val="1A1A19"/>
                <w:sz w:val="18"/>
              </w:rPr>
              <w:t>Single-brand dependence; Year-1 import terms strain working capital; thin export (wholesale) margins demand volume discipline; execution depends on the raise closing on time.</w:t>
            </w:r>
          </w:p>
        </w:tc>
      </w:tr>
      <w:tr>
        <w:tc>
          <w:tcPr>
            <w:tcW w:type="dxa" w:w="4824"/>
            <w:shd w:val="clear" w:color="auto" w:fill="F0F6F2"/>
            <w:tcMar>
              <w:top w:w="110" w:type="dxa"/>
              <w:bottom w:w="110" w:type="dxa"/>
              <w:start w:w="140" w:type="dxa"/>
              <w:end w:w="140" w:type="dxa"/>
            </w:tcMar>
          </w:tcPr>
          <w:p>
            <w:pPr>
              <w:spacing w:after="60"/>
            </w:pPr>
            <w:r>
              <w:rPr>
                <w:rFonts w:ascii="Calibri" w:hAnsi="Calibri"/>
                <w:b/>
                <w:i w:val="0"/>
                <w:color w:val="0F2942"/>
                <w:sz w:val="22"/>
              </w:rPr>
              <w:t>Opportunities</w:t>
            </w:r>
          </w:p>
          <w:p>
            <w:pPr>
              <w:spacing w:after="0"/>
            </w:pPr>
            <w:r>
              <w:rPr>
                <w:rFonts w:ascii="Calibri" w:hAnsi="Calibri"/>
                <w:b w:val="0"/>
                <w:i w:val="0"/>
                <w:color w:val="1A1A19"/>
                <w:sz w:val="18"/>
              </w:rPr>
              <w:t>Egypt tenders (NUCA/EEHC, Law 5/2015 CKD roadmap); telecom fleet contracts; C&amp;I backup; four-market compounding; local CKD assembly evaluation.</w:t>
            </w:r>
          </w:p>
        </w:tc>
        <w:tc>
          <w:tcPr>
            <w:tcW w:type="dxa" w:w="4824"/>
            <w:shd w:val="clear" w:color="auto" w:fill="FBF3F0"/>
            <w:tcMar>
              <w:top w:w="110" w:type="dxa"/>
              <w:bottom w:w="110" w:type="dxa"/>
              <w:start w:w="140" w:type="dxa"/>
              <w:end w:w="140" w:type="dxa"/>
            </w:tcMar>
          </w:tcPr>
          <w:p>
            <w:pPr>
              <w:spacing w:after="60"/>
            </w:pPr>
            <w:r>
              <w:rPr>
                <w:rFonts w:ascii="Calibri" w:hAnsi="Calibri"/>
                <w:b/>
                <w:i w:val="0"/>
                <w:color w:val="0F2942"/>
                <w:sz w:val="22"/>
              </w:rPr>
              <w:t>Threats</w:t>
            </w:r>
          </w:p>
          <w:p>
            <w:pPr>
              <w:spacing w:after="0"/>
            </w:pPr>
            <w:r>
              <w:rPr>
                <w:rFonts w:ascii="Calibri" w:hAnsi="Calibri"/>
                <w:b w:val="0"/>
                <w:i w:val="0"/>
                <w:color w:val="1A1A19"/>
                <w:sz w:val="18"/>
              </w:rPr>
              <w:t>EGP devaluation; customs delays; grey-market pricing; regional instability in export corridors.</w:t>
            </w:r>
          </w:p>
        </w:tc>
      </w:tr>
    </w:tbl>
    <w:p>
      <w:pPr>
        <w:spacing w:after="40"/>
      </w:pPr>
    </w:p>
    <w:p>
      <w:r>
        <w:br w:type="page"/>
      </w:r>
    </w:p>
    <w:p>
      <w:pPr>
        <w:keepNext/>
        <w:spacing w:before="320" w:after="160"/>
        <w:pBdr>
          <w:bottom w:val="single" w:sz="6" w:space="4" w:color="0F2942"/>
        </w:pBdr>
      </w:pPr>
      <w:r>
        <w:rPr>
          <w:rFonts w:ascii="Calibri" w:hAnsi="Calibri"/>
          <w:b/>
          <w:i w:val="0"/>
          <w:color w:val="C8892A"/>
          <w:sz w:val="30"/>
        </w:rPr>
        <w:t xml:space="preserve">5   </w:t>
      </w:r>
      <w:r>
        <w:rPr>
          <w:rFonts w:ascii="Calibri" w:hAnsi="Calibri"/>
          <w:b/>
          <w:i w:val="0"/>
          <w:color w:val="0F2942"/>
          <w:sz w:val="30"/>
        </w:rPr>
        <w:t>Supplier &amp; Customer Terms — the Cash-Flow Engine</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3312"/>
            <w:shd w:val="clear" w:color="auto" w:fill="0F2942"/>
            <w:tcMar>
              <w:top w:w="60" w:type="dxa"/>
              <w:bottom w:w="60" w:type="dxa"/>
              <w:start w:w="110" w:type="dxa"/>
              <w:end w:w="110" w:type="dxa"/>
            </w:tcMar>
          </w:tcPr>
          <w:p>
            <w:pPr>
              <w:spacing w:after="0"/>
            </w:pPr>
            <w:r>
              <w:rPr>
                <w:rFonts w:ascii="Calibri" w:hAnsi="Calibri"/>
                <w:b/>
                <w:i w:val="0"/>
                <w:color w:val="FFFFFF"/>
                <w:sz w:val="17"/>
              </w:rPr>
              <w:t>Party / period</w:t>
            </w:r>
          </w:p>
        </w:tc>
        <w:tc>
          <w:tcPr>
            <w:tcW w:type="dxa" w:w="3312"/>
            <w:shd w:val="clear" w:color="auto" w:fill="0F2942"/>
            <w:tcMar>
              <w:top w:w="60" w:type="dxa"/>
              <w:bottom w:w="60" w:type="dxa"/>
              <w:start w:w="110" w:type="dxa"/>
              <w:end w:w="110" w:type="dxa"/>
            </w:tcMar>
          </w:tcPr>
          <w:p>
            <w:pPr>
              <w:spacing w:after="0"/>
            </w:pPr>
            <w:r>
              <w:rPr>
                <w:rFonts w:ascii="Calibri" w:hAnsi="Calibri"/>
                <w:b/>
                <w:i w:val="0"/>
                <w:color w:val="FFFFFF"/>
                <w:sz w:val="17"/>
              </w:rPr>
              <w:t>Terms</w:t>
            </w:r>
          </w:p>
        </w:tc>
        <w:tc>
          <w:tcPr>
            <w:tcW w:type="dxa" w:w="3456"/>
            <w:shd w:val="clear" w:color="auto" w:fill="0F2942"/>
            <w:tcMar>
              <w:top w:w="60" w:type="dxa"/>
              <w:bottom w:w="60" w:type="dxa"/>
              <w:start w:w="110" w:type="dxa"/>
              <w:end w:w="110" w:type="dxa"/>
            </w:tcMar>
          </w:tcPr>
          <w:p>
            <w:pPr>
              <w:spacing w:after="0"/>
            </w:pPr>
            <w:r>
              <w:rPr>
                <w:rFonts w:ascii="Calibri" w:hAnsi="Calibri"/>
                <w:b/>
                <w:i w:val="0"/>
                <w:color w:val="FFFFFF"/>
                <w:sz w:val="17"/>
              </w:rPr>
              <w:t>Cash impact</w:t>
            </w:r>
          </w:p>
        </w:tc>
      </w:tr>
      <w:tr>
        <w:tc>
          <w:tcPr>
            <w:tcW w:type="dxa" w:w="3312"/>
            <w:tcMar>
              <w:top w:w="60" w:type="dxa"/>
              <w:bottom w:w="60" w:type="dxa"/>
              <w:start w:w="110" w:type="dxa"/>
              <w:end w:w="110" w:type="dxa"/>
            </w:tcMar>
          </w:tcPr>
          <w:p>
            <w:pPr>
              <w:spacing w:after="0"/>
            </w:pPr>
            <w:r>
              <w:rPr>
                <w:rFonts w:ascii="Calibri" w:hAnsi="Calibri"/>
                <w:b w:val="0"/>
                <w:i w:val="0"/>
                <w:color w:val="1A1A19"/>
                <w:sz w:val="17"/>
              </w:rPr>
              <w:t>Vestwoods — Year 1 (Sinosure approved)</w:t>
            </w:r>
          </w:p>
        </w:tc>
        <w:tc>
          <w:tcPr>
            <w:tcW w:type="dxa" w:w="3312"/>
            <w:tcMar>
              <w:top w:w="60" w:type="dxa"/>
              <w:bottom w:w="60" w:type="dxa"/>
              <w:start w:w="110" w:type="dxa"/>
              <w:end w:w="110" w:type="dxa"/>
            </w:tcMar>
          </w:tcPr>
          <w:p>
            <w:pPr>
              <w:spacing w:after="0"/>
            </w:pPr>
            <w:r>
              <w:rPr>
                <w:rFonts w:ascii="Calibri" w:hAnsi="Calibri"/>
                <w:b w:val="0"/>
                <w:i w:val="0"/>
                <w:color w:val="1A1A19"/>
                <w:sz w:val="17"/>
              </w:rPr>
              <w:t>Containers 1–4 paid to the shipping schedule; containers 5–13 at 10% down + 90% on 3-month credit</w:t>
            </w:r>
          </w:p>
        </w:tc>
        <w:tc>
          <w:tcPr>
            <w:tcW w:type="dxa" w:w="3456"/>
            <w:tcMar>
              <w:top w:w="60" w:type="dxa"/>
              <w:bottom w:w="60" w:type="dxa"/>
              <w:start w:w="110" w:type="dxa"/>
              <w:end w:w="110" w:type="dxa"/>
            </w:tcMar>
          </w:tcPr>
          <w:p>
            <w:pPr>
              <w:spacing w:after="0"/>
            </w:pPr>
            <w:r>
              <w:rPr>
                <w:rFonts w:ascii="Calibri" w:hAnsi="Calibri"/>
                <w:b w:val="0"/>
                <w:i w:val="0"/>
                <w:color w:val="1A1A19"/>
                <w:sz w:val="17"/>
              </w:rPr>
              <w:t>Sinosure cover converts most Year-1 container capital to credit — the raise stays at USD 1.0M</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7"/>
              </w:rPr>
              <w:t>Vestwoods — Year 2+</w:t>
            </w:r>
          </w:p>
        </w:tc>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7"/>
              </w:rPr>
              <w:t>10% down + 90% at 3-month credit on all POs</w:t>
            </w:r>
          </w:p>
        </w:tc>
        <w:tc>
          <w:tcPr>
            <w:tcW w:type="dxa" w:w="3456"/>
            <w:tcMar>
              <w:top w:w="60" w:type="dxa"/>
              <w:bottom w:w="60" w:type="dxa"/>
              <w:start w:w="110" w:type="dxa"/>
              <w:end w:w="110" w:type="dxa"/>
            </w:tcMar>
            <w:shd w:val="clear" w:color="auto" w:fill="F5F7F9"/>
          </w:tcPr>
          <w:p>
            <w:pPr>
              <w:spacing w:after="0"/>
            </w:pPr>
            <w:r>
              <w:rPr>
                <w:rFonts w:ascii="Calibri" w:hAnsi="Calibri"/>
                <w:b w:val="0"/>
                <w:i w:val="0"/>
                <w:color w:val="1A1A19"/>
                <w:sz w:val="17"/>
              </w:rPr>
              <w:t>~22.5% of purchases outstanding at year end; growth self-funding</w:t>
            </w:r>
          </w:p>
        </w:tc>
      </w:tr>
      <w:tr>
        <w:tc>
          <w:tcPr>
            <w:tcW w:type="dxa" w:w="3312"/>
            <w:tcMar>
              <w:top w:w="60" w:type="dxa"/>
              <w:bottom w:w="60" w:type="dxa"/>
              <w:start w:w="110" w:type="dxa"/>
              <w:end w:w="110" w:type="dxa"/>
            </w:tcMar>
          </w:tcPr>
          <w:p>
            <w:pPr>
              <w:spacing w:after="0"/>
            </w:pPr>
            <w:r>
              <w:rPr>
                <w:rFonts w:ascii="Calibri" w:hAnsi="Calibri"/>
                <w:b w:val="0"/>
                <w:i w:val="0"/>
                <w:color w:val="1A1A19"/>
                <w:sz w:val="17"/>
              </w:rPr>
              <w:t>Egypt customers</w:t>
            </w:r>
          </w:p>
        </w:tc>
        <w:tc>
          <w:tcPr>
            <w:tcW w:type="dxa" w:w="3312"/>
            <w:tcMar>
              <w:top w:w="60" w:type="dxa"/>
              <w:bottom w:w="60" w:type="dxa"/>
              <w:start w:w="110" w:type="dxa"/>
              <w:end w:w="110" w:type="dxa"/>
            </w:tcMar>
          </w:tcPr>
          <w:p>
            <w:pPr>
              <w:spacing w:after="0"/>
            </w:pPr>
            <w:r>
              <w:rPr>
                <w:rFonts w:ascii="Calibri" w:hAnsi="Calibri"/>
                <w:b w:val="0"/>
                <w:i w:val="0"/>
                <w:color w:val="1A1A19"/>
                <w:sz w:val="17"/>
              </w:rPr>
              <w:t>30–60 days (avg 45); 1-month collection lag</w:t>
            </w:r>
          </w:p>
        </w:tc>
        <w:tc>
          <w:tcPr>
            <w:tcW w:type="dxa" w:w="3456"/>
            <w:tcMar>
              <w:top w:w="60" w:type="dxa"/>
              <w:bottom w:w="60" w:type="dxa"/>
              <w:start w:w="110" w:type="dxa"/>
              <w:end w:w="110" w:type="dxa"/>
            </w:tcMar>
          </w:tcPr>
          <w:p>
            <w:pPr>
              <w:spacing w:after="0"/>
            </w:pPr>
            <w:r>
              <w:rPr>
                <w:rFonts w:ascii="Calibri" w:hAnsi="Calibri"/>
                <w:b w:val="0"/>
                <w:i w:val="0"/>
                <w:color w:val="1A1A19"/>
                <w:sz w:val="17"/>
              </w:rPr>
              <w:t>Anchor accounts on agreed limits; stop-supply discipline</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7"/>
              </w:rPr>
              <w:t>Sudan</w:t>
            </w:r>
          </w:p>
        </w:tc>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7"/>
              </w:rPr>
              <w:t>50% advance at order + 50% on delivery</w:t>
            </w:r>
          </w:p>
        </w:tc>
        <w:tc>
          <w:tcPr>
            <w:tcW w:type="dxa" w:w="3456"/>
            <w:tcMar>
              <w:top w:w="60" w:type="dxa"/>
              <w:bottom w:w="60" w:type="dxa"/>
              <w:start w:w="110" w:type="dxa"/>
              <w:end w:w="110" w:type="dxa"/>
            </w:tcMar>
            <w:shd w:val="clear" w:color="auto" w:fill="F5F7F9"/>
          </w:tcPr>
          <w:p>
            <w:pPr>
              <w:spacing w:after="0"/>
            </w:pPr>
            <w:r>
              <w:rPr>
                <w:rFonts w:ascii="Calibri" w:hAnsi="Calibri"/>
                <w:b w:val="0"/>
                <w:i w:val="0"/>
                <w:color w:val="1A1A19"/>
                <w:sz w:val="17"/>
              </w:rPr>
              <w:t>Advances arrive ~2 months before delivery; working-capital positive</w:t>
            </w:r>
          </w:p>
        </w:tc>
      </w:tr>
      <w:tr>
        <w:tc>
          <w:tcPr>
            <w:tcW w:type="dxa" w:w="3312"/>
            <w:tcMar>
              <w:top w:w="60" w:type="dxa"/>
              <w:bottom w:w="60" w:type="dxa"/>
              <w:start w:w="110" w:type="dxa"/>
              <w:end w:w="110" w:type="dxa"/>
            </w:tcMar>
          </w:tcPr>
          <w:p>
            <w:pPr>
              <w:spacing w:after="0"/>
            </w:pPr>
            <w:r>
              <w:rPr>
                <w:rFonts w:ascii="Calibri" w:hAnsi="Calibri"/>
                <w:b w:val="0"/>
                <w:i w:val="0"/>
                <w:color w:val="1A1A19"/>
                <w:sz w:val="17"/>
              </w:rPr>
              <w:t>Algeria</w:t>
            </w:r>
          </w:p>
        </w:tc>
        <w:tc>
          <w:tcPr>
            <w:tcW w:type="dxa" w:w="3312"/>
            <w:tcMar>
              <w:top w:w="60" w:type="dxa"/>
              <w:bottom w:w="60" w:type="dxa"/>
              <w:start w:w="110" w:type="dxa"/>
              <w:end w:w="110" w:type="dxa"/>
            </w:tcMar>
          </w:tcPr>
          <w:p>
            <w:pPr>
              <w:spacing w:after="0"/>
            </w:pPr>
            <w:r>
              <w:rPr>
                <w:rFonts w:ascii="Calibri" w:hAnsi="Calibri"/>
                <w:b w:val="0"/>
                <w:i w:val="0"/>
                <w:color w:val="1A1A19"/>
                <w:sz w:val="17"/>
              </w:rPr>
              <w:t>100% LC before shipment (FOB Jebel Ali)</w:t>
            </w:r>
          </w:p>
        </w:tc>
        <w:tc>
          <w:tcPr>
            <w:tcW w:type="dxa" w:w="3456"/>
            <w:tcMar>
              <w:top w:w="60" w:type="dxa"/>
              <w:bottom w:w="60" w:type="dxa"/>
              <w:start w:w="110" w:type="dxa"/>
              <w:end w:w="110" w:type="dxa"/>
            </w:tcMar>
          </w:tcPr>
          <w:p>
            <w:pPr>
              <w:spacing w:after="0"/>
            </w:pPr>
            <w:r>
              <w:rPr>
                <w:rFonts w:ascii="Calibri" w:hAnsi="Calibri"/>
                <w:b w:val="0"/>
                <w:i w:val="0"/>
                <w:color w:val="1A1A19"/>
                <w:sz w:val="17"/>
              </w:rPr>
              <w:t>Zero receivable risk; zero in-country exposure</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7"/>
              </w:rPr>
              <w:t>Libya (Year 2+)</w:t>
            </w:r>
          </w:p>
        </w:tc>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7"/>
              </w:rPr>
              <w:t>Advance / confirmed LC</w:t>
            </w:r>
          </w:p>
        </w:tc>
        <w:tc>
          <w:tcPr>
            <w:tcW w:type="dxa" w:w="3456"/>
            <w:tcMar>
              <w:top w:w="60" w:type="dxa"/>
              <w:bottom w:w="60" w:type="dxa"/>
              <w:start w:w="110" w:type="dxa"/>
              <w:end w:w="110" w:type="dxa"/>
            </w:tcMar>
            <w:shd w:val="clear" w:color="auto" w:fill="F5F7F9"/>
          </w:tcPr>
          <w:p>
            <w:pPr>
              <w:spacing w:after="0"/>
            </w:pPr>
            <w:r>
              <w:rPr>
                <w:rFonts w:ascii="Calibri" w:hAnsi="Calibri"/>
                <w:b w:val="0"/>
                <w:i w:val="0"/>
                <w:color w:val="1A1A19"/>
                <w:sz w:val="17"/>
              </w:rPr>
              <w:t>Cash before shipment</w:t>
            </w:r>
          </w:p>
        </w:tc>
      </w:tr>
    </w:tbl>
    <w:p>
      <w:pPr>
        <w:spacing w:after="40"/>
      </w:pPr>
    </w:p>
    <w:p>
      <w:r>
        <w:br w:type="page"/>
      </w:r>
    </w:p>
    <w:p>
      <w:pPr>
        <w:keepNext/>
        <w:spacing w:before="320" w:after="160"/>
        <w:pBdr>
          <w:bottom w:val="single" w:sz="6" w:space="4" w:color="0F2942"/>
        </w:pBdr>
      </w:pPr>
      <w:r>
        <w:rPr>
          <w:rFonts w:ascii="Calibri" w:hAnsi="Calibri"/>
          <w:b/>
          <w:i w:val="0"/>
          <w:color w:val="C8892A"/>
          <w:sz w:val="30"/>
        </w:rPr>
        <w:t xml:space="preserve">6   </w:t>
      </w:r>
      <w:r>
        <w:rPr>
          <w:rFonts w:ascii="Calibri" w:hAnsi="Calibri"/>
          <w:b/>
          <w:i w:val="0"/>
          <w:color w:val="0F2942"/>
          <w:sz w:val="30"/>
        </w:rPr>
        <w:t>Financial Plan</w:t>
      </w:r>
    </w:p>
    <w:p>
      <w:pPr>
        <w:spacing w:after="160" w:before="0"/>
      </w:pPr>
      <w:r>
        <w:rPr>
          <w:rFonts w:ascii="Calibri" w:hAnsi="Calibri"/>
          <w:b w:val="0"/>
          <w:i/>
          <w:color w:val="5C5B57"/>
          <w:sz w:val="19"/>
        </w:rPr>
        <w:t>All figures USD, tying 1:1 to the companion workbook. Egypt product cost is booked at 79% of Egypt revenue (the full landed container cost against the 50/50 retail-wholesale mix); export product cost is booked at 50% of export revenue per the founder's negotiated export supply pricing. Planning FX EGP 53; corporate tax 22.5% with Year-1 loss carry-forward.</w:t>
      </w:r>
    </w:p>
    <w:p>
      <w:pPr>
        <w:keepNext/>
        <w:spacing w:before="220" w:after="80"/>
      </w:pPr>
      <w:r>
        <w:rPr>
          <w:rFonts w:ascii="Calibri" w:hAnsi="Calibri"/>
          <w:b/>
          <w:i w:val="0"/>
          <w:color w:val="0F6E6A"/>
          <w:sz w:val="24"/>
        </w:rPr>
        <w:t>6.1  5-year P&amp;L</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608"/>
        <w:gridCol w:w="1608"/>
        <w:gridCol w:w="1608"/>
        <w:gridCol w:w="1608"/>
        <w:gridCol w:w="1608"/>
        <w:gridCol w:w="1608"/>
      </w:tblGrid>
      <w:tr>
        <w:tc>
          <w:tcPr>
            <w:tcW w:type="dxa" w:w="2736"/>
            <w:shd w:val="clear" w:color="auto" w:fill="0F2942"/>
            <w:tcMar>
              <w:top w:w="60" w:type="dxa"/>
              <w:bottom w:w="60" w:type="dxa"/>
              <w:start w:w="110" w:type="dxa"/>
              <w:end w:w="110" w:type="dxa"/>
            </w:tcMar>
          </w:tcPr>
          <w:p>
            <w:pPr>
              <w:spacing w:after="0"/>
            </w:pPr>
            <w:r>
              <w:rPr>
                <w:rFonts w:ascii="Calibri" w:hAnsi="Calibri"/>
                <w:b/>
                <w:i w:val="0"/>
                <w:color w:val="FFFFFF"/>
                <w:sz w:val="17"/>
              </w:rPr>
              <w:t>USD</w:t>
            </w:r>
          </w:p>
        </w:tc>
        <w:tc>
          <w:tcPr>
            <w:tcW w:type="dxa" w:w="151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1</w:t>
            </w:r>
          </w:p>
        </w:tc>
        <w:tc>
          <w:tcPr>
            <w:tcW w:type="dxa" w:w="151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2</w:t>
            </w:r>
          </w:p>
        </w:tc>
        <w:tc>
          <w:tcPr>
            <w:tcW w:type="dxa" w:w="151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3</w:t>
            </w:r>
          </w:p>
        </w:tc>
        <w:tc>
          <w:tcPr>
            <w:tcW w:type="dxa" w:w="151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4</w:t>
            </w:r>
          </w:p>
        </w:tc>
        <w:tc>
          <w:tcPr>
            <w:tcW w:type="dxa" w:w="151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5</w:t>
            </w:r>
          </w:p>
        </w:tc>
      </w:tr>
      <w:tr>
        <w:tc>
          <w:tcPr>
            <w:tcW w:type="dxa" w:w="2736"/>
            <w:tcMar>
              <w:top w:w="60" w:type="dxa"/>
              <w:bottom w:w="60" w:type="dxa"/>
              <w:start w:w="110" w:type="dxa"/>
              <w:end w:w="110" w:type="dxa"/>
            </w:tcMar>
          </w:tcPr>
          <w:p>
            <w:pPr>
              <w:spacing w:after="0"/>
            </w:pPr>
            <w:r>
              <w:rPr>
                <w:rFonts w:ascii="Calibri" w:hAnsi="Calibri"/>
                <w:b w:val="0"/>
                <w:i w:val="0"/>
                <w:color w:val="1A1A19"/>
                <w:sz w:val="17"/>
              </w:rPr>
              <w:t>Total revenue</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5,356,510</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8,003,813</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9,604,575</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11,525,489</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13,830,588</w:t>
            </w:r>
          </w:p>
        </w:tc>
      </w:tr>
      <w:tr>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Cost of goods sold</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3,432,105</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4,906,527</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5,887,832</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7,065,398</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8,478,478</w:t>
            </w:r>
          </w:p>
        </w:tc>
      </w:tr>
      <w:tr>
        <w:tc>
          <w:tcPr>
            <w:tcW w:type="dxa" w:w="2736"/>
            <w:tcMar>
              <w:top w:w="60" w:type="dxa"/>
              <w:bottom w:w="60" w:type="dxa"/>
              <w:start w:w="110" w:type="dxa"/>
              <w:end w:w="110" w:type="dxa"/>
            </w:tcMar>
          </w:tcPr>
          <w:p>
            <w:pPr>
              <w:spacing w:after="0"/>
            </w:pPr>
            <w:r>
              <w:rPr>
                <w:rFonts w:ascii="Calibri" w:hAnsi="Calibri"/>
                <w:b w:val="0"/>
                <w:i w:val="0"/>
                <w:color w:val="1A1A19"/>
                <w:sz w:val="17"/>
              </w:rPr>
              <w:t>Gross profit</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1,924,405</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3,097,286</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3,716,743</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4,460,092</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5,352,110</w:t>
            </w:r>
          </w:p>
        </w:tc>
      </w:tr>
      <w:tr>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Gross margin %</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35.9%</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38.7%</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38.7%</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38.7%</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38.7%</w:t>
            </w:r>
          </w:p>
        </w:tc>
      </w:tr>
      <w:tr>
        <w:tc>
          <w:tcPr>
            <w:tcW w:type="dxa" w:w="2736"/>
            <w:tcMar>
              <w:top w:w="60" w:type="dxa"/>
              <w:bottom w:w="60" w:type="dxa"/>
              <w:start w:w="110" w:type="dxa"/>
              <w:end w:w="110" w:type="dxa"/>
            </w:tcMar>
          </w:tcPr>
          <w:p>
            <w:pPr>
              <w:spacing w:after="0"/>
            </w:pPr>
            <w:r>
              <w:rPr>
                <w:rFonts w:ascii="Calibri" w:hAnsi="Calibri"/>
                <w:b w:val="0"/>
                <w:i w:val="0"/>
                <w:color w:val="1A1A19"/>
                <w:sz w:val="17"/>
              </w:rPr>
              <w:t>Operating expenses</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766,014</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947,715</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1,190,470</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1,498,176</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1,968,912</w:t>
            </w:r>
          </w:p>
        </w:tc>
      </w:tr>
      <w:tr>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EBIT (after interest)</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1,158,391</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2,149,571</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2,526,273</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2,961,916</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3,383,198</w:t>
            </w:r>
          </w:p>
        </w:tc>
      </w:tr>
      <w:tr>
        <w:tc>
          <w:tcPr>
            <w:tcW w:type="dxa" w:w="2736"/>
            <w:tcMar>
              <w:top w:w="60" w:type="dxa"/>
              <w:bottom w:w="60" w:type="dxa"/>
              <w:start w:w="110" w:type="dxa"/>
              <w:end w:w="110" w:type="dxa"/>
            </w:tcMar>
          </w:tcPr>
          <w:p>
            <w:pPr>
              <w:spacing w:after="0"/>
            </w:pPr>
            <w:r>
              <w:rPr>
                <w:rFonts w:ascii="Calibri" w:hAnsi="Calibri"/>
                <w:b w:val="0"/>
                <w:i w:val="0"/>
                <w:color w:val="1A1A19"/>
                <w:sz w:val="17"/>
              </w:rPr>
              <w:t>Corporate tax (22.5%)</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260,638</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483,654</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568,412</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666,431</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761,220</w:t>
            </w:r>
          </w:p>
        </w:tc>
      </w:tr>
      <w:tr>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Net profit</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897,753</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1,665,918</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1,957,862</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2,295,484</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2,621,979</w:t>
            </w:r>
          </w:p>
        </w:tc>
      </w:tr>
      <w:tr>
        <w:tc>
          <w:tcPr>
            <w:tcW w:type="dxa" w:w="2736"/>
            <w:tcMar>
              <w:top w:w="60" w:type="dxa"/>
              <w:bottom w:w="60" w:type="dxa"/>
              <w:start w:w="110" w:type="dxa"/>
              <w:end w:w="110" w:type="dxa"/>
            </w:tcMar>
          </w:tcPr>
          <w:p>
            <w:pPr>
              <w:spacing w:after="0"/>
            </w:pPr>
            <w:r>
              <w:rPr>
                <w:rFonts w:ascii="Calibri" w:hAnsi="Calibri"/>
                <w:b w:val="0"/>
                <w:i w:val="0"/>
                <w:color w:val="1A1A19"/>
                <w:sz w:val="17"/>
              </w:rPr>
              <w:t>Net margin %</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16.8%</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20.8%</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20.4%</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19.9%</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19.0%</w:t>
            </w:r>
          </w:p>
        </w:tc>
      </w:tr>
    </w:tbl>
    <w:p>
      <w:pPr>
        <w:spacing w:after="40"/>
      </w:pPr>
    </w:p>
    <w:p>
      <w:pPr>
        <w:jc w:val="center"/>
      </w:pPr>
      <w:r>
        <w:drawing>
          <wp:inline xmlns:a="http://schemas.openxmlformats.org/drawingml/2006/main" xmlns:pic="http://schemas.openxmlformats.org/drawingml/2006/picture">
            <wp:extent cx="5486400" cy="3240804"/>
            <wp:docPr id="3" name="Picture 3"/>
            <wp:cNvGraphicFramePr>
              <a:graphicFrameLocks noChangeAspect="1"/>
            </wp:cNvGraphicFramePr>
            <a:graphic>
              <a:graphicData uri="http://schemas.openxmlformats.org/drawingml/2006/picture">
                <pic:pic>
                  <pic:nvPicPr>
                    <pic:cNvPr id="0" name="profit_trend.png"/>
                    <pic:cNvPicPr/>
                  </pic:nvPicPr>
                  <pic:blipFill>
                    <a:blip r:embed="rId12"/>
                    <a:stretch>
                      <a:fillRect/>
                    </a:stretch>
                  </pic:blipFill>
                  <pic:spPr>
                    <a:xfrm>
                      <a:off x="0" y="0"/>
                      <a:ext cx="5486400" cy="3240804"/>
                    </a:xfrm>
                    <a:prstGeom prst="rect"/>
                  </pic:spPr>
                </pic:pic>
              </a:graphicData>
            </a:graphic>
          </wp:inline>
        </w:drawing>
      </w:r>
    </w:p>
    <w:p>
      <w:pPr>
        <w:keepNext/>
        <w:spacing w:before="220" w:after="80"/>
      </w:pPr>
      <w:r>
        <w:rPr>
          <w:rFonts w:ascii="Calibri" w:hAnsi="Calibri"/>
          <w:b/>
          <w:i w:val="0"/>
          <w:color w:val="0F6E6A"/>
          <w:sz w:val="24"/>
        </w:rPr>
        <w:t>6.2  Revenue build — markets &amp; containers</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608"/>
        <w:gridCol w:w="1608"/>
        <w:gridCol w:w="1608"/>
        <w:gridCol w:w="1608"/>
        <w:gridCol w:w="1608"/>
        <w:gridCol w:w="1608"/>
      </w:tblGrid>
      <w:tr>
        <w:tc>
          <w:tcPr>
            <w:tcW w:type="dxa" w:w="3384"/>
            <w:shd w:val="clear" w:color="auto" w:fill="0F2942"/>
            <w:tcMar>
              <w:top w:w="60" w:type="dxa"/>
              <w:bottom w:w="60" w:type="dxa"/>
              <w:start w:w="110" w:type="dxa"/>
              <w:end w:w="110" w:type="dxa"/>
            </w:tcMar>
          </w:tcPr>
          <w:p>
            <w:pPr>
              <w:spacing w:after="0"/>
            </w:pPr>
            <w:r>
              <w:rPr>
                <w:rFonts w:ascii="Calibri" w:hAnsi="Calibri"/>
                <w:b/>
                <w:i w:val="0"/>
                <w:color w:val="FFFFFF"/>
                <w:sz w:val="17"/>
              </w:rPr>
              <w:t>USD</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1</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2</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3</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4</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5</w:t>
            </w:r>
          </w:p>
        </w:tc>
      </w:tr>
      <w:tr>
        <w:tc>
          <w:tcPr>
            <w:tcW w:type="dxa" w:w="3384"/>
            <w:tcMar>
              <w:top w:w="60" w:type="dxa"/>
              <w:bottom w:w="60" w:type="dxa"/>
              <w:start w:w="110" w:type="dxa"/>
              <w:end w:w="110" w:type="dxa"/>
            </w:tcMar>
          </w:tcPr>
          <w:p>
            <w:pPr>
              <w:spacing w:after="0"/>
            </w:pPr>
            <w:r>
              <w:rPr>
                <w:rFonts w:ascii="Calibri" w:hAnsi="Calibri"/>
                <w:b w:val="0"/>
                <w:i w:val="0"/>
                <w:color w:val="1A1A19"/>
                <w:sz w:val="17"/>
              </w:rPr>
              <w:t>Egypt (6→15 containers)</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2,599,483</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3,119,380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3,743,256</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4,491,907</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5,390,288</w:t>
            </w:r>
          </w:p>
        </w:tc>
      </w:tr>
      <w:tr>
        <w:tc>
          <w:tcPr>
            <w:tcW w:type="dxa" w:w="3384"/>
            <w:tcMar>
              <w:top w:w="60" w:type="dxa"/>
              <w:bottom w:w="60" w:type="dxa"/>
              <w:start w:w="110" w:type="dxa"/>
              <w:end w:w="110" w:type="dxa"/>
            </w:tcMar>
            <w:shd w:val="clear" w:color="auto" w:fill="F5F7F9"/>
          </w:tcPr>
          <w:p>
            <w:pPr>
              <w:spacing w:after="0"/>
            </w:pPr>
            <w:r>
              <w:rPr>
                <w:rFonts w:ascii="Calibri" w:hAnsi="Calibri"/>
                <w:b w:val="0"/>
                <w:i w:val="0"/>
                <w:color w:val="1A1A19"/>
                <w:sz w:val="17"/>
              </w:rPr>
              <w:t>Sudan (4→10 containers)</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1,575,444</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1,890,533</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2,268,639</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2,722,367</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3,266,841</w:t>
            </w:r>
          </w:p>
        </w:tc>
      </w:tr>
      <w:tr>
        <w:tc>
          <w:tcPr>
            <w:tcW w:type="dxa" w:w="3384"/>
            <w:tcMar>
              <w:top w:w="60" w:type="dxa"/>
              <w:bottom w:w="60" w:type="dxa"/>
              <w:start w:w="110" w:type="dxa"/>
              <w:end w:w="110" w:type="dxa"/>
            </w:tcMar>
          </w:tcPr>
          <w:p>
            <w:pPr>
              <w:spacing w:after="0"/>
            </w:pPr>
            <w:r>
              <w:rPr>
                <w:rFonts w:ascii="Calibri" w:hAnsi="Calibri"/>
                <w:b w:val="0"/>
                <w:i w:val="0"/>
                <w:color w:val="1A1A19"/>
                <w:sz w:val="17"/>
              </w:rPr>
              <w:t>Algeria (3→8, 100% LC)</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1,181,583</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1,417,900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1,701,480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2,041,775</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2,450,131</w:t>
            </w:r>
          </w:p>
        </w:tc>
      </w:tr>
      <w:tr>
        <w:tc>
          <w:tcPr>
            <w:tcW w:type="dxa" w:w="3384"/>
            <w:tcMar>
              <w:top w:w="60" w:type="dxa"/>
              <w:bottom w:w="60" w:type="dxa"/>
              <w:start w:w="110" w:type="dxa"/>
              <w:end w:w="110" w:type="dxa"/>
            </w:tcMar>
            <w:shd w:val="clear" w:color="auto" w:fill="F5F7F9"/>
          </w:tcPr>
          <w:p>
            <w:pPr>
              <w:spacing w:after="0"/>
            </w:pPr>
            <w:r>
              <w:rPr>
                <w:rFonts w:ascii="Calibri" w:hAnsi="Calibri"/>
                <w:b w:val="0"/>
                <w:i w:val="0"/>
                <w:color w:val="1A1A19"/>
                <w:sz w:val="17"/>
              </w:rPr>
              <w:t>Libya (0→8, from Y2)</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1,576,000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1,891,200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2,269,440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2,723,328</w:t>
            </w:r>
          </w:p>
        </w:tc>
      </w:tr>
      <w:tr>
        <w:tc>
          <w:tcPr>
            <w:tcW w:type="dxa" w:w="3384"/>
            <w:tcMar>
              <w:top w:w="60" w:type="dxa"/>
              <w:bottom w:w="60" w:type="dxa"/>
              <w:start w:w="110" w:type="dxa"/>
              <w:end w:w="110" w:type="dxa"/>
            </w:tcMar>
            <w:shd w:val="clear" w:color="auto" w:fill="E9EDF0"/>
          </w:tcPr>
          <w:p>
            <w:pPr>
              <w:spacing w:after="0"/>
            </w:pPr>
            <w:r>
              <w:rPr>
                <w:rFonts w:ascii="Calibri" w:hAnsi="Calibri"/>
                <w:b/>
                <w:i w:val="0"/>
                <w:color w:val="0F2942"/>
                <w:sz w:val="17"/>
              </w:rPr>
              <w:t>Total revenue</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5,356,510</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8,003,813</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9,604,575</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11,525,489</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13,830,588</w:t>
            </w:r>
          </w:p>
        </w:tc>
      </w:tr>
    </w:tbl>
    <w:p>
      <w:pPr>
        <w:spacing w:after="40"/>
      </w:pPr>
    </w:p>
    <w:p>
      <w:pPr>
        <w:jc w:val="center"/>
      </w:pPr>
      <w:r>
        <w:drawing>
          <wp:inline xmlns:a="http://schemas.openxmlformats.org/drawingml/2006/main" xmlns:pic="http://schemas.openxmlformats.org/drawingml/2006/picture">
            <wp:extent cx="5394960" cy="3046104"/>
            <wp:docPr id="4" name="Picture 4"/>
            <wp:cNvGraphicFramePr>
              <a:graphicFrameLocks noChangeAspect="1"/>
            </wp:cNvGraphicFramePr>
            <a:graphic>
              <a:graphicData uri="http://schemas.openxmlformats.org/drawingml/2006/picture">
                <pic:pic>
                  <pic:nvPicPr>
                    <pic:cNvPr id="0" name="containers.png"/>
                    <pic:cNvPicPr/>
                  </pic:nvPicPr>
                  <pic:blipFill>
                    <a:blip r:embed="rId13"/>
                    <a:stretch>
                      <a:fillRect/>
                    </a:stretch>
                  </pic:blipFill>
                  <pic:spPr>
                    <a:xfrm>
                      <a:off x="0" y="0"/>
                      <a:ext cx="5394960" cy="3046104"/>
                    </a:xfrm>
                    <a:prstGeom prst="rect"/>
                  </pic:spPr>
                </pic:pic>
              </a:graphicData>
            </a:graphic>
          </wp:inline>
        </w:drawing>
      </w:r>
    </w:p>
    <w:p>
      <w:r>
        <w:br w:type="page"/>
      </w:r>
    </w:p>
    <w:p>
      <w:pPr>
        <w:keepNext/>
        <w:spacing w:before="220" w:after="80"/>
      </w:pPr>
      <w:r>
        <w:rPr>
          <w:rFonts w:ascii="Calibri" w:hAnsi="Calibri"/>
          <w:b/>
          <w:i w:val="0"/>
          <w:color w:val="0F6E6A"/>
          <w:sz w:val="24"/>
        </w:rPr>
        <w:t>6.3  Year 1 — monthly profitability and cash</w:t>
      </w:r>
    </w:p>
    <w:p>
      <w:pPr>
        <w:spacing w:after="120" w:before="0"/>
      </w:pPr>
      <w:r>
        <w:rPr>
          <w:rFonts w:ascii="Calibri" w:hAnsi="Calibri"/>
          <w:b w:val="0"/>
          <w:i w:val="0"/>
          <w:color w:val="1A1A19"/>
          <w:sz w:val="21"/>
        </w:rPr>
        <w:t>Year 1 is modelled month-by-month in the workbook. Egypt revenue ramps from the operating showroom in August to a two-showroom, four-salesperson run-rate by summer; Sudan orders land in alternate months from January; Algeria's first LC orders ship from March. Operating and cumulative break-even both arrive in Month 6 (January 2027), and Year-1 net profit of USD 897,753 nearly matches the full raise.</w:t>
      </w:r>
    </w:p>
    <w:p>
      <w:pPr>
        <w:jc w:val="center"/>
      </w:pPr>
      <w:r>
        <w:drawing>
          <wp:inline xmlns:a="http://schemas.openxmlformats.org/drawingml/2006/main" xmlns:pic="http://schemas.openxmlformats.org/drawingml/2006/picture">
            <wp:extent cx="5486400" cy="2947345"/>
            <wp:docPr id="5" name="Picture 5"/>
            <wp:cNvGraphicFramePr>
              <a:graphicFrameLocks noChangeAspect="1"/>
            </wp:cNvGraphicFramePr>
            <a:graphic>
              <a:graphicData uri="http://schemas.openxmlformats.org/drawingml/2006/picture">
                <pic:pic>
                  <pic:nvPicPr>
                    <pic:cNvPr id="0" name="y1_cash.png"/>
                    <pic:cNvPicPr/>
                  </pic:nvPicPr>
                  <pic:blipFill>
                    <a:blip r:embed="rId14"/>
                    <a:stretch>
                      <a:fillRect/>
                    </a:stretch>
                  </pic:blipFill>
                  <pic:spPr>
                    <a:xfrm>
                      <a:off x="0" y="0"/>
                      <a:ext cx="5486400" cy="2947345"/>
                    </a:xfrm>
                    <a:prstGeom prst="rect"/>
                  </pic:spPr>
                </pic:pic>
              </a:graphicData>
            </a:graphic>
          </wp:inline>
        </w:drawing>
      </w:r>
    </w:p>
    <w:p>
      <w:pPr>
        <w:spacing w:after="200" w:before="0"/>
        <w:jc w:val="center"/>
      </w:pPr>
      <w:r>
        <w:rPr>
          <w:rFonts w:ascii="Calibri" w:hAnsi="Calibri"/>
          <w:b w:val="0"/>
          <w:i/>
          <w:color w:val="5C5B57"/>
          <w:sz w:val="17"/>
        </w:rPr>
        <w:t>Minimum cash USD 84,397 (Jan-27); Year-1 ending cash USD 1,708,073.</w:t>
      </w:r>
    </w:p>
    <w:p>
      <w:pPr>
        <w:keepNext/>
        <w:spacing w:before="220" w:after="80"/>
      </w:pPr>
      <w:r>
        <w:rPr>
          <w:rFonts w:ascii="Calibri" w:hAnsi="Calibri"/>
          <w:b/>
          <w:i w:val="0"/>
          <w:color w:val="0F6E6A"/>
          <w:sz w:val="24"/>
        </w:rPr>
        <w:t>6.4  Five-year cash flow</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608"/>
        <w:gridCol w:w="1608"/>
        <w:gridCol w:w="1608"/>
        <w:gridCol w:w="1608"/>
        <w:gridCol w:w="1608"/>
        <w:gridCol w:w="1608"/>
      </w:tblGrid>
      <w:tr>
        <w:tc>
          <w:tcPr>
            <w:tcW w:type="dxa" w:w="3384"/>
            <w:shd w:val="clear" w:color="auto" w:fill="0F2942"/>
            <w:tcMar>
              <w:top w:w="60" w:type="dxa"/>
              <w:bottom w:w="60" w:type="dxa"/>
              <w:start w:w="110" w:type="dxa"/>
              <w:end w:w="110" w:type="dxa"/>
            </w:tcMar>
          </w:tcPr>
          <w:p>
            <w:pPr>
              <w:spacing w:after="0"/>
            </w:pPr>
            <w:r>
              <w:rPr>
                <w:rFonts w:ascii="Calibri" w:hAnsi="Calibri"/>
                <w:b/>
                <w:i w:val="0"/>
                <w:color w:val="FFFFFF"/>
                <w:sz w:val="17"/>
              </w:rPr>
              <w:t>USD</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1</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2</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3</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4</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5</w:t>
            </w:r>
          </w:p>
        </w:tc>
      </w:tr>
      <w:tr>
        <w:tc>
          <w:tcPr>
            <w:tcW w:type="dxa" w:w="3384"/>
            <w:tcMar>
              <w:top w:w="60" w:type="dxa"/>
              <w:bottom w:w="60" w:type="dxa"/>
              <w:start w:w="110" w:type="dxa"/>
              <w:end w:w="110" w:type="dxa"/>
            </w:tcMar>
          </w:tcPr>
          <w:p>
            <w:pPr>
              <w:spacing w:after="0"/>
            </w:pPr>
            <w:r>
              <w:rPr>
                <w:rFonts w:ascii="Calibri" w:hAnsi="Calibri"/>
                <w:b w:val="0"/>
                <w:i w:val="0"/>
                <w:color w:val="1A1A19"/>
                <w:sz w:val="17"/>
              </w:rPr>
              <w:t>Customer collections</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4,748,684</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8,351,691</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9,552,585</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11,463,101</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13,755,723</w:t>
            </w:r>
          </w:p>
        </w:tc>
      </w:tr>
      <w:tr>
        <w:tc>
          <w:tcPr>
            <w:tcW w:type="dxa" w:w="3384"/>
            <w:tcMar>
              <w:top w:w="60" w:type="dxa"/>
              <w:bottom w:w="60" w:type="dxa"/>
              <w:start w:w="110" w:type="dxa"/>
              <w:end w:w="110" w:type="dxa"/>
            </w:tcMar>
            <w:shd w:val="clear" w:color="auto" w:fill="F5F7F9"/>
          </w:tcPr>
          <w:p>
            <w:pPr>
              <w:spacing w:after="0"/>
            </w:pPr>
            <w:r>
              <w:rPr>
                <w:rFonts w:ascii="Calibri" w:hAnsi="Calibri"/>
                <w:b w:val="0"/>
                <w:i w:val="0"/>
                <w:color w:val="1A1A19"/>
                <w:sz w:val="17"/>
              </w:rPr>
              <w:t>Investor capital (T1 + T2)</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1,000,000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r>
      <w:tr>
        <w:tc>
          <w:tcPr>
            <w:tcW w:type="dxa" w:w="3384"/>
            <w:tcMar>
              <w:top w:w="60" w:type="dxa"/>
              <w:bottom w:w="60" w:type="dxa"/>
              <w:start w:w="110" w:type="dxa"/>
              <w:end w:w="110" w:type="dxa"/>
            </w:tcMar>
          </w:tcPr>
          <w:p>
            <w:pPr>
              <w:spacing w:after="0"/>
            </w:pPr>
            <w:r>
              <w:rPr>
                <w:rFonts w:ascii="Calibri" w:hAnsi="Calibri"/>
                <w:b w:val="0"/>
                <w:i w:val="0"/>
                <w:color w:val="1A1A19"/>
                <w:sz w:val="17"/>
              </w:rPr>
              <w:t>Supplier payments (current + prior yr)</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(3,246,897)</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(3,987,766)</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(5,667,038)</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(6,800,445)</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(8,160,534)</w:t>
            </w:r>
          </w:p>
        </w:tc>
      </w:tr>
      <w:tr>
        <w:tc>
          <w:tcPr>
            <w:tcW w:type="dxa" w:w="3384"/>
            <w:tcMar>
              <w:top w:w="60" w:type="dxa"/>
              <w:bottom w:w="60" w:type="dxa"/>
              <w:start w:w="110" w:type="dxa"/>
              <w:end w:w="110" w:type="dxa"/>
            </w:tcMar>
            <w:shd w:val="clear" w:color="auto" w:fill="F5F7F9"/>
          </w:tcPr>
          <w:p>
            <w:pPr>
              <w:spacing w:after="0"/>
            </w:pPr>
            <w:r>
              <w:rPr>
                <w:rFonts w:ascii="Calibri" w:hAnsi="Calibri"/>
                <w:b w:val="0"/>
                <w:i w:val="0"/>
                <w:color w:val="1A1A19"/>
                <w:sz w:val="17"/>
              </w:rPr>
              <w:t>Operating expenses (cash)</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(793,714)</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(930,915)</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(1,173,670)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(1,478,176)</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(1,938,912)</w:t>
            </w:r>
          </w:p>
        </w:tc>
      </w:tr>
      <w:tr>
        <w:tc>
          <w:tcPr>
            <w:tcW w:type="dxa" w:w="3384"/>
            <w:tcMar>
              <w:top w:w="60" w:type="dxa"/>
              <w:bottom w:w="60" w:type="dxa"/>
              <w:start w:w="110" w:type="dxa"/>
              <w:end w:w="110" w:type="dxa"/>
            </w:tcMar>
          </w:tcPr>
          <w:p>
            <w:pPr>
              <w:spacing w:after="0"/>
            </w:pPr>
            <w:r>
              <w:rPr>
                <w:rFonts w:ascii="Calibri" w:hAnsi="Calibri"/>
                <w:b w:val="0"/>
                <w:i w:val="0"/>
                <w:color w:val="1A1A19"/>
                <w:sz w:val="17"/>
              </w:rPr>
              <w:t>Tax paid (prior year, arrears)</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(260,638)</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(483,654)</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(568,412)</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(666,431)</w:t>
            </w:r>
          </w:p>
        </w:tc>
      </w:tr>
      <w:tr>
        <w:tc>
          <w:tcPr>
            <w:tcW w:type="dxa" w:w="3384"/>
            <w:tcMar>
              <w:top w:w="60" w:type="dxa"/>
              <w:bottom w:w="60" w:type="dxa"/>
              <w:start w:w="110" w:type="dxa"/>
              <w:end w:w="110" w:type="dxa"/>
            </w:tcMar>
            <w:shd w:val="clear" w:color="auto" w:fill="F5F7F9"/>
          </w:tcPr>
          <w:p>
            <w:pPr>
              <w:spacing w:after="0"/>
            </w:pPr>
            <w:r>
              <w:rPr>
                <w:rFonts w:ascii="Calibri" w:hAnsi="Calibri"/>
                <w:b w:val="0"/>
                <w:i w:val="0"/>
                <w:color w:val="1A1A19"/>
                <w:sz w:val="17"/>
              </w:rPr>
              <w:t>Dividends (100% of prior-year profit)</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(897,753)</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(1,665,918)</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(1,957,862)</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(2,295,484)</w:t>
            </w:r>
          </w:p>
        </w:tc>
      </w:tr>
      <w:tr>
        <w:tc>
          <w:tcPr>
            <w:tcW w:type="dxa" w:w="3384"/>
            <w:tcMar>
              <w:top w:w="60" w:type="dxa"/>
              <w:bottom w:w="60" w:type="dxa"/>
              <w:start w:w="110" w:type="dxa"/>
              <w:end w:w="110" w:type="dxa"/>
            </w:tcMar>
          </w:tcPr>
          <w:p>
            <w:pPr>
              <w:spacing w:after="0"/>
            </w:pPr>
            <w:r>
              <w:rPr>
                <w:rFonts w:ascii="Calibri" w:hAnsi="Calibri"/>
                <w:b w:val="0"/>
                <w:i w:val="0"/>
                <w:color w:val="1A1A19"/>
                <w:sz w:val="17"/>
              </w:rPr>
              <w:t>Capex</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(25,000)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(30,000)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(35,000)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(40,000)</w:t>
            </w:r>
          </w:p>
        </w:tc>
      </w:tr>
      <w:tr>
        <w:tc>
          <w:tcPr>
            <w:tcW w:type="dxa" w:w="3384"/>
            <w:tcMar>
              <w:top w:w="60" w:type="dxa"/>
              <w:bottom w:w="60" w:type="dxa"/>
              <w:start w:w="110" w:type="dxa"/>
              <w:end w:w="110" w:type="dxa"/>
            </w:tcMar>
            <w:shd w:val="clear" w:color="auto" w:fill="F5F7F9"/>
          </w:tcPr>
          <w:p>
            <w:pPr>
              <w:spacing w:after="0"/>
            </w:pPr>
            <w:r>
              <w:rPr>
                <w:rFonts w:ascii="Calibri" w:hAnsi="Calibri"/>
                <w:b w:val="0"/>
                <w:i w:val="0"/>
                <w:color w:val="1A1A19"/>
                <w:sz w:val="17"/>
              </w:rPr>
              <w:t>Net annual cash flow</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1,708,073</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2,249,618</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532,306</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623,207</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654,361</w:t>
            </w:r>
          </w:p>
        </w:tc>
      </w:tr>
      <w:tr>
        <w:tc>
          <w:tcPr>
            <w:tcW w:type="dxa" w:w="3384"/>
            <w:tcMar>
              <w:top w:w="60" w:type="dxa"/>
              <w:bottom w:w="60" w:type="dxa"/>
              <w:start w:w="110" w:type="dxa"/>
              <w:end w:w="110" w:type="dxa"/>
            </w:tcMar>
            <w:shd w:val="clear" w:color="auto" w:fill="E9EDF0"/>
          </w:tcPr>
          <w:p>
            <w:pPr>
              <w:spacing w:after="0"/>
            </w:pPr>
            <w:r>
              <w:rPr>
                <w:rFonts w:ascii="Calibri" w:hAnsi="Calibri"/>
                <w:b/>
                <w:i w:val="0"/>
                <w:color w:val="0F2942"/>
                <w:sz w:val="17"/>
              </w:rPr>
              <w:t>Closing cash position</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1,708,073</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3,957,691</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4,489,997</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5,113,204</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5,767,565</w:t>
            </w:r>
          </w:p>
        </w:tc>
      </w:tr>
    </w:tbl>
    <w:p>
      <w:pPr>
        <w:spacing w:after="40"/>
      </w:pP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Credit-powered growth — </w:t>
      </w:r>
      <w:r>
        <w:rPr>
          <w:rFonts w:ascii="Calibri" w:hAnsi="Calibri"/>
          <w:b w:val="0"/>
          <w:i w:val="0"/>
          <w:color w:val="1A1A19"/>
          <w:sz w:val="21"/>
        </w:rPr>
        <w:t>Sinosure-backed supplier credit (10% down + 90% at 3-month credit) carries ~22.5% of each year's purchases into the next year. Closing cash rises every year even while distributing 100% of profits — no capital call after Tranche 2.</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Risk stated plainly — </w:t>
      </w:r>
      <w:r>
        <w:rPr>
          <w:rFonts w:ascii="Calibri" w:hAnsi="Calibri"/>
          <w:b w:val="0"/>
          <w:i w:val="0"/>
          <w:color w:val="1A1A19"/>
          <w:sz w:val="21"/>
        </w:rPr>
        <w:t>Year 1 depends on the raise: the peak self-funded deficit is USD 915,603 in January 2027, and minimum cash with the raise is USD 84,397 — a thin buffer that the optional accelerator widens. This is a working-capital risk, not a demand risk.</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Diligence note — </w:t>
      </w:r>
      <w:r>
        <w:rPr>
          <w:rFonts w:ascii="Calibri" w:hAnsi="Calibri"/>
          <w:b w:val="0"/>
          <w:i w:val="0"/>
          <w:color w:val="1A1A19"/>
          <w:sz w:val="21"/>
        </w:rPr>
        <w:t>export sales are booked at a 50% product-cost margin per the founder's negotiated supply pricing. An investor comparing the USD 342,316 landed container cost to the USD 393,861 wholesale container price should confirm this margin in the supply agreement; at standard wholesale pricing the export margin is ~13% and Year-5 net profit rebases accordingly.</w:t>
      </w:r>
    </w:p>
    <w:p>
      <w:r>
        <w:br w:type="page"/>
      </w:r>
    </w:p>
    <w:p>
      <w:pPr>
        <w:keepNext/>
        <w:spacing w:before="320" w:after="160"/>
        <w:pBdr>
          <w:bottom w:val="single" w:sz="6" w:space="4" w:color="0F2942"/>
        </w:pBdr>
      </w:pPr>
      <w:r>
        <w:rPr>
          <w:rFonts w:ascii="Calibri" w:hAnsi="Calibri"/>
          <w:b/>
          <w:i w:val="0"/>
          <w:color w:val="C8892A"/>
          <w:sz w:val="30"/>
        </w:rPr>
        <w:t xml:space="preserve">7   </w:t>
      </w:r>
      <w:r>
        <w:rPr>
          <w:rFonts w:ascii="Calibri" w:hAnsi="Calibri"/>
          <w:b/>
          <w:i w:val="0"/>
          <w:color w:val="0F2942"/>
          <w:sz w:val="30"/>
        </w:rPr>
        <w:t>Staffing Plan</w:t>
      </w:r>
    </w:p>
    <w:p>
      <w:pPr>
        <w:spacing w:after="160" w:before="0"/>
      </w:pPr>
      <w:r>
        <w:rPr>
          <w:rFonts w:ascii="Calibri" w:hAnsi="Calibri"/>
          <w:b w:val="0"/>
          <w:i w:val="0"/>
          <w:color w:val="1A1A19"/>
          <w:sz w:val="21"/>
        </w:rPr>
        <w:t>Institutional management from day one: CEO, Financial Manager and Operations Manager in Month 1, Sales Manager in Month 2, Marketing and HR in Month 3. Two showroom managers run 6th October and New Cairo. Headcount reaches 21 by Month 12 and 55 by Year 5. Sales staff earn salary plus 4% commission on Egypt sales; social insurance at 15% of base is included.</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6192"/>
            <w:shd w:val="clear" w:color="auto" w:fill="0F2942"/>
            <w:tcMar>
              <w:top w:w="60" w:type="dxa"/>
              <w:bottom w:w="60" w:type="dxa"/>
              <w:start w:w="110" w:type="dxa"/>
              <w:end w:w="110" w:type="dxa"/>
            </w:tcMar>
          </w:tcPr>
          <w:p>
            <w:pPr>
              <w:spacing w:after="0"/>
            </w:pPr>
            <w:r>
              <w:rPr>
                <w:rFonts w:ascii="Calibri" w:hAnsi="Calibri"/>
                <w:b/>
                <w:i w:val="0"/>
                <w:color w:val="FFFFFF"/>
                <w:sz w:val="18"/>
              </w:rPr>
              <w:t>Year &amp; additions</w:t>
            </w:r>
          </w:p>
        </w:tc>
        <w:tc>
          <w:tcPr>
            <w:tcW w:type="dxa" w:w="1440"/>
            <w:shd w:val="clear" w:color="auto" w:fill="0F2942"/>
            <w:tcMar>
              <w:top w:w="60" w:type="dxa"/>
              <w:bottom w:w="60" w:type="dxa"/>
              <w:start w:w="110" w:type="dxa"/>
              <w:end w:w="110" w:type="dxa"/>
            </w:tcMar>
          </w:tcPr>
          <w:p>
            <w:pPr>
              <w:spacing w:after="0"/>
              <w:jc w:val="right"/>
            </w:pPr>
            <w:r>
              <w:rPr>
                <w:rFonts w:ascii="Calibri" w:hAnsi="Calibri"/>
                <w:b/>
                <w:i w:val="0"/>
                <w:color w:val="FFFFFF"/>
                <w:sz w:val="18"/>
              </w:rPr>
              <w:t>Headcount</w:t>
            </w:r>
          </w:p>
        </w:tc>
        <w:tc>
          <w:tcPr>
            <w:tcW w:type="dxa" w:w="2304"/>
            <w:shd w:val="clear" w:color="auto" w:fill="0F2942"/>
            <w:tcMar>
              <w:top w:w="60" w:type="dxa"/>
              <w:bottom w:w="60" w:type="dxa"/>
              <w:start w:w="110" w:type="dxa"/>
              <w:end w:w="110" w:type="dxa"/>
            </w:tcMar>
          </w:tcPr>
          <w:p>
            <w:pPr>
              <w:spacing w:after="0"/>
              <w:jc w:val="right"/>
            </w:pPr>
            <w:r>
              <w:rPr>
                <w:rFonts w:ascii="Calibri" w:hAnsi="Calibri"/>
                <w:b/>
                <w:i w:val="0"/>
                <w:color w:val="FFFFFF"/>
                <w:sz w:val="18"/>
              </w:rPr>
              <w:t>Personnel cost (USD)</w:t>
            </w:r>
          </w:p>
        </w:tc>
      </w:tr>
      <w:tr>
        <w:tc>
          <w:tcPr>
            <w:tcW w:type="dxa" w:w="6192"/>
            <w:tcMar>
              <w:top w:w="60" w:type="dxa"/>
              <w:bottom w:w="60" w:type="dxa"/>
              <w:start w:w="110" w:type="dxa"/>
              <w:end w:w="110" w:type="dxa"/>
            </w:tcMar>
          </w:tcPr>
          <w:p>
            <w:pPr>
              <w:spacing w:after="0"/>
            </w:pPr>
            <w:r>
              <w:rPr>
                <w:rFonts w:ascii="Calibri" w:hAnsi="Calibri"/>
                <w:b w:val="0"/>
                <w:i w:val="0"/>
                <w:color w:val="1A1A19"/>
                <w:sz w:val="18"/>
              </w:rPr>
              <w:t>Year 1 — launch team (CEO, managers, 2 showrooms, warehouse, 4 sales, drivers)</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21</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8"/>
              </w:rPr>
              <w:t>496,014</w:t>
            </w:r>
          </w:p>
        </w:tc>
      </w:tr>
      <w:tr>
        <w:tc>
          <w:tcPr>
            <w:tcW w:type="dxa" w:w="6192"/>
            <w:tcMar>
              <w:top w:w="60" w:type="dxa"/>
              <w:bottom w:w="60" w:type="dxa"/>
              <w:start w:w="110" w:type="dxa"/>
              <w:end w:w="110" w:type="dxa"/>
            </w:tcMar>
            <w:shd w:val="clear" w:color="auto" w:fill="F5F7F9"/>
          </w:tcPr>
          <w:p>
            <w:pPr>
              <w:spacing w:after="0"/>
            </w:pPr>
            <w:r>
              <w:rPr>
                <w:rFonts w:ascii="Calibri" w:hAnsi="Calibri"/>
                <w:b w:val="0"/>
                <w:i w:val="0"/>
                <w:color w:val="1A1A19"/>
                <w:sz w:val="18"/>
              </w:rPr>
              <w:t>Year 2 — + logistics coordinator, customer service, technical specialist, 2 sales</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26</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625,715</w:t>
            </w:r>
          </w:p>
        </w:tc>
      </w:tr>
      <w:tr>
        <w:tc>
          <w:tcPr>
            <w:tcW w:type="dxa" w:w="6192"/>
            <w:tcMar>
              <w:top w:w="60" w:type="dxa"/>
              <w:bottom w:w="60" w:type="dxa"/>
              <w:start w:w="110" w:type="dxa"/>
              <w:end w:w="110" w:type="dxa"/>
            </w:tcMar>
          </w:tcPr>
          <w:p>
            <w:pPr>
              <w:spacing w:after="0"/>
            </w:pPr>
            <w:r>
              <w:rPr>
                <w:rFonts w:ascii="Calibri" w:hAnsi="Calibri"/>
                <w:b w:val="0"/>
                <w:i w:val="0"/>
                <w:color w:val="1A1A19"/>
                <w:sz w:val="18"/>
              </w:rPr>
              <w:t>Year 3 — + Alexandria branch, installation engineers, analysts</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35</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8"/>
              </w:rPr>
              <w:t>788,670</w:t>
            </w:r>
          </w:p>
        </w:tc>
      </w:tr>
      <w:tr>
        <w:tc>
          <w:tcPr>
            <w:tcW w:type="dxa" w:w="6192"/>
            <w:tcMar>
              <w:top w:w="60" w:type="dxa"/>
              <w:bottom w:w="60" w:type="dxa"/>
              <w:start w:w="110" w:type="dxa"/>
              <w:end w:w="110" w:type="dxa"/>
            </w:tcMar>
            <w:shd w:val="clear" w:color="auto" w:fill="F5F7F9"/>
          </w:tcPr>
          <w:p>
            <w:pPr>
              <w:spacing w:after="0"/>
            </w:pPr>
            <w:r>
              <w:rPr>
                <w:rFonts w:ascii="Calibri" w:hAnsi="Calibri"/>
                <w:b w:val="0"/>
                <w:i w:val="0"/>
                <w:color w:val="1A1A19"/>
                <w:sz w:val="18"/>
              </w:rPr>
              <w:t>Year 4 — + B2G/tenders, C&amp;I sales desk, IT/CRM, Sudan coordinator</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44</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973,176</w:t>
            </w:r>
          </w:p>
        </w:tc>
      </w:tr>
      <w:tr>
        <w:tc>
          <w:tcPr>
            <w:tcW w:type="dxa" w:w="6192"/>
            <w:tcMar>
              <w:top w:w="60" w:type="dxa"/>
              <w:bottom w:w="60" w:type="dxa"/>
              <w:start w:w="110" w:type="dxa"/>
              <w:end w:w="110" w:type="dxa"/>
            </w:tcMar>
          </w:tcPr>
          <w:p>
            <w:pPr>
              <w:spacing w:after="0"/>
            </w:pPr>
            <w:r>
              <w:rPr>
                <w:rFonts w:ascii="Calibri" w:hAnsi="Calibri"/>
                <w:b w:val="0"/>
                <w:i w:val="0"/>
                <w:color w:val="1A1A19"/>
                <w:sz w:val="18"/>
              </w:rPr>
              <w:t>Year 5 — + Libya market manager, field engineers, compliance (senior raises applied)</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55</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8"/>
              </w:rPr>
              <w:t>1,298,912</w:t>
            </w:r>
          </w:p>
        </w:tc>
      </w:tr>
    </w:tbl>
    <w:p>
      <w:pPr>
        <w:spacing w:after="40"/>
      </w:pPr>
    </w:p>
    <w:p>
      <w:pPr>
        <w:spacing w:after="120" w:before="0"/>
      </w:pPr>
      <w:r>
        <w:rPr>
          <w:rFonts w:ascii="Calibri" w:hAnsi="Calibri"/>
          <w:b w:val="0"/>
          <w:i/>
          <w:color w:val="5C5B57"/>
          <w:sz w:val="18"/>
        </w:rPr>
        <w:t>Full role-by-role rosters with salaries and start months are in the Staff Plan sheet of the companion workbook. Personnel cost includes base salaries, 15% benefits and 4% Egypt sales commissions.</w:t>
      </w:r>
    </w:p>
    <w:p>
      <w:pPr>
        <w:keepNext/>
        <w:spacing w:before="320" w:after="160"/>
        <w:pBdr>
          <w:bottom w:val="single" w:sz="6" w:space="4" w:color="0F2942"/>
        </w:pBdr>
      </w:pPr>
      <w:r>
        <w:rPr>
          <w:rFonts w:ascii="Calibri" w:hAnsi="Calibri"/>
          <w:b/>
          <w:i w:val="0"/>
          <w:color w:val="C8892A"/>
          <w:sz w:val="30"/>
        </w:rPr>
        <w:t xml:space="preserve">8   </w:t>
      </w:r>
      <w:r>
        <w:rPr>
          <w:rFonts w:ascii="Calibri" w:hAnsi="Calibri"/>
          <w:b/>
          <w:i w:val="0"/>
          <w:color w:val="0F2942"/>
          <w:sz w:val="30"/>
        </w:rPr>
        <w:t>Funding Requirements &amp; Investor Proposal</w:t>
      </w:r>
    </w:p>
    <w:p>
      <w:pPr>
        <w:keepNext/>
        <w:spacing w:before="220" w:after="80"/>
      </w:pPr>
      <w:r>
        <w:rPr>
          <w:rFonts w:ascii="Calibri" w:hAnsi="Calibri"/>
          <w:b/>
          <w:i w:val="0"/>
          <w:color w:val="0F6E6A"/>
          <w:sz w:val="24"/>
        </w:rPr>
        <w:t>8.1  The ask</w:t>
      </w:r>
    </w:p>
    <w:p>
      <w:pPr>
        <w:spacing w:after="120" w:before="0"/>
      </w:pPr>
      <w:r>
        <w:rPr>
          <w:rFonts w:ascii="Calibri" w:hAnsi="Calibri"/>
          <w:b w:val="0"/>
          <w:i w:val="0"/>
          <w:color w:val="1A1A19"/>
          <w:sz w:val="21"/>
        </w:rPr>
        <w:t>USD 1,000,000 into NORCO Egypt for 50% of its shares, released in two milestone-gated tranches of USD 500,000. An optional USD 500,000 accelerator (by mutual agreement, Months 6–12) lifts the ceiling to USD 1.5M — adding standing buffer and pulling Libya and Algeria volumes forward.</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2412"/>
        <w:gridCol w:w="2412"/>
        <w:gridCol w:w="2412"/>
        <w:gridCol w:w="2412"/>
      </w:tblGrid>
      <w:tr>
        <w:tc>
          <w:tcPr>
            <w:tcW w:type="dxa" w:w="1944"/>
            <w:shd w:val="clear" w:color="auto" w:fill="0F2942"/>
            <w:tcMar>
              <w:top w:w="60" w:type="dxa"/>
              <w:bottom w:w="60" w:type="dxa"/>
              <w:start w:w="110" w:type="dxa"/>
              <w:end w:w="110" w:type="dxa"/>
            </w:tcMar>
          </w:tcPr>
          <w:p>
            <w:pPr>
              <w:spacing w:after="0"/>
            </w:pPr>
            <w:r>
              <w:rPr>
                <w:rFonts w:ascii="Calibri" w:hAnsi="Calibri"/>
                <w:b/>
                <w:i w:val="0"/>
                <w:color w:val="FFFFFF"/>
                <w:sz w:val="17"/>
              </w:rPr>
              <w:t>Tranche</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USD</w:t>
            </w:r>
          </w:p>
        </w:tc>
        <w:tc>
          <w:tcPr>
            <w:tcW w:type="dxa" w:w="2592"/>
            <w:shd w:val="clear" w:color="auto" w:fill="0F2942"/>
            <w:tcMar>
              <w:top w:w="60" w:type="dxa"/>
              <w:bottom w:w="60" w:type="dxa"/>
              <w:start w:w="110" w:type="dxa"/>
              <w:end w:w="110" w:type="dxa"/>
            </w:tcMar>
          </w:tcPr>
          <w:p>
            <w:pPr>
              <w:spacing w:after="0"/>
              <w:jc w:val="right"/>
            </w:pPr>
            <w:r>
              <w:rPr>
                <w:rFonts w:ascii="Calibri" w:hAnsi="Calibri"/>
                <w:b/>
                <w:i w:val="0"/>
                <w:color w:val="FFFFFF"/>
                <w:sz w:val="17"/>
              </w:rPr>
              <w:t>Timing</w:t>
            </w:r>
          </w:p>
        </w:tc>
        <w:tc>
          <w:tcPr>
            <w:tcW w:type="dxa" w:w="4176"/>
            <w:shd w:val="clear" w:color="auto" w:fill="0F2942"/>
            <w:tcMar>
              <w:top w:w="60" w:type="dxa"/>
              <w:bottom w:w="60" w:type="dxa"/>
              <w:start w:w="110" w:type="dxa"/>
              <w:end w:w="110" w:type="dxa"/>
            </w:tcMar>
          </w:tcPr>
          <w:p>
            <w:pPr>
              <w:spacing w:after="0"/>
              <w:jc w:val="right"/>
            </w:pPr>
            <w:r>
              <w:rPr>
                <w:rFonts w:ascii="Calibri" w:hAnsi="Calibri"/>
                <w:b/>
                <w:i w:val="0"/>
                <w:color w:val="FFFFFF"/>
                <w:sz w:val="17"/>
              </w:rPr>
              <w:t>Purpose / gate</w:t>
            </w:r>
          </w:p>
        </w:tc>
      </w:tr>
      <w:tr>
        <w:tc>
          <w:tcPr>
            <w:tcW w:type="dxa" w:w="1944"/>
            <w:tcMar>
              <w:top w:w="60" w:type="dxa"/>
              <w:bottom w:w="60" w:type="dxa"/>
              <w:start w:w="110" w:type="dxa"/>
              <w:end w:w="110" w:type="dxa"/>
            </w:tcMar>
          </w:tcPr>
          <w:p>
            <w:pPr>
              <w:spacing w:after="0"/>
            </w:pPr>
            <w:r>
              <w:rPr>
                <w:rFonts w:ascii="Calibri" w:hAnsi="Calibri"/>
                <w:b w:val="0"/>
                <w:i w:val="0"/>
                <w:color w:val="1A1A19"/>
                <w:sz w:val="17"/>
              </w:rPr>
              <w:t>Tranche 1 — Launch</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500,000</w:t>
            </w:r>
          </w:p>
        </w:tc>
        <w:tc>
          <w:tcPr>
            <w:tcW w:type="dxa" w:w="2592"/>
            <w:tcMar>
              <w:top w:w="60" w:type="dxa"/>
              <w:bottom w:w="60" w:type="dxa"/>
              <w:start w:w="110" w:type="dxa"/>
              <w:end w:w="110" w:type="dxa"/>
            </w:tcMar>
          </w:tcPr>
          <w:p>
            <w:pPr>
              <w:spacing w:after="0"/>
              <w:jc w:val="right"/>
            </w:pPr>
            <w:r>
              <w:rPr>
                <w:rFonts w:ascii="Calibri" w:hAnsi="Calibri"/>
                <w:b w:val="0"/>
                <w:i w:val="0"/>
                <w:color w:val="1A1A19"/>
                <w:sz w:val="17"/>
              </w:rPr>
              <w:t>Month 1 (Aug-26, at close)</w:t>
            </w:r>
          </w:p>
        </w:tc>
        <w:tc>
          <w:tcPr>
            <w:tcW w:type="dxa" w:w="4176"/>
            <w:tcMar>
              <w:top w:w="60" w:type="dxa"/>
              <w:bottom w:w="60" w:type="dxa"/>
              <w:start w:w="110" w:type="dxa"/>
              <w:end w:w="110" w:type="dxa"/>
            </w:tcMar>
          </w:tcPr>
          <w:p>
            <w:pPr>
              <w:spacing w:after="0"/>
              <w:jc w:val="right"/>
            </w:pPr>
            <w:r>
              <w:rPr>
                <w:rFonts w:ascii="Calibri" w:hAnsi="Calibri"/>
                <w:b w:val="0"/>
                <w:i w:val="0"/>
                <w:color w:val="1A1A19"/>
                <w:sz w:val="17"/>
              </w:rPr>
              <w:t>First Vestwoods containers (Sinosure credit approved), setup, opex runway</w:t>
            </w:r>
          </w:p>
        </w:tc>
      </w:tr>
      <w:tr>
        <w:tc>
          <w:tcPr>
            <w:tcW w:type="dxa" w:w="1944"/>
            <w:tcMar>
              <w:top w:w="60" w:type="dxa"/>
              <w:bottom w:w="60" w:type="dxa"/>
              <w:start w:w="110" w:type="dxa"/>
              <w:end w:w="110" w:type="dxa"/>
            </w:tcMar>
            <w:shd w:val="clear" w:color="auto" w:fill="F5F7F9"/>
          </w:tcPr>
          <w:p>
            <w:pPr>
              <w:spacing w:after="0"/>
            </w:pPr>
            <w:r>
              <w:rPr>
                <w:rFonts w:ascii="Calibri" w:hAnsi="Calibri"/>
                <w:b w:val="0"/>
                <w:i w:val="0"/>
                <w:color w:val="1A1A19"/>
                <w:sz w:val="17"/>
              </w:rPr>
              <w:t>Tranche 2 — Scale</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500,000</w:t>
            </w:r>
          </w:p>
        </w:tc>
        <w:tc>
          <w:tcPr>
            <w:tcW w:type="dxa" w:w="259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Month 4 (Nov-26), milestone-gated</w:t>
            </w:r>
          </w:p>
        </w:tc>
        <w:tc>
          <w:tcPr>
            <w:tcW w:type="dxa" w:w="417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Released on ≥3 containers sold through + Sudan advances received; funds container waves 4–13</w:t>
            </w:r>
          </w:p>
        </w:tc>
      </w:tr>
      <w:tr>
        <w:tc>
          <w:tcPr>
            <w:tcW w:type="dxa" w:w="1944"/>
            <w:tcMar>
              <w:top w:w="60" w:type="dxa"/>
              <w:bottom w:w="60" w:type="dxa"/>
              <w:start w:w="110" w:type="dxa"/>
              <w:end w:w="110" w:type="dxa"/>
            </w:tcMar>
          </w:tcPr>
          <w:p>
            <w:pPr>
              <w:spacing w:after="0"/>
            </w:pPr>
            <w:r>
              <w:rPr>
                <w:rFonts w:ascii="Calibri" w:hAnsi="Calibri"/>
                <w:b w:val="0"/>
                <w:i w:val="0"/>
                <w:color w:val="1A1A19"/>
                <w:sz w:val="17"/>
              </w:rPr>
              <w:t>Optional accelerator</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500,000</w:t>
            </w:r>
          </w:p>
        </w:tc>
        <w:tc>
          <w:tcPr>
            <w:tcW w:type="dxa" w:w="2592"/>
            <w:tcMar>
              <w:top w:w="60" w:type="dxa"/>
              <w:bottom w:w="60" w:type="dxa"/>
              <w:start w:w="110" w:type="dxa"/>
              <w:end w:w="110" w:type="dxa"/>
            </w:tcMar>
          </w:tcPr>
          <w:p>
            <w:pPr>
              <w:spacing w:after="0"/>
              <w:jc w:val="right"/>
            </w:pPr>
            <w:r>
              <w:rPr>
                <w:rFonts w:ascii="Calibri" w:hAnsi="Calibri"/>
                <w:b w:val="0"/>
                <w:i w:val="0"/>
                <w:color w:val="1A1A19"/>
                <w:sz w:val="17"/>
              </w:rPr>
              <w:t>Months 6–12, by mutual agreement</w:t>
            </w:r>
          </w:p>
        </w:tc>
        <w:tc>
          <w:tcPr>
            <w:tcW w:type="dxa" w:w="4176"/>
            <w:tcMar>
              <w:top w:w="60" w:type="dxa"/>
              <w:bottom w:w="60" w:type="dxa"/>
              <w:start w:w="110" w:type="dxa"/>
              <w:end w:w="110" w:type="dxa"/>
            </w:tcMar>
          </w:tcPr>
          <w:p>
            <w:pPr>
              <w:spacing w:after="0"/>
              <w:jc w:val="right"/>
            </w:pPr>
            <w:r>
              <w:rPr>
                <w:rFonts w:ascii="Calibri" w:hAnsi="Calibri"/>
                <w:b w:val="0"/>
                <w:i w:val="0"/>
                <w:color w:val="1A1A19"/>
                <w:sz w:val="17"/>
              </w:rPr>
              <w:t>Standing buffer / faster Libya &amp; Algeria ramp; brings total to the USD 1.5M ceiling</w:t>
            </w:r>
          </w:p>
        </w:tc>
      </w:tr>
      <w:tr>
        <w:tc>
          <w:tcPr>
            <w:tcW w:type="dxa" w:w="1944"/>
            <w:tcMar>
              <w:top w:w="60" w:type="dxa"/>
              <w:bottom w:w="60" w:type="dxa"/>
              <w:start w:w="110" w:type="dxa"/>
              <w:end w:w="110" w:type="dxa"/>
            </w:tcMar>
            <w:shd w:val="clear" w:color="auto" w:fill="E9EDF0"/>
          </w:tcPr>
          <w:p>
            <w:pPr>
              <w:spacing w:after="0"/>
            </w:pPr>
            <w:r>
              <w:rPr>
                <w:rFonts w:ascii="Calibri" w:hAnsi="Calibri"/>
                <w:b/>
                <w:i w:val="0"/>
                <w:color w:val="0F2942"/>
                <w:sz w:val="17"/>
              </w:rPr>
              <w:t>Core total (T1 + T2)</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1,000,000</w:t>
            </w:r>
          </w:p>
        </w:tc>
        <w:tc>
          <w:tcPr>
            <w:tcW w:type="dxa" w:w="2592"/>
            <w:tcMar>
              <w:top w:w="60" w:type="dxa"/>
              <w:bottom w:w="60" w:type="dxa"/>
              <w:start w:w="110" w:type="dxa"/>
              <w:end w:w="110" w:type="dxa"/>
            </w:tcMar>
            <w:shd w:val="clear" w:color="auto" w:fill="E9EDF0"/>
          </w:tcPr>
          <w:p>
            <w:pPr>
              <w:spacing w:after="0"/>
              <w:jc w:val="right"/>
            </w:pPr>
            <w:r>
              <w:rPr>
                <w:rFonts w:ascii="Calibri" w:hAnsi="Calibri"/>
                <w:b/>
                <w:i w:val="0"/>
                <w:color w:val="0F2942"/>
                <w:sz w:val="17"/>
              </w:rPr>
            </w:r>
          </w:p>
        </w:tc>
        <w:tc>
          <w:tcPr>
            <w:tcW w:type="dxa" w:w="4176"/>
            <w:tcMar>
              <w:top w:w="60" w:type="dxa"/>
              <w:bottom w:w="60" w:type="dxa"/>
              <w:start w:w="110" w:type="dxa"/>
              <w:end w:w="110" w:type="dxa"/>
            </w:tcMar>
            <w:shd w:val="clear" w:color="auto" w:fill="E9EDF0"/>
          </w:tcPr>
          <w:p>
            <w:pPr>
              <w:spacing w:after="0"/>
              <w:jc w:val="right"/>
            </w:pPr>
            <w:r>
              <w:rPr>
                <w:rFonts w:ascii="Calibri" w:hAnsi="Calibri"/>
                <w:b/>
                <w:i w:val="0"/>
                <w:color w:val="0F2942"/>
                <w:sz w:val="17"/>
              </w:rPr>
            </w:r>
          </w:p>
        </w:tc>
      </w:tr>
    </w:tbl>
    <w:p>
      <w:pPr>
        <w:spacing w:after="40"/>
      </w:pPr>
    </w:p>
    <w:p>
      <w:pPr>
        <w:jc w:val="center"/>
      </w:pPr>
      <w:r>
        <w:drawing>
          <wp:inline xmlns:a="http://schemas.openxmlformats.org/drawingml/2006/main" xmlns:pic="http://schemas.openxmlformats.org/drawingml/2006/picture">
            <wp:extent cx="4023360" cy="5055288"/>
            <wp:docPr id="6" name="Picture 6"/>
            <wp:cNvGraphicFramePr>
              <a:graphicFrameLocks noChangeAspect="1"/>
            </wp:cNvGraphicFramePr>
            <a:graphic>
              <a:graphicData uri="http://schemas.openxmlformats.org/drawingml/2006/picture">
                <pic:pic>
                  <pic:nvPicPr>
                    <pic:cNvPr id="0" name="use_of_funds.png"/>
                    <pic:cNvPicPr/>
                  </pic:nvPicPr>
                  <pic:blipFill>
                    <a:blip r:embed="rId15"/>
                    <a:stretch>
                      <a:fillRect/>
                    </a:stretch>
                  </pic:blipFill>
                  <pic:spPr>
                    <a:xfrm>
                      <a:off x="0" y="0"/>
                      <a:ext cx="4023360" cy="5055288"/>
                    </a:xfrm>
                    <a:prstGeom prst="rect"/>
                  </pic:spPr>
                </pic:pic>
              </a:graphicData>
            </a:graphic>
          </wp:inline>
        </w:drawing>
      </w:r>
    </w:p>
    <w:p>
      <w:pPr>
        <w:keepNext/>
        <w:spacing w:before="220" w:after="80"/>
      </w:pPr>
      <w:r>
        <w:rPr>
          <w:rFonts w:ascii="Calibri" w:hAnsi="Calibri"/>
          <w:b/>
          <w:i w:val="0"/>
          <w:color w:val="0F6E6A"/>
          <w:sz w:val="24"/>
        </w:rPr>
        <w:t>8.2  Investor returns</w:t>
      </w:r>
    </w:p>
    <w:p>
      <w:pPr>
        <w:spacing w:after="120" w:before="0"/>
      </w:pPr>
      <w:r>
        <w:rPr>
          <w:rFonts w:ascii="Calibri" w:hAnsi="Calibri"/>
          <w:b w:val="0"/>
          <w:i w:val="0"/>
          <w:color w:val="1A1A19"/>
          <w:sz w:val="21"/>
        </w:rPr>
        <w:t>Dividend policy: 100% of net profit distributed annually in arrears — the investor receives half of every distribution: USD 3,408,508 over the five-year window, 3.4x the capital from dividends alone (40% IRR). Valuing the retained 50% stake at 5× Year-5 net profit adds USD 6,554,947 of terminal value, lifting the total return to 10.0x (69% IRR):</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378"/>
        <w:gridCol w:w="1378"/>
        <w:gridCol w:w="1378"/>
        <w:gridCol w:w="1378"/>
        <w:gridCol w:w="1378"/>
        <w:gridCol w:w="1378"/>
        <w:gridCol w:w="1378"/>
      </w:tblGrid>
      <w:tr>
        <w:tc>
          <w:tcPr>
            <w:tcW w:type="dxa" w:w="3096"/>
            <w:shd w:val="clear" w:color="auto" w:fill="0F2942"/>
            <w:tcMar>
              <w:top w:w="60" w:type="dxa"/>
              <w:bottom w:w="60" w:type="dxa"/>
              <w:start w:w="110" w:type="dxa"/>
              <w:end w:w="110" w:type="dxa"/>
            </w:tcMar>
          </w:tcPr>
          <w:p>
            <w:pPr>
              <w:spacing w:after="0"/>
            </w:pPr>
            <w:r>
              <w:rPr>
                <w:rFonts w:ascii="Calibri" w:hAnsi="Calibri"/>
                <w:b/>
                <w:i w:val="0"/>
                <w:color w:val="FFFFFF"/>
                <w:sz w:val="17"/>
              </w:rPr>
              <w:t>USD</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Y0</w:t>
            </w:r>
          </w:p>
        </w:tc>
        <w:tc>
          <w:tcPr>
            <w:tcW w:type="dxa" w:w="79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Y1</w:t>
            </w:r>
          </w:p>
        </w:tc>
        <w:tc>
          <w:tcPr>
            <w:tcW w:type="dxa" w:w="108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Y2</w:t>
            </w:r>
          </w:p>
        </w:tc>
        <w:tc>
          <w:tcPr>
            <w:tcW w:type="dxa" w:w="108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Y3</w:t>
            </w:r>
          </w:p>
        </w:tc>
        <w:tc>
          <w:tcPr>
            <w:tcW w:type="dxa" w:w="108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Y4</w:t>
            </w:r>
          </w:p>
        </w:tc>
        <w:tc>
          <w:tcPr>
            <w:tcW w:type="dxa" w:w="1584"/>
            <w:shd w:val="clear" w:color="auto" w:fill="0F2942"/>
            <w:tcMar>
              <w:top w:w="60" w:type="dxa"/>
              <w:bottom w:w="60" w:type="dxa"/>
              <w:start w:w="110" w:type="dxa"/>
              <w:end w:w="110" w:type="dxa"/>
            </w:tcMar>
          </w:tcPr>
          <w:p>
            <w:pPr>
              <w:spacing w:after="0"/>
              <w:jc w:val="right"/>
            </w:pPr>
            <w:r>
              <w:rPr>
                <w:rFonts w:ascii="Calibri" w:hAnsi="Calibri"/>
                <w:b/>
                <w:i w:val="0"/>
                <w:color w:val="FFFFFF"/>
                <w:sz w:val="17"/>
              </w:rPr>
              <w:t>Y5</w:t>
            </w:r>
          </w:p>
        </w:tc>
      </w:tr>
      <w:tr>
        <w:tc>
          <w:tcPr>
            <w:tcW w:type="dxa" w:w="3096"/>
            <w:tcMar>
              <w:top w:w="60" w:type="dxa"/>
              <w:bottom w:w="60" w:type="dxa"/>
              <w:start w:w="110" w:type="dxa"/>
              <w:end w:w="110" w:type="dxa"/>
            </w:tcMar>
          </w:tcPr>
          <w:p>
            <w:pPr>
              <w:spacing w:after="0"/>
            </w:pPr>
            <w:r>
              <w:rPr>
                <w:rFonts w:ascii="Calibri" w:hAnsi="Calibri"/>
                <w:b w:val="0"/>
                <w:i w:val="0"/>
                <w:color w:val="1A1A19"/>
                <w:sz w:val="17"/>
              </w:rPr>
              <w:t>Capital invested</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(1,000,000)</w:t>
            </w:r>
          </w:p>
        </w:tc>
        <w:tc>
          <w:tcPr>
            <w:tcW w:type="dxa" w:w="792"/>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584"/>
            <w:tcMar>
              <w:top w:w="60" w:type="dxa"/>
              <w:bottom w:w="60" w:type="dxa"/>
              <w:start w:w="110" w:type="dxa"/>
              <w:end w:w="110" w:type="dxa"/>
            </w:tcMar>
          </w:tcPr>
          <w:p>
            <w:pPr>
              <w:spacing w:after="0"/>
              <w:jc w:val="right"/>
            </w:pPr>
            <w:r>
              <w:rPr>
                <w:rFonts w:ascii="Calibri" w:hAnsi="Calibri"/>
                <w:b w:val="0"/>
                <w:i w:val="0"/>
                <w:color w:val="1A1A19"/>
                <w:sz w:val="17"/>
              </w:rPr>
              <w:t>—</w:t>
            </w:r>
          </w:p>
        </w:tc>
      </w:tr>
      <w:tr>
        <w:tc>
          <w:tcPr>
            <w:tcW w:type="dxa" w:w="3096"/>
            <w:tcMar>
              <w:top w:w="60" w:type="dxa"/>
              <w:bottom w:w="60" w:type="dxa"/>
              <w:start w:w="110" w:type="dxa"/>
              <w:end w:w="110" w:type="dxa"/>
            </w:tcMar>
            <w:shd w:val="clear" w:color="auto" w:fill="F5F7F9"/>
          </w:tcPr>
          <w:p>
            <w:pPr>
              <w:spacing w:after="0"/>
            </w:pPr>
            <w:r>
              <w:rPr>
                <w:rFonts w:ascii="Calibri" w:hAnsi="Calibri"/>
                <w:b w:val="0"/>
                <w:i w:val="0"/>
                <w:color w:val="1A1A19"/>
                <w:sz w:val="17"/>
              </w:rPr>
              <w:t>Dividends (50% of prior-year NP)</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79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448,876</w:t>
            </w:r>
          </w:p>
        </w:tc>
        <w:tc>
          <w:tcPr>
            <w:tcW w:type="dxa" w:w="108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832,959</w:t>
            </w:r>
          </w:p>
        </w:tc>
        <w:tc>
          <w:tcPr>
            <w:tcW w:type="dxa" w:w="108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978,931</w:t>
            </w:r>
          </w:p>
        </w:tc>
        <w:tc>
          <w:tcPr>
            <w:tcW w:type="dxa" w:w="158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1,147,742</w:t>
            </w:r>
          </w:p>
        </w:tc>
      </w:tr>
      <w:tr>
        <w:tc>
          <w:tcPr>
            <w:tcW w:type="dxa" w:w="3096"/>
            <w:tcMar>
              <w:top w:w="60" w:type="dxa"/>
              <w:bottom w:w="60" w:type="dxa"/>
              <w:start w:w="110" w:type="dxa"/>
              <w:end w:w="110" w:type="dxa"/>
            </w:tcMar>
          </w:tcPr>
          <w:p>
            <w:pPr>
              <w:spacing w:after="0"/>
            </w:pPr>
            <w:r>
              <w:rPr>
                <w:rFonts w:ascii="Calibri" w:hAnsi="Calibri"/>
                <w:b w:val="0"/>
                <w:i w:val="0"/>
                <w:color w:val="1A1A19"/>
                <w:sz w:val="17"/>
              </w:rPr>
              <w:t>Terminal value (50% × 5 × Y5 NP)</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792"/>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584"/>
            <w:tcMar>
              <w:top w:w="60" w:type="dxa"/>
              <w:bottom w:w="60" w:type="dxa"/>
              <w:start w:w="110" w:type="dxa"/>
              <w:end w:w="110" w:type="dxa"/>
            </w:tcMar>
          </w:tcPr>
          <w:p>
            <w:pPr>
              <w:spacing w:after="0"/>
              <w:jc w:val="right"/>
            </w:pPr>
            <w:r>
              <w:rPr>
                <w:rFonts w:ascii="Calibri" w:hAnsi="Calibri"/>
                <w:b w:val="0"/>
                <w:i w:val="0"/>
                <w:color w:val="1A1A19"/>
                <w:sz w:val="17"/>
              </w:rPr>
              <w:t>6,554,947</w:t>
            </w:r>
          </w:p>
        </w:tc>
      </w:tr>
      <w:tr>
        <w:tc>
          <w:tcPr>
            <w:tcW w:type="dxa" w:w="3096"/>
            <w:tcMar>
              <w:top w:w="60" w:type="dxa"/>
              <w:bottom w:w="60" w:type="dxa"/>
              <w:start w:w="110" w:type="dxa"/>
              <w:end w:w="110" w:type="dxa"/>
            </w:tcMar>
            <w:shd w:val="clear" w:color="auto" w:fill="E9EDF0"/>
          </w:tcPr>
          <w:p>
            <w:pPr>
              <w:spacing w:after="0"/>
            </w:pPr>
            <w:r>
              <w:rPr>
                <w:rFonts w:ascii="Calibri" w:hAnsi="Calibri"/>
                <w:b/>
                <w:i w:val="0"/>
                <w:color w:val="0F2942"/>
                <w:sz w:val="17"/>
              </w:rPr>
              <w:t>Net investor cash flow</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(1,000,000)</w:t>
            </w:r>
          </w:p>
        </w:tc>
        <w:tc>
          <w:tcPr>
            <w:tcW w:type="dxa" w:w="792"/>
            <w:tcMar>
              <w:top w:w="60" w:type="dxa"/>
              <w:bottom w:w="60" w:type="dxa"/>
              <w:start w:w="110" w:type="dxa"/>
              <w:end w:w="110" w:type="dxa"/>
            </w:tcMar>
            <w:shd w:val="clear" w:color="auto" w:fill="E9EDF0"/>
          </w:tcPr>
          <w:p>
            <w:pPr>
              <w:spacing w:after="0"/>
              <w:jc w:val="right"/>
            </w:pPr>
            <w:r>
              <w:rPr>
                <w:rFonts w:ascii="Calibri" w:hAnsi="Calibri"/>
                <w:b/>
                <w:i w:val="0"/>
                <w:color w:val="0F2942"/>
                <w:sz w:val="17"/>
              </w:rPr>
              <w:t>—</w:t>
            </w:r>
          </w:p>
        </w:tc>
        <w:tc>
          <w:tcPr>
            <w:tcW w:type="dxa" w:w="1080"/>
            <w:tcMar>
              <w:top w:w="60" w:type="dxa"/>
              <w:bottom w:w="60" w:type="dxa"/>
              <w:start w:w="110" w:type="dxa"/>
              <w:end w:w="110" w:type="dxa"/>
            </w:tcMar>
            <w:shd w:val="clear" w:color="auto" w:fill="E9EDF0"/>
          </w:tcPr>
          <w:p>
            <w:pPr>
              <w:spacing w:after="0"/>
              <w:jc w:val="right"/>
            </w:pPr>
            <w:r>
              <w:rPr>
                <w:rFonts w:ascii="Calibri" w:hAnsi="Calibri"/>
                <w:b/>
                <w:i w:val="0"/>
                <w:color w:val="0F2942"/>
                <w:sz w:val="17"/>
              </w:rPr>
              <w:t>448,876</w:t>
            </w:r>
          </w:p>
        </w:tc>
        <w:tc>
          <w:tcPr>
            <w:tcW w:type="dxa" w:w="1080"/>
            <w:tcMar>
              <w:top w:w="60" w:type="dxa"/>
              <w:bottom w:w="60" w:type="dxa"/>
              <w:start w:w="110" w:type="dxa"/>
              <w:end w:w="110" w:type="dxa"/>
            </w:tcMar>
            <w:shd w:val="clear" w:color="auto" w:fill="E9EDF0"/>
          </w:tcPr>
          <w:p>
            <w:pPr>
              <w:spacing w:after="0"/>
              <w:jc w:val="right"/>
            </w:pPr>
            <w:r>
              <w:rPr>
                <w:rFonts w:ascii="Calibri" w:hAnsi="Calibri"/>
                <w:b/>
                <w:i w:val="0"/>
                <w:color w:val="0F2942"/>
                <w:sz w:val="17"/>
              </w:rPr>
              <w:t>832,959</w:t>
            </w:r>
          </w:p>
        </w:tc>
        <w:tc>
          <w:tcPr>
            <w:tcW w:type="dxa" w:w="1080"/>
            <w:tcMar>
              <w:top w:w="60" w:type="dxa"/>
              <w:bottom w:w="60" w:type="dxa"/>
              <w:start w:w="110" w:type="dxa"/>
              <w:end w:w="110" w:type="dxa"/>
            </w:tcMar>
            <w:shd w:val="clear" w:color="auto" w:fill="E9EDF0"/>
          </w:tcPr>
          <w:p>
            <w:pPr>
              <w:spacing w:after="0"/>
              <w:jc w:val="right"/>
            </w:pPr>
            <w:r>
              <w:rPr>
                <w:rFonts w:ascii="Calibri" w:hAnsi="Calibri"/>
                <w:b/>
                <w:i w:val="0"/>
                <w:color w:val="0F2942"/>
                <w:sz w:val="17"/>
              </w:rPr>
              <w:t>978,931</w:t>
            </w:r>
          </w:p>
        </w:tc>
        <w:tc>
          <w:tcPr>
            <w:tcW w:type="dxa" w:w="1584"/>
            <w:tcMar>
              <w:top w:w="60" w:type="dxa"/>
              <w:bottom w:w="60" w:type="dxa"/>
              <w:start w:w="110" w:type="dxa"/>
              <w:end w:w="110" w:type="dxa"/>
            </w:tcMar>
            <w:shd w:val="clear" w:color="auto" w:fill="E9EDF0"/>
          </w:tcPr>
          <w:p>
            <w:pPr>
              <w:spacing w:after="0"/>
              <w:jc w:val="right"/>
            </w:pPr>
            <w:r>
              <w:rPr>
                <w:rFonts w:ascii="Calibri" w:hAnsi="Calibri"/>
                <w:b/>
                <w:i w:val="0"/>
                <w:color w:val="0F2942"/>
                <w:sz w:val="17"/>
              </w:rPr>
              <w:t>7,702,689</w:t>
            </w:r>
          </w:p>
        </w:tc>
      </w:tr>
    </w:tbl>
    <w:p>
      <w:pPr>
        <w:spacing w:after="40"/>
      </w:pPr>
    </w:p>
    <w:p>
      <w:pPr>
        <w:jc w:val="center"/>
      </w:pPr>
      <w:r>
        <w:drawing>
          <wp:inline xmlns:a="http://schemas.openxmlformats.org/drawingml/2006/main" xmlns:pic="http://schemas.openxmlformats.org/drawingml/2006/picture">
            <wp:extent cx="5486400" cy="2721515"/>
            <wp:docPr id="7" name="Picture 7"/>
            <wp:cNvGraphicFramePr>
              <a:graphicFrameLocks noChangeAspect="1"/>
            </wp:cNvGraphicFramePr>
            <a:graphic>
              <a:graphicData uri="http://schemas.openxmlformats.org/drawingml/2006/picture">
                <pic:pic>
                  <pic:nvPicPr>
                    <pic:cNvPr id="0" name="returns.png"/>
                    <pic:cNvPicPr/>
                  </pic:nvPicPr>
                  <pic:blipFill>
                    <a:blip r:embed="rId16"/>
                    <a:stretch>
                      <a:fillRect/>
                    </a:stretch>
                  </pic:blipFill>
                  <pic:spPr>
                    <a:xfrm>
                      <a:off x="0" y="0"/>
                      <a:ext cx="5486400" cy="2721515"/>
                    </a:xfrm>
                    <a:prstGeom prst="rect"/>
                  </pic:spPr>
                </pic:pic>
              </a:graphicData>
            </a:graphic>
          </wp:inline>
        </w:drawing>
      </w:r>
    </w:p>
    <w:p>
      <w:pPr>
        <w:jc w:val="center"/>
      </w:pPr>
      <w:r>
        <w:drawing>
          <wp:inline xmlns:a="http://schemas.openxmlformats.org/drawingml/2006/main" xmlns:pic="http://schemas.openxmlformats.org/drawingml/2006/picture">
            <wp:extent cx="5486400" cy="2849178"/>
            <wp:docPr id="8" name="Picture 8"/>
            <wp:cNvGraphicFramePr>
              <a:graphicFrameLocks noChangeAspect="1"/>
            </wp:cNvGraphicFramePr>
            <a:graphic>
              <a:graphicData uri="http://schemas.openxmlformats.org/drawingml/2006/picture">
                <pic:pic>
                  <pic:nvPicPr>
                    <pic:cNvPr id="0" name="cumulative_profit.png"/>
                    <pic:cNvPicPr/>
                  </pic:nvPicPr>
                  <pic:blipFill>
                    <a:blip r:embed="rId17"/>
                    <a:stretch>
                      <a:fillRect/>
                    </a:stretch>
                  </pic:blipFill>
                  <pic:spPr>
                    <a:xfrm>
                      <a:off x="0" y="0"/>
                      <a:ext cx="5486400" cy="2849178"/>
                    </a:xfrm>
                    <a:prstGeom prst="rect"/>
                  </pic:spPr>
                </pic:pic>
              </a:graphicData>
            </a:graphic>
          </wp:inline>
        </w:drawing>
      </w:r>
    </w:p>
    <w:p>
      <w:pPr>
        <w:keepNext/>
        <w:spacing w:before="220" w:after="80"/>
      </w:pPr>
      <w:r>
        <w:rPr>
          <w:rFonts w:ascii="Calibri" w:hAnsi="Calibri"/>
          <w:b/>
          <w:i w:val="0"/>
          <w:color w:val="0F6E6A"/>
          <w:sz w:val="24"/>
        </w:rPr>
        <w:t>8.3  Investor protections</w:t>
      </w:r>
    </w:p>
    <w:p>
      <w:pPr>
        <w:spacing w:after="80" w:line="264" w:lineRule="auto"/>
        <w:ind w:left="403"/>
      </w:pPr>
      <w:r>
        <w:rPr>
          <w:rFonts w:ascii="Calibri" w:hAnsi="Calibri"/>
          <w:b/>
          <w:i w:val="0"/>
          <w:color w:val="C8892A"/>
          <w:sz w:val="21"/>
        </w:rPr>
        <w:t xml:space="preserve">▪  </w:t>
      </w:r>
      <w:r>
        <w:rPr>
          <w:rFonts w:ascii="Calibri" w:hAnsi="Calibri"/>
          <w:b w:val="0"/>
          <w:i w:val="0"/>
          <w:color w:val="1A1A19"/>
          <w:sz w:val="21"/>
        </w:rPr>
        <w:t>Tranche 2 released only against verified Month-4 milestones: ≥3 containers sold through and Sudan advances received.</w:t>
      </w:r>
    </w:p>
    <w:p>
      <w:pPr>
        <w:spacing w:after="80" w:line="264" w:lineRule="auto"/>
        <w:ind w:left="403"/>
      </w:pPr>
      <w:r>
        <w:rPr>
          <w:rFonts w:ascii="Calibri" w:hAnsi="Calibri"/>
          <w:b/>
          <w:i w:val="0"/>
          <w:color w:val="C8892A"/>
          <w:sz w:val="21"/>
        </w:rPr>
        <w:t xml:space="preserve">▪  </w:t>
      </w:r>
      <w:r>
        <w:rPr>
          <w:rFonts w:ascii="Calibri" w:hAnsi="Calibri"/>
          <w:b w:val="0"/>
          <w:i w:val="0"/>
          <w:color w:val="1A1A19"/>
          <w:sz w:val="21"/>
        </w:rPr>
        <w:t>Quarterly management accounts from the formula-driven model; monthly cash and inventory reporting; USD books.</w:t>
      </w:r>
    </w:p>
    <w:p>
      <w:pPr>
        <w:spacing w:after="80" w:line="264" w:lineRule="auto"/>
        <w:ind w:left="403"/>
      </w:pPr>
      <w:r>
        <w:rPr>
          <w:rFonts w:ascii="Calibri" w:hAnsi="Calibri"/>
          <w:b/>
          <w:i w:val="0"/>
          <w:color w:val="C8892A"/>
          <w:sz w:val="21"/>
        </w:rPr>
        <w:t xml:space="preserve">▪  </w:t>
      </w:r>
      <w:r>
        <w:rPr>
          <w:rFonts w:ascii="Calibri" w:hAnsi="Calibri"/>
          <w:b w:val="0"/>
          <w:i w:val="0"/>
          <w:color w:val="1A1A19"/>
          <w:sz w:val="21"/>
        </w:rPr>
        <w:t>Egypt customers on maximum 60-day terms; Sudan cash-before-shipment; Algeria LC only.</w:t>
      </w:r>
    </w:p>
    <w:p>
      <w:pPr>
        <w:spacing w:after="80" w:line="264" w:lineRule="auto"/>
        <w:ind w:left="403"/>
      </w:pPr>
      <w:r>
        <w:rPr>
          <w:rFonts w:ascii="Calibri" w:hAnsi="Calibri"/>
          <w:b/>
          <w:i w:val="0"/>
          <w:color w:val="C8892A"/>
          <w:sz w:val="21"/>
        </w:rPr>
        <w:t xml:space="preserve">▪  </w:t>
      </w:r>
      <w:r>
        <w:rPr>
          <w:rFonts w:ascii="Calibri" w:hAnsi="Calibri"/>
          <w:b w:val="0"/>
          <w:i w:val="0"/>
          <w:color w:val="1A1A19"/>
          <w:sz w:val="21"/>
        </w:rPr>
        <w:t>Exclusive Vestwoods agency (with first right of engagement and non-circumvention) held within the group and assignable as security.</w:t>
      </w:r>
    </w:p>
    <w:p>
      <w:pPr>
        <w:spacing w:after="80" w:line="264" w:lineRule="auto"/>
        <w:ind w:left="403"/>
      </w:pPr>
      <w:r>
        <w:rPr>
          <w:rFonts w:ascii="Calibri" w:hAnsi="Calibri"/>
          <w:b/>
          <w:i w:val="0"/>
          <w:color w:val="C8892A"/>
          <w:sz w:val="21"/>
        </w:rPr>
        <w:t xml:space="preserve">▪  </w:t>
      </w:r>
      <w:r>
        <w:rPr>
          <w:rFonts w:ascii="Calibri" w:hAnsi="Calibri"/>
          <w:b w:val="0"/>
          <w:i w:val="0"/>
          <w:color w:val="1A1A19"/>
          <w:sz w:val="21"/>
        </w:rPr>
        <w:t>Founder pre-investment of USD 14,517 already deployed; board seat and reserved matters for the investor.</w:t>
      </w:r>
    </w:p>
    <w:p>
      <w:r>
        <w:br w:type="page"/>
      </w:r>
    </w:p>
    <w:p>
      <w:pPr>
        <w:keepNext/>
        <w:spacing w:before="320" w:after="160"/>
        <w:pBdr>
          <w:bottom w:val="single" w:sz="6" w:space="4" w:color="0F2942"/>
        </w:pBdr>
      </w:pPr>
      <w:r>
        <w:rPr>
          <w:rFonts w:ascii="Calibri" w:hAnsi="Calibri"/>
          <w:b/>
          <w:i w:val="0"/>
          <w:color w:val="C8892A"/>
          <w:sz w:val="30"/>
        </w:rPr>
        <w:t xml:space="preserve">9   </w:t>
      </w:r>
      <w:r>
        <w:rPr>
          <w:rFonts w:ascii="Calibri" w:hAnsi="Calibri"/>
          <w:b/>
          <w:i w:val="0"/>
          <w:color w:val="0F2942"/>
          <w:sz w:val="30"/>
        </w:rPr>
        <w:t>Operations, Risks &amp; Mitigation</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Supply chain — </w:t>
      </w:r>
      <w:r>
        <w:rPr>
          <w:rFonts w:ascii="Calibri" w:hAnsi="Calibri"/>
          <w:b w:val="0"/>
          <w:i w:val="0"/>
          <w:color w:val="1A1A19"/>
          <w:sz w:val="21"/>
        </w:rPr>
        <w:t>PO → factory 15–20 days → sea 18 days → clearance 7–10 days (5% duty, 2% GOEIC, 14% VAT recoverable) → 6th October warehouse. Roughly one container every 3–4 weeks in Year 1, financed under Sinosure-backed supplier credit.</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4824"/>
        <w:gridCol w:w="4824"/>
      </w:tblGrid>
      <w:tr>
        <w:tc>
          <w:tcPr>
            <w:tcW w:type="dxa" w:w="3312"/>
            <w:shd w:val="clear" w:color="auto" w:fill="0F2942"/>
            <w:tcMar>
              <w:top w:w="60" w:type="dxa"/>
              <w:bottom w:w="60" w:type="dxa"/>
              <w:start w:w="110" w:type="dxa"/>
              <w:end w:w="110" w:type="dxa"/>
            </w:tcMar>
          </w:tcPr>
          <w:p>
            <w:pPr>
              <w:spacing w:after="0"/>
            </w:pPr>
            <w:r>
              <w:rPr>
                <w:rFonts w:ascii="Calibri" w:hAnsi="Calibri"/>
                <w:b/>
                <w:i w:val="0"/>
                <w:color w:val="FFFFFF"/>
                <w:sz w:val="18"/>
              </w:rPr>
              <w:t>Risk</w:t>
            </w:r>
          </w:p>
        </w:tc>
        <w:tc>
          <w:tcPr>
            <w:tcW w:type="dxa" w:w="6336"/>
            <w:shd w:val="clear" w:color="auto" w:fill="0F2942"/>
            <w:tcMar>
              <w:top w:w="60" w:type="dxa"/>
              <w:bottom w:w="60" w:type="dxa"/>
              <w:start w:w="110" w:type="dxa"/>
              <w:end w:w="110" w:type="dxa"/>
            </w:tcMar>
          </w:tcPr>
          <w:p>
            <w:pPr>
              <w:spacing w:after="0"/>
            </w:pPr>
            <w:r>
              <w:rPr>
                <w:rFonts w:ascii="Calibri" w:hAnsi="Calibri"/>
                <w:b/>
                <w:i w:val="0"/>
                <w:color w:val="FFFFFF"/>
                <w:sz w:val="18"/>
              </w:rPr>
              <w:t>Mitigation</w:t>
            </w:r>
          </w:p>
        </w:tc>
      </w:tr>
      <w:tr>
        <w:tc>
          <w:tcPr>
            <w:tcW w:type="dxa" w:w="3312"/>
            <w:tcMar>
              <w:top w:w="60" w:type="dxa"/>
              <w:bottom w:w="60" w:type="dxa"/>
              <w:start w:w="110" w:type="dxa"/>
              <w:end w:w="110" w:type="dxa"/>
            </w:tcMar>
          </w:tcPr>
          <w:p>
            <w:pPr>
              <w:spacing w:after="0"/>
            </w:pPr>
            <w:r>
              <w:rPr>
                <w:rFonts w:ascii="Calibri" w:hAnsi="Calibri"/>
                <w:b w:val="0"/>
                <w:i w:val="0"/>
                <w:color w:val="1A1A19"/>
                <w:sz w:val="18"/>
              </w:rPr>
              <w:t>EGP devaluation</w:t>
            </w:r>
          </w:p>
        </w:tc>
        <w:tc>
          <w:tcPr>
            <w:tcW w:type="dxa" w:w="6336"/>
            <w:tcMar>
              <w:top w:w="60" w:type="dxa"/>
              <w:bottom w:w="60" w:type="dxa"/>
              <w:start w:w="110" w:type="dxa"/>
              <w:end w:w="110" w:type="dxa"/>
            </w:tcMar>
          </w:tcPr>
          <w:p>
            <w:pPr>
              <w:spacing w:after="0"/>
            </w:pPr>
            <w:r>
              <w:rPr>
                <w:rFonts w:ascii="Calibri" w:hAnsi="Calibri"/>
                <w:b w:val="0"/>
                <w:i w:val="0"/>
                <w:color w:val="1A1A19"/>
                <w:sz w:val="18"/>
              </w:rPr>
              <w:t>USD-indexed pricing at EGP 53 planning rate (spot ~49–51); 30-day quote validity; USD books</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8"/>
              </w:rPr>
              <w:t>Y1 working-capital exposure</w:t>
            </w:r>
          </w:p>
        </w:tc>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8"/>
              </w:rPr>
              <w:t>Haier-backed counterparty; Sinosure credit; staged POs; credit terms anchored from Year 2</w:t>
            </w:r>
          </w:p>
        </w:tc>
      </w:tr>
      <w:tr>
        <w:tc>
          <w:tcPr>
            <w:tcW w:type="dxa" w:w="3312"/>
            <w:tcMar>
              <w:top w:w="60" w:type="dxa"/>
              <w:bottom w:w="60" w:type="dxa"/>
              <w:start w:w="110" w:type="dxa"/>
              <w:end w:w="110" w:type="dxa"/>
            </w:tcMar>
          </w:tcPr>
          <w:p>
            <w:pPr>
              <w:spacing w:after="0"/>
            </w:pPr>
            <w:r>
              <w:rPr>
                <w:rFonts w:ascii="Calibri" w:hAnsi="Calibri"/>
                <w:b w:val="0"/>
                <w:i w:val="0"/>
                <w:color w:val="1A1A19"/>
                <w:sz w:val="18"/>
              </w:rPr>
              <w:t>Thin export (wholesale) margins</w:t>
            </w:r>
          </w:p>
        </w:tc>
        <w:tc>
          <w:tcPr>
            <w:tcW w:type="dxa" w:w="6336"/>
            <w:tcMar>
              <w:top w:w="60" w:type="dxa"/>
              <w:bottom w:w="60" w:type="dxa"/>
              <w:start w:w="110" w:type="dxa"/>
              <w:end w:w="110" w:type="dxa"/>
            </w:tcMar>
          </w:tcPr>
          <w:p>
            <w:pPr>
              <w:spacing w:after="0"/>
            </w:pPr>
            <w:r>
              <w:rPr>
                <w:rFonts w:ascii="Calibri" w:hAnsi="Calibri"/>
                <w:b w:val="0"/>
                <w:i w:val="0"/>
                <w:color w:val="1A1A19"/>
                <w:sz w:val="18"/>
              </w:rPr>
              <w:t>Volume discipline; Egypt retail mix defended at 50%; commissions tied to sales</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8"/>
              </w:rPr>
              <w:t>Raise timing</w:t>
            </w:r>
          </w:p>
        </w:tc>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8"/>
              </w:rPr>
              <w:t>Tranche 1 must close before first PO; container schedule flexes with drawdown</w:t>
            </w:r>
          </w:p>
        </w:tc>
      </w:tr>
      <w:tr>
        <w:tc>
          <w:tcPr>
            <w:tcW w:type="dxa" w:w="3312"/>
            <w:tcMar>
              <w:top w:w="60" w:type="dxa"/>
              <w:bottom w:w="60" w:type="dxa"/>
              <w:start w:w="110" w:type="dxa"/>
              <w:end w:w="110" w:type="dxa"/>
            </w:tcMar>
          </w:tcPr>
          <w:p>
            <w:pPr>
              <w:spacing w:after="0"/>
            </w:pPr>
            <w:r>
              <w:rPr>
                <w:rFonts w:ascii="Calibri" w:hAnsi="Calibri"/>
                <w:b w:val="0"/>
                <w:i w:val="0"/>
                <w:color w:val="1A1A19"/>
                <w:sz w:val="18"/>
              </w:rPr>
              <w:t>Customs / GOEIC delays</w:t>
            </w:r>
          </w:p>
        </w:tc>
        <w:tc>
          <w:tcPr>
            <w:tcW w:type="dxa" w:w="6336"/>
            <w:tcMar>
              <w:top w:w="60" w:type="dxa"/>
              <w:bottom w:w="60" w:type="dxa"/>
              <w:start w:w="110" w:type="dxa"/>
              <w:end w:w="110" w:type="dxa"/>
            </w:tcMar>
          </w:tcPr>
          <w:p>
            <w:pPr>
              <w:spacing w:after="0"/>
            </w:pPr>
            <w:r>
              <w:rPr>
                <w:rFonts w:ascii="Calibri" w:hAnsi="Calibri"/>
                <w:b w:val="0"/>
                <w:i w:val="0"/>
                <w:color w:val="1A1A19"/>
                <w:sz w:val="18"/>
              </w:rPr>
              <w:t>Permits issued; broker retained; 45–60 day inventory cover</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8"/>
              </w:rPr>
              <w:t>Egypt receivables</w:t>
            </w:r>
          </w:p>
        </w:tc>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8"/>
              </w:rPr>
              <w:t>45-day terms; anchor accounts on agreed limits; stop-supply discipline</w:t>
            </w:r>
          </w:p>
        </w:tc>
      </w:tr>
      <w:tr>
        <w:tc>
          <w:tcPr>
            <w:tcW w:type="dxa" w:w="3312"/>
            <w:tcMar>
              <w:top w:w="60" w:type="dxa"/>
              <w:bottom w:w="60" w:type="dxa"/>
              <w:start w:w="110" w:type="dxa"/>
              <w:end w:w="110" w:type="dxa"/>
            </w:tcMar>
          </w:tcPr>
          <w:p>
            <w:pPr>
              <w:spacing w:after="0"/>
            </w:pPr>
            <w:r>
              <w:rPr>
                <w:rFonts w:ascii="Calibri" w:hAnsi="Calibri"/>
                <w:b w:val="0"/>
                <w:i w:val="0"/>
                <w:color w:val="1A1A19"/>
                <w:sz w:val="18"/>
              </w:rPr>
              <w:t>Export instability (Sudan/Libya)</w:t>
            </w:r>
          </w:p>
        </w:tc>
        <w:tc>
          <w:tcPr>
            <w:tcW w:type="dxa" w:w="6336"/>
            <w:tcMar>
              <w:top w:w="60" w:type="dxa"/>
              <w:bottom w:w="60" w:type="dxa"/>
              <w:start w:w="110" w:type="dxa"/>
              <w:end w:w="110" w:type="dxa"/>
            </w:tcMar>
          </w:tcPr>
          <w:p>
            <w:pPr>
              <w:spacing w:after="0"/>
            </w:pPr>
            <w:r>
              <w:rPr>
                <w:rFonts w:ascii="Calibri" w:hAnsi="Calibri"/>
                <w:b w:val="0"/>
                <w:i w:val="0"/>
                <w:color w:val="1A1A19"/>
                <w:sz w:val="18"/>
              </w:rPr>
              <w:t>Cash before shipment; no in-country assets</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8"/>
              </w:rPr>
              <w:t>Algeria regime</w:t>
            </w:r>
          </w:p>
        </w:tc>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8"/>
              </w:rPr>
              <w:t>Licensed-importer FOB + 100% LC; zero NORCO exposure</w:t>
            </w:r>
          </w:p>
        </w:tc>
      </w:tr>
      <w:tr>
        <w:tc>
          <w:tcPr>
            <w:tcW w:type="dxa" w:w="3312"/>
            <w:tcMar>
              <w:top w:w="60" w:type="dxa"/>
              <w:bottom w:w="60" w:type="dxa"/>
              <w:start w:w="110" w:type="dxa"/>
              <w:end w:w="110" w:type="dxa"/>
            </w:tcMar>
          </w:tcPr>
          <w:p>
            <w:pPr>
              <w:spacing w:after="0"/>
            </w:pPr>
            <w:r>
              <w:rPr>
                <w:rFonts w:ascii="Calibri" w:hAnsi="Calibri"/>
                <w:b w:val="0"/>
                <w:i w:val="0"/>
                <w:color w:val="1A1A19"/>
                <w:sz w:val="18"/>
              </w:rPr>
              <w:t>Single-brand dependence</w:t>
            </w:r>
          </w:p>
        </w:tc>
        <w:tc>
          <w:tcPr>
            <w:tcW w:type="dxa" w:w="6336"/>
            <w:tcMar>
              <w:top w:w="60" w:type="dxa"/>
              <w:bottom w:w="60" w:type="dxa"/>
              <w:start w:w="110" w:type="dxa"/>
              <w:end w:w="110" w:type="dxa"/>
            </w:tcMar>
          </w:tcPr>
          <w:p>
            <w:pPr>
              <w:spacing w:after="0"/>
            </w:pPr>
            <w:r>
              <w:rPr>
                <w:rFonts w:ascii="Calibri" w:hAnsi="Calibri"/>
                <w:b w:val="0"/>
                <w:i w:val="0"/>
                <w:color w:val="1A1A19"/>
                <w:sz w:val="18"/>
              </w:rPr>
              <w:t>Exclusive agency with first right of engagement; deep Haier product range across segments</w:t>
            </w:r>
          </w:p>
        </w:tc>
      </w:tr>
    </w:tbl>
    <w:p>
      <w:pPr>
        <w:spacing w:after="40"/>
      </w:pPr>
    </w:p>
    <w:p>
      <w:pPr>
        <w:keepNext/>
        <w:spacing w:before="320" w:after="160"/>
        <w:pBdr>
          <w:bottom w:val="single" w:sz="6" w:space="4" w:color="0F2942"/>
        </w:pBdr>
      </w:pPr>
      <w:r>
        <w:rPr>
          <w:rFonts w:ascii="Calibri" w:hAnsi="Calibri"/>
          <w:b/>
          <w:i w:val="0"/>
          <w:color w:val="C8892A"/>
          <w:sz w:val="30"/>
        </w:rPr>
        <w:t xml:space="preserve">10   </w:t>
      </w:r>
      <w:r>
        <w:rPr>
          <w:rFonts w:ascii="Calibri" w:hAnsi="Calibri"/>
          <w:b/>
          <w:i w:val="0"/>
          <w:color w:val="0F2942"/>
          <w:sz w:val="30"/>
        </w:rPr>
        <w:t>Execution Roadmap</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1440"/>
            <w:shd w:val="clear" w:color="auto" w:fill="0F2942"/>
            <w:tcMar>
              <w:top w:w="60" w:type="dxa"/>
              <w:bottom w:w="60" w:type="dxa"/>
              <w:start w:w="110" w:type="dxa"/>
              <w:end w:w="110" w:type="dxa"/>
            </w:tcMar>
          </w:tcPr>
          <w:p>
            <w:pPr>
              <w:spacing w:after="0"/>
            </w:pPr>
            <w:r>
              <w:rPr>
                <w:rFonts w:ascii="Calibri" w:hAnsi="Calibri"/>
                <w:b/>
                <w:i w:val="0"/>
                <w:color w:val="FFFFFF"/>
                <w:sz w:val="18"/>
              </w:rPr>
              <w:t>Phase</w:t>
            </w:r>
          </w:p>
        </w:tc>
        <w:tc>
          <w:tcPr>
            <w:tcW w:type="dxa" w:w="1440"/>
            <w:shd w:val="clear" w:color="auto" w:fill="0F2942"/>
            <w:tcMar>
              <w:top w:w="60" w:type="dxa"/>
              <w:bottom w:w="60" w:type="dxa"/>
              <w:start w:w="110" w:type="dxa"/>
              <w:end w:w="110" w:type="dxa"/>
            </w:tcMar>
          </w:tcPr>
          <w:p>
            <w:pPr>
              <w:spacing w:after="0"/>
            </w:pPr>
            <w:r>
              <w:rPr>
                <w:rFonts w:ascii="Calibri" w:hAnsi="Calibri"/>
                <w:b/>
                <w:i w:val="0"/>
                <w:color w:val="FFFFFF"/>
                <w:sz w:val="18"/>
              </w:rPr>
              <w:t>Timing</w:t>
            </w:r>
          </w:p>
        </w:tc>
        <w:tc>
          <w:tcPr>
            <w:tcW w:type="dxa" w:w="6768"/>
            <w:shd w:val="clear" w:color="auto" w:fill="0F2942"/>
            <w:tcMar>
              <w:top w:w="60" w:type="dxa"/>
              <w:bottom w:w="60" w:type="dxa"/>
              <w:start w:w="110" w:type="dxa"/>
              <w:end w:w="110" w:type="dxa"/>
            </w:tcMar>
          </w:tcPr>
          <w:p>
            <w:pPr>
              <w:spacing w:after="0"/>
            </w:pPr>
            <w:r>
              <w:rPr>
                <w:rFonts w:ascii="Calibri" w:hAnsi="Calibri"/>
                <w:b/>
                <w:i w:val="0"/>
                <w:color w:val="FFFFFF"/>
                <w:sz w:val="18"/>
              </w:rPr>
              <w:t>Milestones</w:t>
            </w:r>
          </w:p>
        </w:tc>
      </w:tr>
      <w:tr>
        <w:tc>
          <w:tcPr>
            <w:tcW w:type="dxa" w:w="1440"/>
            <w:tcMar>
              <w:top w:w="60" w:type="dxa"/>
              <w:bottom w:w="60" w:type="dxa"/>
              <w:start w:w="110" w:type="dxa"/>
              <w:end w:w="110" w:type="dxa"/>
            </w:tcMar>
          </w:tcPr>
          <w:p>
            <w:pPr>
              <w:spacing w:after="0"/>
            </w:pPr>
            <w:r>
              <w:rPr>
                <w:rFonts w:ascii="Calibri" w:hAnsi="Calibri"/>
                <w:b w:val="0"/>
                <w:i w:val="0"/>
                <w:color w:val="1A1A19"/>
                <w:sz w:val="18"/>
              </w:rPr>
              <w:t>Launch</w:t>
            </w:r>
          </w:p>
        </w:tc>
        <w:tc>
          <w:tcPr>
            <w:tcW w:type="dxa" w:w="1440"/>
            <w:tcMar>
              <w:top w:w="60" w:type="dxa"/>
              <w:bottom w:w="60" w:type="dxa"/>
              <w:start w:w="110" w:type="dxa"/>
              <w:end w:w="110" w:type="dxa"/>
            </w:tcMar>
          </w:tcPr>
          <w:p>
            <w:pPr>
              <w:spacing w:after="0"/>
            </w:pPr>
            <w:r>
              <w:rPr>
                <w:rFonts w:ascii="Calibri" w:hAnsi="Calibri"/>
                <w:b w:val="0"/>
                <w:i w:val="0"/>
                <w:color w:val="1A1A19"/>
                <w:sz w:val="18"/>
              </w:rPr>
              <w:t>M1–M3</w:t>
            </w:r>
          </w:p>
        </w:tc>
        <w:tc>
          <w:tcPr>
            <w:tcW w:type="dxa" w:w="6768"/>
            <w:tcMar>
              <w:top w:w="60" w:type="dxa"/>
              <w:bottom w:w="60" w:type="dxa"/>
              <w:start w:w="110" w:type="dxa"/>
              <w:end w:w="110" w:type="dxa"/>
            </w:tcMar>
          </w:tcPr>
          <w:p>
            <w:pPr>
              <w:spacing w:after="0"/>
            </w:pPr>
            <w:r>
              <w:rPr>
                <w:rFonts w:ascii="Calibri" w:hAnsi="Calibri"/>
                <w:b w:val="0"/>
                <w:i w:val="0"/>
                <w:color w:val="1A1A19"/>
                <w:sz w:val="18"/>
              </w:rPr>
              <w:t>T1 drawn; first Vestwoods POs placed under Sinosure credit; New Cairo showroom opens; Sudan buyer inspects stock and places first order (50% advance)</w:t>
            </w:r>
          </w:p>
        </w:tc>
      </w:tr>
      <w:tr>
        <w:tc>
          <w:tcPr>
            <w:tcW w:type="dxa" w:w="1440"/>
            <w:tcMar>
              <w:top w:w="60" w:type="dxa"/>
              <w:bottom w:w="60" w:type="dxa"/>
              <w:start w:w="110" w:type="dxa"/>
              <w:end w:w="110" w:type="dxa"/>
            </w:tcMar>
            <w:shd w:val="clear" w:color="auto" w:fill="F5F7F9"/>
          </w:tcPr>
          <w:p>
            <w:pPr>
              <w:spacing w:after="0"/>
            </w:pPr>
            <w:r>
              <w:rPr>
                <w:rFonts w:ascii="Calibri" w:hAnsi="Calibri"/>
                <w:b w:val="0"/>
                <w:i w:val="0"/>
                <w:color w:val="1A1A19"/>
                <w:sz w:val="18"/>
              </w:rPr>
              <w:t>Prove</w:t>
            </w:r>
          </w:p>
        </w:tc>
        <w:tc>
          <w:tcPr>
            <w:tcW w:type="dxa" w:w="1440"/>
            <w:tcMar>
              <w:top w:w="60" w:type="dxa"/>
              <w:bottom w:w="60" w:type="dxa"/>
              <w:start w:w="110" w:type="dxa"/>
              <w:end w:w="110" w:type="dxa"/>
            </w:tcMar>
            <w:shd w:val="clear" w:color="auto" w:fill="F5F7F9"/>
          </w:tcPr>
          <w:p>
            <w:pPr>
              <w:spacing w:after="0"/>
            </w:pPr>
            <w:r>
              <w:rPr>
                <w:rFonts w:ascii="Calibri" w:hAnsi="Calibri"/>
                <w:b w:val="0"/>
                <w:i w:val="0"/>
                <w:color w:val="1A1A19"/>
                <w:sz w:val="18"/>
              </w:rPr>
              <w:t>M4–M6</w:t>
            </w:r>
          </w:p>
        </w:tc>
        <w:tc>
          <w:tcPr>
            <w:tcW w:type="dxa" w:w="6768"/>
            <w:tcMar>
              <w:top w:w="60" w:type="dxa"/>
              <w:bottom w:w="60" w:type="dxa"/>
              <w:start w:w="110" w:type="dxa"/>
              <w:end w:w="110" w:type="dxa"/>
            </w:tcMar>
            <w:shd w:val="clear" w:color="auto" w:fill="F5F7F9"/>
          </w:tcPr>
          <w:p>
            <w:pPr>
              <w:spacing w:after="0"/>
            </w:pPr>
            <w:r>
              <w:rPr>
                <w:rFonts w:ascii="Calibri" w:hAnsi="Calibri"/>
                <w:b w:val="0"/>
                <w:i w:val="0"/>
                <w:color w:val="1A1A19"/>
                <w:sz w:val="18"/>
              </w:rPr>
              <w:t>T2 drawn against milestones; operating &amp; cumulative break-even (M6); dealers signed; first Cairo energy exhibition; Algeria agency to term sheet</w:t>
            </w:r>
          </w:p>
        </w:tc>
      </w:tr>
      <w:tr>
        <w:tc>
          <w:tcPr>
            <w:tcW w:type="dxa" w:w="1440"/>
            <w:tcMar>
              <w:top w:w="60" w:type="dxa"/>
              <w:bottom w:w="60" w:type="dxa"/>
              <w:start w:w="110" w:type="dxa"/>
              <w:end w:w="110" w:type="dxa"/>
            </w:tcMar>
          </w:tcPr>
          <w:p>
            <w:pPr>
              <w:spacing w:after="0"/>
            </w:pPr>
            <w:r>
              <w:rPr>
                <w:rFonts w:ascii="Calibri" w:hAnsi="Calibri"/>
                <w:b w:val="0"/>
                <w:i w:val="0"/>
                <w:color w:val="1A1A19"/>
                <w:sz w:val="18"/>
              </w:rPr>
              <w:t>Convert</w:t>
            </w:r>
          </w:p>
        </w:tc>
        <w:tc>
          <w:tcPr>
            <w:tcW w:type="dxa" w:w="1440"/>
            <w:tcMar>
              <w:top w:w="60" w:type="dxa"/>
              <w:bottom w:w="60" w:type="dxa"/>
              <w:start w:w="110" w:type="dxa"/>
              <w:end w:w="110" w:type="dxa"/>
            </w:tcMar>
          </w:tcPr>
          <w:p>
            <w:pPr>
              <w:spacing w:after="0"/>
            </w:pPr>
            <w:r>
              <w:rPr>
                <w:rFonts w:ascii="Calibri" w:hAnsi="Calibri"/>
                <w:b w:val="0"/>
                <w:i w:val="0"/>
                <w:color w:val="1A1A19"/>
                <w:sz w:val="18"/>
              </w:rPr>
              <w:t>M7–M12</w:t>
            </w:r>
          </w:p>
        </w:tc>
        <w:tc>
          <w:tcPr>
            <w:tcW w:type="dxa" w:w="6768"/>
            <w:tcMar>
              <w:top w:w="60" w:type="dxa"/>
              <w:bottom w:w="60" w:type="dxa"/>
              <w:start w:w="110" w:type="dxa"/>
              <w:end w:w="110" w:type="dxa"/>
            </w:tcMar>
          </w:tcPr>
          <w:p>
            <w:pPr>
              <w:spacing w:after="0"/>
            </w:pPr>
            <w:r>
              <w:rPr>
                <w:rFonts w:ascii="Calibri" w:hAnsi="Calibri"/>
                <w:b w:val="0"/>
                <w:i w:val="0"/>
                <w:color w:val="1A1A19"/>
                <w:sz w:val="18"/>
              </w:rPr>
              <w:t>Algeria first LC orders ship (M8); second exhibition; telecom and C&amp;I pipeline; Libya distributor due diligence</w:t>
            </w:r>
          </w:p>
        </w:tc>
      </w:tr>
      <w:tr>
        <w:tc>
          <w:tcPr>
            <w:tcW w:type="dxa" w:w="1440"/>
            <w:tcMar>
              <w:top w:w="60" w:type="dxa"/>
              <w:bottom w:w="60" w:type="dxa"/>
              <w:start w:w="110" w:type="dxa"/>
              <w:end w:w="110" w:type="dxa"/>
            </w:tcMar>
            <w:shd w:val="clear" w:color="auto" w:fill="F5F7F9"/>
          </w:tcPr>
          <w:p>
            <w:pPr>
              <w:spacing w:after="0"/>
            </w:pPr>
            <w:r>
              <w:rPr>
                <w:rFonts w:ascii="Calibri" w:hAnsi="Calibri"/>
                <w:b w:val="0"/>
                <w:i w:val="0"/>
                <w:color w:val="1A1A19"/>
                <w:sz w:val="18"/>
              </w:rPr>
              <w:t>Compound</w:t>
            </w:r>
          </w:p>
        </w:tc>
        <w:tc>
          <w:tcPr>
            <w:tcW w:type="dxa" w:w="1440"/>
            <w:tcMar>
              <w:top w:w="60" w:type="dxa"/>
              <w:bottom w:w="60" w:type="dxa"/>
              <w:start w:w="110" w:type="dxa"/>
              <w:end w:w="110" w:type="dxa"/>
            </w:tcMar>
            <w:shd w:val="clear" w:color="auto" w:fill="F5F7F9"/>
          </w:tcPr>
          <w:p>
            <w:pPr>
              <w:spacing w:after="0"/>
            </w:pPr>
            <w:r>
              <w:rPr>
                <w:rFonts w:ascii="Calibri" w:hAnsi="Calibri"/>
                <w:b w:val="0"/>
                <w:i w:val="0"/>
                <w:color w:val="1A1A19"/>
                <w:sz w:val="18"/>
              </w:rPr>
              <w:t>M13–M18</w:t>
            </w:r>
          </w:p>
        </w:tc>
        <w:tc>
          <w:tcPr>
            <w:tcW w:type="dxa" w:w="6768"/>
            <w:tcMar>
              <w:top w:w="60" w:type="dxa"/>
              <w:bottom w:w="60" w:type="dxa"/>
              <w:start w:w="110" w:type="dxa"/>
              <w:end w:w="110" w:type="dxa"/>
            </w:tcMar>
            <w:shd w:val="clear" w:color="auto" w:fill="F5F7F9"/>
          </w:tcPr>
          <w:p>
            <w:pPr>
              <w:spacing w:after="0"/>
            </w:pPr>
            <w:r>
              <w:rPr>
                <w:rFonts w:ascii="Calibri" w:hAnsi="Calibri"/>
                <w:b w:val="0"/>
                <w:i w:val="0"/>
                <w:color w:val="1A1A19"/>
                <w:sz w:val="18"/>
              </w:rPr>
              <w:t>Credit terms activate on all POs; Libya first containers; full dividend distributions begin; four-market operation on self-generated cash</w:t>
            </w:r>
          </w:p>
        </w:tc>
      </w:tr>
      <w:tr>
        <w:tc>
          <w:tcPr>
            <w:tcW w:type="dxa" w:w="1440"/>
            <w:tcMar>
              <w:top w:w="60" w:type="dxa"/>
              <w:bottom w:w="60" w:type="dxa"/>
              <w:start w:w="110" w:type="dxa"/>
              <w:end w:w="110" w:type="dxa"/>
            </w:tcMar>
          </w:tcPr>
          <w:p>
            <w:pPr>
              <w:spacing w:after="0"/>
            </w:pPr>
            <w:r>
              <w:rPr>
                <w:rFonts w:ascii="Calibri" w:hAnsi="Calibri"/>
                <w:b w:val="0"/>
                <w:i w:val="0"/>
                <w:color w:val="1A1A19"/>
                <w:sz w:val="18"/>
              </w:rPr>
              <w:t>Scale</w:t>
            </w:r>
          </w:p>
        </w:tc>
        <w:tc>
          <w:tcPr>
            <w:tcW w:type="dxa" w:w="1440"/>
            <w:tcMar>
              <w:top w:w="60" w:type="dxa"/>
              <w:bottom w:w="60" w:type="dxa"/>
              <w:start w:w="110" w:type="dxa"/>
              <w:end w:w="110" w:type="dxa"/>
            </w:tcMar>
          </w:tcPr>
          <w:p>
            <w:pPr>
              <w:spacing w:after="0"/>
            </w:pPr>
            <w:r>
              <w:rPr>
                <w:rFonts w:ascii="Calibri" w:hAnsi="Calibri"/>
                <w:b w:val="0"/>
                <w:i w:val="0"/>
                <w:color w:val="1A1A19"/>
                <w:sz w:val="18"/>
              </w:rPr>
              <w:t>Y3–Y5</w:t>
            </w:r>
          </w:p>
        </w:tc>
        <w:tc>
          <w:tcPr>
            <w:tcW w:type="dxa" w:w="6768"/>
            <w:tcMar>
              <w:top w:w="60" w:type="dxa"/>
              <w:bottom w:w="60" w:type="dxa"/>
              <w:start w:w="110" w:type="dxa"/>
              <w:end w:w="110" w:type="dxa"/>
            </w:tcMar>
          </w:tcPr>
          <w:p>
            <w:pPr>
              <w:spacing w:after="0"/>
            </w:pPr>
            <w:r>
              <w:rPr>
                <w:rFonts w:ascii="Calibri" w:hAnsi="Calibri"/>
                <w:b w:val="0"/>
                <w:i w:val="0"/>
                <w:color w:val="1A1A19"/>
                <w:sz w:val="18"/>
              </w:rPr>
              <w:t>41 containers/yr across four markets by Y5; Alexandria branch; B2G/tenders desk; CKD assembly evaluation; closing cash USD 5,767,565</w:t>
            </w:r>
          </w:p>
        </w:tc>
      </w:tr>
    </w:tbl>
    <w:p>
      <w:pPr>
        <w:spacing w:after="40"/>
      </w:pPr>
    </w:p>
    <w:p>
      <w:pPr>
        <w:spacing w:after="1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0F2942"/>
            <w:tcMar>
              <w:top w:w="160" w:type="dxa"/>
              <w:bottom w:w="160" w:type="dxa"/>
              <w:start w:w="200" w:type="dxa"/>
              <w:end w:w="200" w:type="dxa"/>
            </w:tcMar>
          </w:tcPr>
          <w:p>
            <w:pPr>
              <w:spacing w:after="80"/>
              <w:jc w:val="center"/>
            </w:pPr>
            <w:r>
              <w:rPr>
                <w:rFonts w:ascii="Calibri" w:hAnsi="Calibri"/>
                <w:b/>
                <w:i w:val="0"/>
                <w:color w:val="C8892A"/>
                <w:sz w:val="22"/>
              </w:rPr>
              <w:t>The opportunity</w:t>
            </w:r>
          </w:p>
          <w:p>
            <w:pPr>
              <w:spacing w:after="0"/>
              <w:jc w:val="center"/>
            </w:pPr>
            <w:r>
              <w:rPr>
                <w:rFonts w:ascii="Calibri" w:hAnsi="Calibri"/>
                <w:b w:val="0"/>
                <w:i w:val="0"/>
                <w:color w:val="FFFFFF"/>
                <w:sz w:val="21"/>
              </w:rPr>
              <w:t>USD 1.0M buys half of a business that is already built: an exclusive energy-storage agency priced 15–26% under the premium brands, four markets in motion, a committed Sudan buyer and a founder already invested and operational — producing USD 9.4M of net profit over five years, 3.4x back in dividends alone, and every dollar of profit distributed.</w:t>
            </w:r>
          </w:p>
        </w:tc>
      </w:tr>
    </w:tbl>
    <w:p>
      <w:pPr>
        <w:spacing w:after="160" w:before="0"/>
      </w:pPr>
    </w:p>
    <w:p>
      <w:pPr>
        <w:spacing w:after="120" w:before="0"/>
      </w:pPr>
      <w:r>
        <w:rPr>
          <w:rFonts w:ascii="Calibri" w:hAnsi="Calibri"/>
          <w:b w:val="0"/>
          <w:i/>
          <w:color w:val="5C5B57"/>
          <w:sz w:val="18"/>
        </w:rPr>
        <w:t>Companion workbook: NORCO_Vestwoods_Investor_Model.xlsx — key assumptions, pre-op investment, pricing reference, staff plan, monthly Year-1 P&amp;L and cash flow, 5-year P&amp;L and cash flow, market detail, funding &amp; returns, shareholding and dashboard.</w:t>
      </w:r>
    </w:p>
    <w:sectPr w:rsidR="00FC693F" w:rsidRPr="0006063C" w:rsidSect="00034616">
      <w:footerReference w:type="default" r:id="rId9"/>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C5B57"/>
        <w:sz w:val="15"/>
      </w:rPr>
      <w:t>NORCO Egypt  ·  Vestwoods Business Plan &amp; Investment Proposal  ·  Strictly Private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