
<file path=[Content_Types].xml><?xml version="1.0" encoding="utf-8"?>
<Types xmlns="http://schemas.openxmlformats.org/package/2006/content-types">
  <Default Extension="wmf" ContentType="image/x-wmf"/>
  <Default Extension="png" ContentType="image/png"/>
  <Default Extension="xml" ContentType="application/xml"/>
  <Default Extension="jpeg" ContentType="image/jpeg"/>
  <Default Extension="rels" ContentType="application/vnd.openxmlformats-package.relationships+xml"/>
  <Default Extension="bin" ContentType="application/vnd.openxmlformats-officedocument.oleObject"/>
  <Override PartName="/docProps/app.xml" ContentType="application/vnd.openxmlformats-officedocument.extended-properties+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word/theme/theme1.xml" ContentType="application/vnd.openxmlformats-officedocument.theme+xml"/>
  <Override PartName="/docProps/core.xml" ContentType="application/vnd.openxmlformats-package.core-properties+xml"/>
  <Override PartName="/word/webSettings.xml" ContentType="application/vnd.openxmlformats-officedocument.wordprocessingml.webSettings+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top w:val="none" w:color="000000" w:sz="4" w:space="0"/>
          <w:left w:val="none" w:color="000000" w:sz="4" w:space="0"/>
          <w:bottom w:val="none" w:color="000000" w:sz="4" w:space="0"/>
          <w:right w:val="none" w:color="000000" w:sz="4" w:space="0"/>
        </w:pBdr>
        <w:spacing/>
        <w:ind w:right="0" w:firstLine="0" w:left="0"/>
        <w:rPr>
          <w:rFonts w:ascii="Arial" w:hAnsi="Arial" w:cs="Arial"/>
          <w:color w:val="000000"/>
          <w:sz w:val="20"/>
          <w:szCs w:val="20"/>
          <w:highlight w:val="none"/>
        </w:rPr>
      </w:pPr>
      <w:r>
        <w:rPr>
          <w:rFonts w:ascii="Arial" w:hAnsi="Arial" w:eastAsia="Arial" w:cs="Arial"/>
          <w:color w:val="000000"/>
          <w:sz w:val="20"/>
          <w:szCs w:val="20"/>
        </w:rPr>
        <w:t xml:space="preserve">Here is a comprehensive analysis of the key consumer trends shaping retail, food, and shopping</w:t>
      </w:r>
      <w:r>
        <w:rPr>
          <w:rFonts w:ascii="Arial" w:hAnsi="Arial" w:eastAsia="Arial" w:cs="Arial"/>
          <w:sz w:val="20"/>
          <w:szCs w:val="20"/>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0"/>
          <w:szCs w:val="20"/>
        </w:rPr>
      </w:pPr>
      <w:r>
        <w:rPr>
          <w:rFonts w:ascii="Arial" w:hAnsi="Arial" w:eastAsia="Arial" w:cs="Arial"/>
          <w:color w:val="000000"/>
          <w:sz w:val="20"/>
          <w:szCs w:val="20"/>
          <w:highlight w:val="none"/>
        </w:rPr>
        <w:t xml:space="preserve">EU, FINLAND, CHINA, US, UAE, KOREA and many comparisons </w:t>
      </w:r>
      <w:r>
        <w:rPr>
          <w:rFonts w:ascii="Arial" w:hAnsi="Arial" w:eastAsia="Arial" w:cs="Arial"/>
          <w:color w:val="000000"/>
          <w:sz w:val="20"/>
          <w:szCs w:val="20"/>
          <w:highlight w:val="none"/>
        </w:rPr>
      </w:r>
    </w:p>
    <w:p>
      <w:pPr>
        <w:pStyle w:val="139"/>
        <w:pBdr>
          <w:top w:val="none" w:color="000000" w:sz="4" w:space="0"/>
          <w:left w:val="none" w:color="000000" w:sz="4" w:space="0"/>
          <w:bottom w:val="none" w:color="000000" w:sz="4" w:space="0"/>
          <w:right w:val="none" w:color="000000" w:sz="4" w:space="0"/>
        </w:pBdr>
        <w:spacing/>
        <w:ind w:right="0" w:firstLine="0" w:left="0"/>
        <w:rPr>
          <w:rFonts w:ascii="Arial" w:hAnsi="Arial" w:cs="Arial"/>
          <w:sz w:val="20"/>
          <w:szCs w:val="20"/>
        </w:rPr>
      </w:pPr>
      <w:r>
        <w:rPr>
          <w:rFonts w:ascii="Arial" w:hAnsi="Arial" w:eastAsia="Arial" w:cs="Arial"/>
          <w:b/>
          <w:color w:val="000000"/>
          <w:sz w:val="20"/>
          <w:szCs w:val="20"/>
        </w:rPr>
        <w:t xml:space="preserve">Overview</w:t>
      </w:r>
      <w:r>
        <w:rPr>
          <w:rFonts w:ascii="Arial" w:hAnsi="Arial" w:eastAsia="Arial" w:cs="Arial"/>
          <w:sz w:val="20"/>
          <w:szCs w:val="20"/>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0"/>
          <w:szCs w:val="20"/>
        </w:rPr>
      </w:pPr>
      <w:r>
        <w:rPr>
          <w:rFonts w:ascii="Arial" w:hAnsi="Arial" w:eastAsia="Arial" w:cs="Arial"/>
          <w:color w:val="000000"/>
          <w:sz w:val="20"/>
          <w:szCs w:val="20"/>
        </w:rPr>
        <w:t xml:space="preserve">The 2026 retail landscape is defined by a sharp divide: European markets face cautious, post-inflation consumers while the UAE continues its high-growth trajectory. Finland sits in between — a recovering but still price-cautious market with a dominant duop</w:t>
      </w:r>
      <w:r>
        <w:rPr>
          <w:rFonts w:ascii="Arial" w:hAnsi="Arial" w:eastAsia="Arial" w:cs="Arial"/>
          <w:color w:val="000000"/>
          <w:sz w:val="20"/>
          <w:szCs w:val="20"/>
        </w:rPr>
        <w:t xml:space="preserve">oly. The common thread globally is that the mid-market is losing ground to both value and premium.mckinsey+1</w:t>
      </w:r>
      <w:r>
        <w:rPr>
          <w:rFonts w:ascii="Arial" w:hAnsi="Arial" w:eastAsia="Arial" w:cs="Arial"/>
          <w:sz w:val="20"/>
          <w:szCs w:val="20"/>
        </w:rPr>
      </w:r>
    </w:p>
    <w:p>
      <w:pPr>
        <w:pStyle w:val="139"/>
        <w:pBdr>
          <w:top w:val="none" w:color="000000" w:sz="4" w:space="0"/>
          <w:left w:val="none" w:color="000000" w:sz="4" w:space="0"/>
          <w:bottom w:val="none" w:color="000000" w:sz="4" w:space="0"/>
          <w:right w:val="none" w:color="000000" w:sz="4" w:space="0"/>
        </w:pBdr>
        <w:spacing/>
        <w:ind w:right="0" w:firstLine="0" w:left="0"/>
        <w:rPr>
          <w:rFonts w:ascii="Arial" w:hAnsi="Arial" w:cs="Arial"/>
          <w:sz w:val="20"/>
          <w:szCs w:val="20"/>
        </w:rPr>
      </w:pPr>
      <w:r>
        <w:rPr>
          <w:rFonts w:ascii="Arial" w:hAnsi="Arial" w:eastAsia="Arial" w:cs="Arial"/>
          <w:b/>
          <w:color w:val="000000"/>
          <w:sz w:val="20"/>
          <w:szCs w:val="20"/>
        </w:rPr>
        <w:t xml:space="preserve">Core Trends: EU-Wide</w:t>
      </w:r>
      <w:r>
        <w:rPr>
          <w:rFonts w:ascii="Arial" w:hAnsi="Arial" w:eastAsia="Arial" w:cs="Arial"/>
          <w:sz w:val="20"/>
          <w:szCs w:val="20"/>
        </w:rPr>
      </w:r>
    </w:p>
    <w:p>
      <w:pPr>
        <w:pStyle w:val="139"/>
        <w:pBdr>
          <w:top w:val="none" w:color="000000" w:sz="4" w:space="0"/>
          <w:left w:val="none" w:color="000000" w:sz="4" w:space="0"/>
          <w:bottom w:val="none" w:color="000000" w:sz="4" w:space="0"/>
          <w:right w:val="none" w:color="000000" w:sz="4" w:space="0"/>
        </w:pBdr>
        <w:spacing/>
        <w:ind w:right="0" w:firstLine="0" w:left="0"/>
        <w:rPr>
          <w:rFonts w:ascii="Arial" w:hAnsi="Arial" w:cs="Arial"/>
          <w:sz w:val="20"/>
          <w:szCs w:val="20"/>
        </w:rPr>
      </w:pPr>
      <w:r>
        <w:rPr>
          <w:rFonts w:ascii="Arial" w:hAnsi="Arial" w:eastAsia="Arial" w:cs="Arial"/>
          <w:b/>
          <w:color w:val="000000"/>
          <w:sz w:val="20"/>
          <w:szCs w:val="20"/>
        </w:rPr>
        <w:t xml:space="preserve">Value Polarization (Premiumization + Private Label)</w:t>
      </w:r>
      <w:r>
        <w:rPr>
          <w:rFonts w:ascii="Arial" w:hAnsi="Arial" w:eastAsia="Arial" w:cs="Arial"/>
          <w:sz w:val="20"/>
          <w:szCs w:val="20"/>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0"/>
          <w:szCs w:val="20"/>
        </w:rPr>
      </w:pPr>
      <w:r>
        <w:rPr>
          <w:rFonts w:ascii="Arial" w:hAnsi="Arial" w:eastAsia="Arial" w:cs="Arial"/>
          <w:b/>
          <w:color w:val="000000"/>
          <w:sz w:val="20"/>
          <w:szCs w:val="20"/>
        </w:rPr>
        <w:t xml:space="preserve">Status: Accelerating</w:t>
      </w:r>
      <w:r>
        <w:rPr>
          <w:rFonts w:ascii="Arial" w:hAnsi="Arial" w:eastAsia="Arial" w:cs="Arial"/>
          <w:color w:val="000000"/>
          <w:sz w:val="20"/>
          <w:szCs w:val="20"/>
        </w:rPr>
        <w:t xml:space="preserve"> — The "squeezed middle" is now structural, not cyclical. Consumers simultaneously trade up in categories that matter to them and trade down in others, making blanket mid-tier positioning a losing strategy. Net premium purchase intent rebounded from –5% in</w:t>
      </w:r>
      <w:r>
        <w:rPr>
          <w:rFonts w:ascii="Arial" w:hAnsi="Arial" w:eastAsia="Arial" w:cs="Arial"/>
          <w:color w:val="000000"/>
          <w:sz w:val="20"/>
          <w:szCs w:val="20"/>
        </w:rPr>
        <w:t xml:space="preserve"> 2023 to +3% in 2026, led by millennials.intotheminds+2</w:t>
      </w:r>
      <w:r>
        <w:rPr>
          <w:rFonts w:ascii="Arial" w:hAnsi="Arial" w:eastAsia="Arial" w:cs="Arial"/>
          <w:sz w:val="20"/>
          <w:szCs w:val="20"/>
        </w:rPr>
      </w:r>
    </w:p>
    <w:p>
      <w:pPr>
        <w:pStyle w:val="664"/>
        <w:numPr>
          <w:ilvl w:val="0"/>
          <w:numId w:val="1"/>
        </w:numPr>
        <w:pBdr>
          <w:top w:val="none" w:color="000000" w:sz="4" w:space="0"/>
          <w:left w:val="none" w:color="000000" w:sz="4" w:space="0"/>
          <w:bottom w:val="none" w:color="000000" w:sz="4" w:space="0"/>
          <w:right w:val="none" w:color="000000" w:sz="4" w:space="0"/>
        </w:pBdr>
        <w:spacing/>
        <w:ind w:right="0"/>
        <w:rPr>
          <w:rFonts w:ascii="Arial" w:hAnsi="Arial" w:cs="Arial"/>
          <w:sz w:val="20"/>
          <w:szCs w:val="20"/>
        </w:rPr>
      </w:pPr>
      <w:r>
        <w:rPr>
          <w:rFonts w:ascii="Arial" w:hAnsi="Arial" w:eastAsia="Arial" w:cs="Arial"/>
          <w:b/>
          <w:color w:val="000000"/>
          <w:sz w:val="20"/>
          <w:szCs w:val="20"/>
        </w:rPr>
        <w:t xml:space="preserve">Grocery stores:</w:t>
      </w:r>
      <w:r>
        <w:rPr>
          <w:rFonts w:ascii="Arial" w:hAnsi="Arial" w:eastAsia="Arial" w:cs="Arial"/>
          <w:color w:val="000000"/>
          <w:sz w:val="20"/>
          <w:szCs w:val="20"/>
        </w:rPr>
        <w:t xml:space="preserve"> Private-label ranges are expanding aggressively — over half of German shelf space may be own-brand by end of 2026; promotions account for 21.9% of French FMCG revenue.</w:t>
      </w:r>
      <w:hyperlink r:id="rId9" w:tooltip="https://www.intotheminds.com/blog/en/consumer-trends-2026/" w:history="1">
        <w:r>
          <w:rPr>
            <w:rStyle w:val="186"/>
            <w:rFonts w:ascii="Arial" w:hAnsi="Arial" w:eastAsia="Arial" w:cs="Arial"/>
            <w:color w:val="0000ee"/>
            <w:sz w:val="20"/>
            <w:szCs w:val="20"/>
            <w:u w:val="single"/>
          </w:rPr>
          <w:t xml:space="preserve">intotheminds</w:t>
        </w:r>
      </w:hyperlink>
      <w:r>
        <w:rPr>
          <w:rFonts w:ascii="Arial" w:hAnsi="Arial" w:eastAsia="Arial" w:cs="Arial"/>
          <w:sz w:val="20"/>
          <w:szCs w:val="20"/>
        </w:rPr>
      </w:r>
      <w:r>
        <w:rPr>
          <w:rFonts w:ascii="Arial" w:hAnsi="Arial" w:eastAsia="Arial" w:cs="Arial"/>
          <w:sz w:val="20"/>
          <w:szCs w:val="20"/>
        </w:rPr>
      </w:r>
    </w:p>
    <w:p>
      <w:pPr>
        <w:pStyle w:val="664"/>
        <w:numPr>
          <w:ilvl w:val="0"/>
          <w:numId w:val="1"/>
        </w:numPr>
        <w:pBdr>
          <w:top w:val="none" w:color="000000" w:sz="4" w:space="0"/>
          <w:left w:val="none" w:color="000000" w:sz="4" w:space="0"/>
          <w:bottom w:val="none" w:color="000000" w:sz="4" w:space="0"/>
          <w:right w:val="none" w:color="000000" w:sz="4" w:space="0"/>
        </w:pBdr>
        <w:spacing/>
        <w:ind w:right="0"/>
        <w:rPr>
          <w:rFonts w:ascii="Arial" w:hAnsi="Arial" w:cs="Arial"/>
          <w:sz w:val="20"/>
          <w:szCs w:val="20"/>
        </w:rPr>
      </w:pPr>
      <w:r>
        <w:rPr>
          <w:rFonts w:ascii="Arial" w:hAnsi="Arial" w:eastAsia="Arial" w:cs="Arial"/>
          <w:b/>
          <w:color w:val="000000"/>
          <w:sz w:val="20"/>
          <w:szCs w:val="20"/>
        </w:rPr>
        <w:t xml:space="preserve">Shopping malls:</w:t>
      </w:r>
      <w:r>
        <w:rPr>
          <w:rFonts w:ascii="Arial" w:hAnsi="Arial" w:eastAsia="Arial" w:cs="Arial"/>
          <w:color w:val="000000"/>
          <w:sz w:val="20"/>
          <w:szCs w:val="20"/>
        </w:rPr>
        <w:t xml:space="preserve"> Premium lifestyle and affordable luxury anchors outperform mid-tier department stores; value-fast-fashion chains grow alongside luxury boutiques.</w:t>
      </w:r>
      <w:hyperlink r:id="rId10" w:tooltip="https://yougov.com/reports/54229-retailer-rankings-2026" w:history="1">
        <w:r>
          <w:rPr>
            <w:rStyle w:val="186"/>
            <w:rFonts w:ascii="Arial" w:hAnsi="Arial" w:eastAsia="Arial" w:cs="Arial"/>
            <w:color w:val="0000ee"/>
            <w:sz w:val="20"/>
            <w:szCs w:val="20"/>
            <w:u w:val="single"/>
          </w:rPr>
          <w:t xml:space="preserve">yougov</w:t>
        </w:r>
      </w:hyperlink>
      <w:r>
        <w:rPr>
          <w:rFonts w:ascii="Arial" w:hAnsi="Arial" w:eastAsia="Arial" w:cs="Arial"/>
          <w:sz w:val="20"/>
          <w:szCs w:val="20"/>
        </w:rPr>
      </w:r>
      <w:r>
        <w:rPr>
          <w:rFonts w:ascii="Arial" w:hAnsi="Arial" w:eastAsia="Arial" w:cs="Arial"/>
          <w:sz w:val="20"/>
          <w:szCs w:val="20"/>
        </w:rPr>
      </w:r>
    </w:p>
    <w:p>
      <w:pPr>
        <w:pStyle w:val="139"/>
        <w:pBdr>
          <w:top w:val="none" w:color="000000" w:sz="4" w:space="0"/>
          <w:left w:val="none" w:color="000000" w:sz="4" w:space="0"/>
          <w:bottom w:val="none" w:color="000000" w:sz="4" w:space="0"/>
          <w:right w:val="none" w:color="000000" w:sz="4" w:space="0"/>
        </w:pBdr>
        <w:spacing/>
        <w:ind w:right="0" w:firstLine="0" w:left="0"/>
        <w:rPr>
          <w:rFonts w:ascii="Arial" w:hAnsi="Arial" w:cs="Arial"/>
          <w:sz w:val="20"/>
          <w:szCs w:val="20"/>
        </w:rPr>
      </w:pPr>
      <w:r>
        <w:rPr>
          <w:rFonts w:ascii="Arial" w:hAnsi="Arial" w:eastAsia="Arial" w:cs="Arial"/>
          <w:b/>
          <w:color w:val="000000"/>
          <w:sz w:val="20"/>
          <w:szCs w:val="20"/>
        </w:rPr>
        <w:t xml:space="preserve">Price Hypersensitivity</w:t>
      </w:r>
      <w:r>
        <w:rPr>
          <w:rFonts w:ascii="Arial" w:hAnsi="Arial" w:eastAsia="Arial" w:cs="Arial"/>
          <w:sz w:val="20"/>
          <w:szCs w:val="20"/>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0"/>
          <w:szCs w:val="20"/>
        </w:rPr>
      </w:pPr>
      <w:r>
        <w:rPr>
          <w:rFonts w:ascii="Arial" w:hAnsi="Arial" w:eastAsia="Arial" w:cs="Arial"/>
          <w:b/>
          <w:color w:val="000000"/>
          <w:sz w:val="20"/>
          <w:szCs w:val="20"/>
        </w:rPr>
        <w:t xml:space="preserve">Status: Stable (entrenched)</w:t>
      </w:r>
      <w:r>
        <w:rPr>
          <w:rFonts w:ascii="Arial" w:hAnsi="Arial" w:eastAsia="Arial" w:cs="Arial"/>
          <w:color w:val="000000"/>
          <w:sz w:val="20"/>
          <w:szCs w:val="20"/>
        </w:rPr>
        <w:t xml:space="preserve"> — This is no longer a reaction to inflation but a permanent behavioral shift. Consumers haven't forgiven shrinkflation; 76% of EU households actively budget monthly vs. 51% in 2022. German consumer confidence remains below pre-pandemic norms despite food </w:t>
      </w:r>
      <w:r>
        <w:rPr>
          <w:rFonts w:ascii="Arial" w:hAnsi="Arial" w:eastAsia="Arial" w:cs="Arial"/>
          <w:color w:val="000000"/>
          <w:sz w:val="20"/>
          <w:szCs w:val="20"/>
        </w:rPr>
        <w:t xml:space="preserve">inflation falling to 1.2%.firmeu+1</w:t>
      </w:r>
      <w:r>
        <w:rPr>
          <w:rFonts w:ascii="Arial" w:hAnsi="Arial" w:eastAsia="Arial" w:cs="Arial"/>
          <w:sz w:val="20"/>
          <w:szCs w:val="20"/>
        </w:rPr>
      </w:r>
    </w:p>
    <w:p>
      <w:pPr>
        <w:pStyle w:val="664"/>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sz w:val="20"/>
          <w:szCs w:val="20"/>
        </w:rPr>
      </w:pPr>
      <w:r>
        <w:rPr>
          <w:rFonts w:ascii="Arial" w:hAnsi="Arial" w:eastAsia="Arial" w:cs="Arial"/>
          <w:b/>
          <w:color w:val="000000"/>
          <w:sz w:val="20"/>
          <w:szCs w:val="20"/>
        </w:rPr>
        <w:t xml:space="preserve">Grocery stores:</w:t>
      </w:r>
      <w:r>
        <w:rPr>
          <w:rFonts w:ascii="Arial" w:hAnsi="Arial" w:eastAsia="Arial" w:cs="Arial"/>
          <w:color w:val="000000"/>
          <w:sz w:val="20"/>
          <w:szCs w:val="20"/>
        </w:rPr>
        <w:t xml:space="preserve"> Loyalty programs, price-matching, and multi-store hopping (avg. 3.5 chains/month) are standard behavior.</w:t>
      </w:r>
      <w:hyperlink r:id="rId11" w:tooltip="https://www.intotheminds.com/blog/en/consumer-trends-2026/" w:history="1">
        <w:r>
          <w:rPr>
            <w:rStyle w:val="186"/>
            <w:rFonts w:ascii="Arial" w:hAnsi="Arial" w:eastAsia="Arial" w:cs="Arial"/>
            <w:color w:val="0000ee"/>
            <w:sz w:val="20"/>
            <w:szCs w:val="20"/>
            <w:u w:val="single"/>
          </w:rPr>
          <w:t xml:space="preserve">intotheminds</w:t>
        </w:r>
      </w:hyperlink>
      <w:r>
        <w:rPr>
          <w:rFonts w:ascii="Arial" w:hAnsi="Arial" w:eastAsia="Arial" w:cs="Arial"/>
          <w:sz w:val="20"/>
          <w:szCs w:val="20"/>
        </w:rPr>
      </w:r>
      <w:r>
        <w:rPr>
          <w:rFonts w:ascii="Arial" w:hAnsi="Arial" w:eastAsia="Arial" w:cs="Arial"/>
          <w:sz w:val="20"/>
          <w:szCs w:val="20"/>
        </w:rPr>
      </w:r>
    </w:p>
    <w:p>
      <w:pPr>
        <w:pStyle w:val="664"/>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sz w:val="20"/>
          <w:szCs w:val="20"/>
        </w:rPr>
      </w:pPr>
      <w:r>
        <w:rPr>
          <w:rFonts w:ascii="Arial" w:hAnsi="Arial" w:eastAsia="Arial" w:cs="Arial"/>
          <w:b/>
          <w:color w:val="000000"/>
          <w:sz w:val="20"/>
          <w:szCs w:val="20"/>
        </w:rPr>
        <w:t xml:space="preserve">Shopping malls:</w:t>
      </w:r>
      <w:r>
        <w:rPr>
          <w:rFonts w:ascii="Arial" w:hAnsi="Arial" w:eastAsia="Arial" w:cs="Arial"/>
          <w:color w:val="000000"/>
          <w:sz w:val="20"/>
          <w:szCs w:val="20"/>
        </w:rPr>
        <w:t xml:space="preserve"> Footfall at value/discount anchor stores outperforms full-price; mall operators are diversifying away from pure retail toward F&amp;B and services.</w:t>
      </w:r>
      <w:hyperlink r:id="rId12" w:tooltip="https://www.cbre.com/insights/books/european-real-estate-market-outlook-2026/retail" w:history="1">
        <w:r>
          <w:rPr>
            <w:rStyle w:val="186"/>
            <w:rFonts w:ascii="Arial" w:hAnsi="Arial" w:eastAsia="Arial" w:cs="Arial"/>
            <w:color w:val="0000ee"/>
            <w:sz w:val="20"/>
            <w:szCs w:val="20"/>
            <w:u w:val="single"/>
          </w:rPr>
          <w:t xml:space="preserve">cbre</w:t>
        </w:r>
      </w:hyperlink>
      <w:r>
        <w:rPr>
          <w:rFonts w:ascii="Arial" w:hAnsi="Arial" w:eastAsia="Arial" w:cs="Arial"/>
          <w:sz w:val="20"/>
          <w:szCs w:val="20"/>
        </w:rPr>
        <mc:AlternateContent>
          <mc:Choice Requires="wpg">
            <w:drawing>
              <wp:inline xmlns:wp="http://schemas.openxmlformats.org/drawingml/2006/wordprocessingDrawing" distT="0" distB="0" distL="0" distR="0">
                <wp:extent cx="5943600" cy="3467100"/>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146211" name=""/>
                        <pic:cNvPicPr>
                          <a:picLocks noChangeAspect="1"/>
                        </pic:cNvPicPr>
                        <pic:nvPr/>
                      </pic:nvPicPr>
                      <pic:blipFill>
                        <a:blip r:embed="rId13"/>
                        <a:stretch/>
                      </pic:blipFill>
                      <pic:spPr bwMode="auto">
                        <a:xfrm>
                          <a:off x="0" y="0"/>
                          <a:ext cx="5943599" cy="34670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8.00pt;height:273.00pt;mso-wrap-distance-left:0.00pt;mso-wrap-distance-top:0.00pt;mso-wrap-distance-right:0.00pt;mso-wrap-distance-bottom:0.00pt;z-index:1;" stroked="false">
                <v:imagedata r:id="rId13" o:title=""/>
                <o:lock v:ext="edit" rotation="t"/>
              </v:shape>
            </w:pict>
          </mc:Fallback>
        </mc:AlternateContent>
      </w:r>
      <w:r>
        <w:rPr>
          <w:rFonts w:ascii="Arial" w:hAnsi="Arial" w:eastAsia="Arial" w:cs="Arial"/>
          <w:sz w:val="20"/>
          <w:szCs w:val="20"/>
        </w:rPr>
      </w:r>
      <w:r>
        <w:rPr>
          <w:rFonts w:ascii="Arial" w:hAnsi="Arial" w:eastAsia="Arial" w:cs="Arial"/>
          <w:sz w:val="20"/>
          <w:szCs w:val="20"/>
        </w:rPr>
      </w:r>
    </w:p>
    <w:p>
      <w:pPr>
        <w:pStyle w:val="139"/>
        <w:pBdr>
          <w:top w:val="none" w:color="000000" w:sz="4" w:space="0"/>
          <w:left w:val="none" w:color="000000" w:sz="4" w:space="0"/>
          <w:bottom w:val="none" w:color="000000" w:sz="4" w:space="0"/>
          <w:right w:val="none" w:color="000000" w:sz="4" w:space="0"/>
        </w:pBdr>
        <w:spacing/>
        <w:ind w:right="0" w:firstLine="0" w:left="0"/>
        <w:rPr>
          <w:rFonts w:ascii="Arial" w:hAnsi="Arial" w:cs="Arial"/>
          <w:sz w:val="20"/>
          <w:szCs w:val="20"/>
        </w:rPr>
      </w:pPr>
      <w:r>
        <w:rPr>
          <w:rFonts w:ascii="Arial" w:hAnsi="Arial" w:eastAsia="Arial" w:cs="Arial"/>
          <w:b/>
          <w:color w:val="000000"/>
          <w:sz w:val="20"/>
          <w:szCs w:val="20"/>
        </w:rPr>
        <w:t xml:space="preserve">Convenience Food &amp; Food-to-Go</w:t>
      </w:r>
      <w:r>
        <w:rPr>
          <w:rFonts w:ascii="Arial" w:hAnsi="Arial" w:eastAsia="Arial" w:cs="Arial"/>
          <w:sz w:val="20"/>
          <w:szCs w:val="20"/>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0"/>
          <w:szCs w:val="20"/>
        </w:rPr>
      </w:pPr>
      <w:r>
        <w:rPr>
          <w:rFonts w:ascii="Arial" w:hAnsi="Arial" w:eastAsia="Arial" w:cs="Arial"/>
          <w:b/>
          <w:color w:val="000000"/>
          <w:sz w:val="20"/>
          <w:szCs w:val="20"/>
        </w:rPr>
        <w:t xml:space="preserve">Status: Rising</w:t>
      </w:r>
      <w:r>
        <w:rPr>
          <w:rFonts w:ascii="Arial" w:hAnsi="Arial" w:eastAsia="Arial" w:cs="Arial"/>
          <w:color w:val="000000"/>
          <w:sz w:val="20"/>
          <w:szCs w:val="20"/>
        </w:rPr>
        <w:t xml:space="preserve"> — Intent to buy ready-to-eat meals rose 2 pp year-on-year; 47% of Gen Z and 40% of millennials consume food-to-go at least weekly. Intent to cook from scratch dropped 4 pp among Gen Z in 2026.</w:t>
      </w:r>
      <w:hyperlink r:id="rId14" w:tooltip="https://www.mckinsey.com/industries/retail/our-insights/state-of-grocery-europe-report" w:history="1">
        <w:r>
          <w:rPr>
            <w:rStyle w:val="186"/>
            <w:rFonts w:ascii="Arial" w:hAnsi="Arial" w:eastAsia="Arial" w:cs="Arial"/>
            <w:color w:val="0000ee"/>
            <w:sz w:val="20"/>
            <w:szCs w:val="20"/>
            <w:u w:val="single"/>
          </w:rPr>
          <w:t xml:space="preserve">mckinsey</w:t>
        </w:r>
      </w:hyperlink>
      <w:r>
        <w:rPr>
          <w:rFonts w:ascii="Arial" w:hAnsi="Arial" w:eastAsia="Arial" w:cs="Arial"/>
          <w:sz w:val="20"/>
          <w:szCs w:val="20"/>
        </w:rPr>
      </w:r>
      <w:r>
        <w:rPr>
          <w:rFonts w:ascii="Arial" w:hAnsi="Arial" w:eastAsia="Arial" w:cs="Arial"/>
          <w:sz w:val="20"/>
          <w:szCs w:val="20"/>
        </w:rPr>
      </w:r>
    </w:p>
    <w:p>
      <w:pPr>
        <w:pStyle w:val="664"/>
        <w:numPr>
          <w:ilvl w:val="0"/>
          <w:numId w:val="3"/>
        </w:numPr>
        <w:pBdr>
          <w:top w:val="none" w:color="000000" w:sz="4" w:space="0"/>
          <w:left w:val="none" w:color="000000" w:sz="4" w:space="0"/>
          <w:bottom w:val="none" w:color="000000" w:sz="4" w:space="0"/>
          <w:right w:val="none" w:color="000000" w:sz="4" w:space="0"/>
        </w:pBdr>
        <w:spacing/>
        <w:ind w:right="0"/>
        <w:rPr>
          <w:rFonts w:ascii="Arial" w:hAnsi="Arial" w:cs="Arial"/>
          <w:sz w:val="20"/>
          <w:szCs w:val="20"/>
        </w:rPr>
      </w:pPr>
      <w:r>
        <w:rPr>
          <w:rFonts w:ascii="Arial" w:hAnsi="Arial" w:eastAsia="Arial" w:cs="Arial"/>
          <w:b/>
          <w:color w:val="000000"/>
          <w:sz w:val="20"/>
          <w:szCs w:val="20"/>
        </w:rPr>
        <w:t xml:space="preserve">Grocery stores:</w:t>
      </w:r>
      <w:r>
        <w:rPr>
          <w:rFonts w:ascii="Arial" w:hAnsi="Arial" w:eastAsia="Arial" w:cs="Arial"/>
          <w:color w:val="000000"/>
          <w:sz w:val="20"/>
          <w:szCs w:val="20"/>
        </w:rPr>
        <w:t xml:space="preserve"> Major reshuffling of floor space toward grab-and-go, hot deli, and meal kit sections; foodservice is outgrowing grocery volume growth by 2 pp.</w:t>
      </w:r>
      <w:hyperlink r:id="rId15" w:tooltip="https://www.eurocommerce.eu/app/uploads/2026/04/press-release-the-state-of-grocery-retail-2026.pdf" w:history="1">
        <w:r>
          <w:rPr>
            <w:rStyle w:val="186"/>
            <w:rFonts w:ascii="Arial" w:hAnsi="Arial" w:eastAsia="Arial" w:cs="Arial"/>
            <w:color w:val="0000ee"/>
            <w:sz w:val="20"/>
            <w:szCs w:val="20"/>
            <w:u w:val="single"/>
          </w:rPr>
          <w:t xml:space="preserve">eurocommerce</w:t>
        </w:r>
      </w:hyperlink>
      <w:r>
        <w:rPr>
          <w:rFonts w:ascii="Arial" w:hAnsi="Arial" w:eastAsia="Arial" w:cs="Arial"/>
          <w:sz w:val="20"/>
          <w:szCs w:val="20"/>
        </w:rPr>
      </w:r>
      <w:r>
        <w:rPr>
          <w:rFonts w:ascii="Arial" w:hAnsi="Arial" w:eastAsia="Arial" w:cs="Arial"/>
          <w:sz w:val="20"/>
          <w:szCs w:val="20"/>
        </w:rPr>
      </w:r>
    </w:p>
    <w:p>
      <w:pPr>
        <w:pStyle w:val="664"/>
        <w:numPr>
          <w:ilvl w:val="0"/>
          <w:numId w:val="3"/>
        </w:numPr>
        <w:pBdr>
          <w:top w:val="none" w:color="000000" w:sz="4" w:space="0"/>
          <w:left w:val="none" w:color="000000" w:sz="4" w:space="0"/>
          <w:bottom w:val="none" w:color="000000" w:sz="4" w:space="0"/>
          <w:right w:val="none" w:color="000000" w:sz="4" w:space="0"/>
        </w:pBdr>
        <w:spacing/>
        <w:ind w:right="0"/>
        <w:rPr>
          <w:rFonts w:ascii="Arial" w:hAnsi="Arial" w:cs="Arial"/>
          <w:sz w:val="20"/>
          <w:szCs w:val="20"/>
        </w:rPr>
      </w:pPr>
      <w:r>
        <w:rPr>
          <w:rFonts w:ascii="Arial" w:hAnsi="Arial" w:eastAsia="Arial" w:cs="Arial"/>
          <w:b/>
          <w:color w:val="000000"/>
          <w:sz w:val="20"/>
          <w:szCs w:val="20"/>
        </w:rPr>
        <w:t xml:space="preserve">Shopping malls:</w:t>
      </w:r>
      <w:r>
        <w:rPr>
          <w:rFonts w:ascii="Arial" w:hAnsi="Arial" w:eastAsia="Arial" w:cs="Arial"/>
          <w:color w:val="000000"/>
          <w:sz w:val="20"/>
          <w:szCs w:val="20"/>
        </w:rPr>
        <w:t xml:space="preserve"> Food courts and fast-casual dining anchors become primary traffic drivers, not retail. Proximity format stores with hot food gain share.</w:t>
      </w:r>
      <w:hyperlink r:id="rId16" w:tooltip="https://www.intotheminds.com/blog/en/consumer-trends-2026/" w:history="1">
        <w:r>
          <w:rPr>
            <w:rStyle w:val="186"/>
            <w:rFonts w:ascii="Arial" w:hAnsi="Arial" w:eastAsia="Arial" w:cs="Arial"/>
            <w:color w:val="0000ee"/>
            <w:sz w:val="20"/>
            <w:szCs w:val="20"/>
            <w:u w:val="single"/>
          </w:rPr>
          <w:t xml:space="preserve">intotheminds</w:t>
        </w:r>
      </w:hyperlink>
      <w:r>
        <w:rPr>
          <w:rFonts w:ascii="Arial" w:hAnsi="Arial" w:eastAsia="Arial" w:cs="Arial"/>
          <w:sz w:val="20"/>
          <w:szCs w:val="20"/>
        </w:rPr>
      </w:r>
      <w:r>
        <w:rPr>
          <w:rFonts w:ascii="Arial" w:hAnsi="Arial" w:eastAsia="Arial" w:cs="Arial"/>
          <w:sz w:val="20"/>
          <w:szCs w:val="20"/>
        </w:rPr>
      </w:r>
    </w:p>
    <w:p>
      <w:pPr>
        <w:pStyle w:val="139"/>
        <w:pBdr>
          <w:top w:val="none" w:color="000000" w:sz="4" w:space="0"/>
          <w:left w:val="none" w:color="000000" w:sz="4" w:space="0"/>
          <w:bottom w:val="none" w:color="000000" w:sz="4" w:space="0"/>
          <w:right w:val="none" w:color="000000" w:sz="4" w:space="0"/>
        </w:pBdr>
        <w:spacing/>
        <w:ind w:right="0" w:firstLine="0" w:left="0"/>
        <w:rPr>
          <w:rFonts w:ascii="Arial" w:hAnsi="Arial" w:cs="Arial"/>
          <w:sz w:val="20"/>
          <w:szCs w:val="20"/>
        </w:rPr>
      </w:pPr>
      <w:r>
        <w:rPr>
          <w:rFonts w:ascii="Arial" w:hAnsi="Arial" w:eastAsia="Arial" w:cs="Arial"/>
          <w:b/>
          <w:color w:val="000000"/>
          <w:sz w:val="20"/>
          <w:szCs w:val="20"/>
        </w:rPr>
        <w:t xml:space="preserve">AI in Shopping</w:t>
      </w:r>
      <w:r>
        <w:rPr>
          <w:rFonts w:ascii="Arial" w:hAnsi="Arial" w:eastAsia="Arial" w:cs="Arial"/>
          <w:sz w:val="20"/>
          <w:szCs w:val="20"/>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0"/>
          <w:szCs w:val="20"/>
        </w:rPr>
      </w:pPr>
      <w:r>
        <w:rPr>
          <w:rFonts w:ascii="Arial" w:hAnsi="Arial" w:eastAsia="Arial" w:cs="Arial"/>
          <w:b/>
          <w:color w:val="000000"/>
          <w:sz w:val="20"/>
          <w:szCs w:val="20"/>
        </w:rPr>
        <w:t xml:space="preserve">Status: Rising (early stage)</w:t>
      </w:r>
      <w:r>
        <w:rPr>
          <w:rFonts w:ascii="Arial" w:hAnsi="Arial" w:eastAsia="Arial" w:cs="Arial"/>
          <w:color w:val="000000"/>
          <w:sz w:val="20"/>
          <w:szCs w:val="20"/>
        </w:rPr>
        <w:t xml:space="preserve"> — 12% of EU consumers have already used AI in their grocery journey; of these, 40% use it for meal planning, 37% for product research, and 36% for price/recipe matching. Gen Z intent to increase AI use in grocery stands at 28% vs. 6% for boomers. Retailer</w:t>
      </w:r>
      <w:r>
        <w:rPr>
          <w:rFonts w:ascii="Arial" w:hAnsi="Arial" w:eastAsia="Arial" w:cs="Arial"/>
          <w:color w:val="000000"/>
          <w:sz w:val="20"/>
          <w:szCs w:val="20"/>
        </w:rPr>
        <w:t xml:space="preserve">s are deploying AI-driven targeting on in-store digital screens and retail media networks.igd+1</w:t>
      </w:r>
      <w:r>
        <w:rPr>
          <w:rFonts w:ascii="Arial" w:hAnsi="Arial" w:eastAsia="Arial" w:cs="Arial"/>
          <w:sz w:val="20"/>
          <w:szCs w:val="20"/>
        </w:rPr>
      </w:r>
    </w:p>
    <w:p>
      <w:pPr>
        <w:pStyle w:val="664"/>
        <w:numPr>
          <w:ilvl w:val="0"/>
          <w:numId w:val="4"/>
        </w:numPr>
        <w:pBdr>
          <w:top w:val="none" w:color="000000" w:sz="4" w:space="0"/>
          <w:left w:val="none" w:color="000000" w:sz="4" w:space="0"/>
          <w:bottom w:val="none" w:color="000000" w:sz="4" w:space="0"/>
          <w:right w:val="none" w:color="000000" w:sz="4" w:space="0"/>
        </w:pBdr>
        <w:spacing/>
        <w:ind w:right="0"/>
        <w:rPr>
          <w:rFonts w:ascii="Arial" w:hAnsi="Arial" w:cs="Arial"/>
          <w:sz w:val="20"/>
          <w:szCs w:val="20"/>
        </w:rPr>
      </w:pPr>
      <w:r>
        <w:rPr>
          <w:rFonts w:ascii="Arial" w:hAnsi="Arial" w:eastAsia="Arial" w:cs="Arial"/>
          <w:b/>
          <w:color w:val="000000"/>
          <w:sz w:val="20"/>
          <w:szCs w:val="20"/>
        </w:rPr>
        <w:t xml:space="preserve">Grocery stores:</w:t>
      </w:r>
      <w:r>
        <w:rPr>
          <w:rFonts w:ascii="Arial" w:hAnsi="Arial" w:eastAsia="Arial" w:cs="Arial"/>
          <w:color w:val="000000"/>
          <w:sz w:val="20"/>
          <w:szCs w:val="20"/>
        </w:rPr>
        <w:t xml:space="preserve"> AI is entering shelf placement, dynamic pricing, and personalized loyalty. Retailers with strong apps score significantly higher on satisfaction — 30 of 40 dual-channel retailers scored better online than in-store.</w:t>
      </w:r>
      <w:hyperlink r:id="rId17" w:tooltip="https://www.mckinsey.com/industries/retail/our-insights/state-of-grocery-europe-report" w:history="1">
        <w:r>
          <w:rPr>
            <w:rStyle w:val="186"/>
            <w:rFonts w:ascii="Arial" w:hAnsi="Arial" w:eastAsia="Arial" w:cs="Arial"/>
            <w:color w:val="0000ee"/>
            <w:sz w:val="20"/>
            <w:szCs w:val="20"/>
            <w:u w:val="single"/>
          </w:rPr>
          <w:t xml:space="preserve">mckinsey</w:t>
        </w:r>
      </w:hyperlink>
      <w:r>
        <w:rPr>
          <w:rFonts w:ascii="Arial" w:hAnsi="Arial" w:eastAsia="Arial" w:cs="Arial"/>
          <w:sz w:val="20"/>
          <w:szCs w:val="20"/>
        </w:rPr>
      </w:r>
      <w:r>
        <w:rPr>
          <w:rFonts w:ascii="Arial" w:hAnsi="Arial" w:eastAsia="Arial" w:cs="Arial"/>
          <w:sz w:val="20"/>
          <w:szCs w:val="20"/>
        </w:rPr>
      </w:r>
    </w:p>
    <w:p>
      <w:pPr>
        <w:pStyle w:val="664"/>
        <w:numPr>
          <w:ilvl w:val="0"/>
          <w:numId w:val="4"/>
        </w:numPr>
        <w:pBdr>
          <w:top w:val="none" w:color="000000" w:sz="4" w:space="0"/>
          <w:left w:val="none" w:color="000000" w:sz="4" w:space="0"/>
          <w:bottom w:val="none" w:color="000000" w:sz="4" w:space="0"/>
          <w:right w:val="none" w:color="000000" w:sz="4" w:space="0"/>
        </w:pBdr>
        <w:spacing/>
        <w:ind w:right="0"/>
        <w:rPr>
          <w:rFonts w:ascii="Arial" w:hAnsi="Arial" w:cs="Arial"/>
          <w:sz w:val="20"/>
          <w:szCs w:val="20"/>
        </w:rPr>
      </w:pPr>
      <w:r>
        <w:rPr>
          <w:rFonts w:ascii="Arial" w:hAnsi="Arial" w:eastAsia="Arial" w:cs="Arial"/>
          <w:b/>
          <w:color w:val="000000"/>
          <w:sz w:val="20"/>
          <w:szCs w:val="20"/>
        </w:rPr>
        <w:t xml:space="preserve">Shopping malls:</w:t>
      </w:r>
      <w:r>
        <w:rPr>
          <w:rFonts w:ascii="Arial" w:hAnsi="Arial" w:eastAsia="Arial" w:cs="Arial"/>
          <w:color w:val="000000"/>
          <w:sz w:val="20"/>
          <w:szCs w:val="20"/>
        </w:rPr>
        <w:t xml:space="preserve"> Retail media (digital screens, data-driven ads) is becoming a new revenue stream replacing declining rental income.</w:t>
      </w:r>
      <w:hyperlink r:id="rId18" w:tooltip="https://www.igd.com/articles/european-retail-trends-driving-growth-in-2026/72167" w:history="1">
        <w:r>
          <w:rPr>
            <w:rStyle w:val="186"/>
            <w:rFonts w:ascii="Arial" w:hAnsi="Arial" w:eastAsia="Arial" w:cs="Arial"/>
            <w:color w:val="0000ee"/>
            <w:sz w:val="20"/>
            <w:szCs w:val="20"/>
            <w:u w:val="single"/>
          </w:rPr>
          <w:t xml:space="preserve">igd</w:t>
        </w:r>
      </w:hyperlink>
      <w:r>
        <w:rPr>
          <w:rFonts w:ascii="Arial" w:hAnsi="Arial" w:eastAsia="Arial" w:cs="Arial"/>
          <w:sz w:val="20"/>
          <w:szCs w:val="20"/>
        </w:rPr>
      </w:r>
      <w:r>
        <w:rPr>
          <w:rFonts w:ascii="Arial" w:hAnsi="Arial" w:eastAsia="Arial" w:cs="Arial"/>
          <w:sz w:val="20"/>
          <w:szCs w:val="20"/>
        </w:rPr>
      </w:r>
    </w:p>
    <w:p>
      <w:pPr>
        <w:pStyle w:val="139"/>
        <w:pBdr>
          <w:top w:val="none" w:color="000000" w:sz="4" w:space="0"/>
          <w:left w:val="none" w:color="000000" w:sz="4" w:space="0"/>
          <w:bottom w:val="none" w:color="000000" w:sz="4" w:space="0"/>
          <w:right w:val="none" w:color="000000" w:sz="4" w:space="0"/>
        </w:pBdr>
        <w:spacing/>
        <w:ind w:right="0" w:firstLine="0" w:left="0"/>
        <w:rPr>
          <w:rFonts w:ascii="Arial" w:hAnsi="Arial" w:cs="Arial"/>
          <w:sz w:val="20"/>
          <w:szCs w:val="20"/>
        </w:rPr>
      </w:pPr>
      <w:r>
        <w:rPr>
          <w:rFonts w:ascii="Arial" w:hAnsi="Arial" w:eastAsia="Arial" w:cs="Arial"/>
          <w:b/>
          <w:color w:val="000000"/>
          <w:sz w:val="20"/>
          <w:szCs w:val="20"/>
        </w:rPr>
        <w:t xml:space="preserve">Hypermarket Decline / Proximity Store Rise</w:t>
      </w:r>
      <w:r>
        <w:rPr>
          <w:rFonts w:ascii="Arial" w:hAnsi="Arial" w:eastAsia="Arial" w:cs="Arial"/>
          <w:sz w:val="20"/>
          <w:szCs w:val="20"/>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0"/>
          <w:szCs w:val="20"/>
        </w:rPr>
      </w:pPr>
      <w:r>
        <w:rPr>
          <w:rFonts w:ascii="Arial" w:hAnsi="Arial" w:eastAsia="Arial" w:cs="Arial"/>
          <w:b/>
          <w:color w:val="000000"/>
          <w:sz w:val="20"/>
          <w:szCs w:val="20"/>
        </w:rPr>
        <w:t xml:space="preserve">Status: Hypermarkets falling, proximity accelerating</w:t>
      </w:r>
      <w:r>
        <w:rPr>
          <w:rFonts w:ascii="Arial" w:hAnsi="Arial" w:eastAsia="Arial" w:cs="Arial"/>
          <w:color w:val="000000"/>
          <w:sz w:val="20"/>
          <w:szCs w:val="20"/>
        </w:rPr>
        <w:t xml:space="preserve"> — French hypermarkets are projected down –0.5%; proximity stores up +5.3% and drive-throughs up +5.7% in 2026. Consumers favor formats that combine accessibility and efficiency.</w:t>
      </w:r>
      <w:hyperlink r:id="rId19" w:tooltip="https://www.intotheminds.com/blog/en/consumer-trends-2026/" w:history="1">
        <w:r>
          <w:rPr>
            <w:rStyle w:val="186"/>
            <w:rFonts w:ascii="Arial" w:hAnsi="Arial" w:eastAsia="Arial" w:cs="Arial"/>
            <w:color w:val="0000ee"/>
            <w:sz w:val="20"/>
            <w:szCs w:val="20"/>
            <w:u w:val="single"/>
          </w:rPr>
          <w:t xml:space="preserve">intotheminds</w:t>
        </w:r>
      </w:hyperlink>
      <w:r>
        <w:rPr>
          <w:rFonts w:ascii="Arial" w:hAnsi="Arial" w:eastAsia="Arial" w:cs="Arial"/>
          <w:sz w:val="20"/>
          <w:szCs w:val="20"/>
        </w:rPr>
      </w:r>
      <w:r>
        <w:rPr>
          <w:rFonts w:ascii="Arial" w:hAnsi="Arial" w:eastAsia="Arial" w:cs="Arial"/>
          <w:sz w:val="20"/>
          <w:szCs w:val="20"/>
        </w:rPr>
      </w:r>
    </w:p>
    <w:p>
      <w:pPr>
        <w:pStyle w:val="664"/>
        <w:numPr>
          <w:ilvl w:val="0"/>
          <w:numId w:val="5"/>
        </w:numPr>
        <w:pBdr>
          <w:top w:val="none" w:color="000000" w:sz="4" w:space="0"/>
          <w:left w:val="none" w:color="000000" w:sz="4" w:space="0"/>
          <w:bottom w:val="none" w:color="000000" w:sz="4" w:space="0"/>
          <w:right w:val="none" w:color="000000" w:sz="4" w:space="0"/>
        </w:pBdr>
        <w:spacing/>
        <w:ind w:right="0"/>
        <w:rPr>
          <w:rFonts w:ascii="Arial" w:hAnsi="Arial" w:cs="Arial"/>
          <w:sz w:val="20"/>
          <w:szCs w:val="20"/>
        </w:rPr>
      </w:pPr>
      <w:r>
        <w:rPr>
          <w:rFonts w:ascii="Arial" w:hAnsi="Arial" w:eastAsia="Arial" w:cs="Arial"/>
          <w:b/>
          <w:color w:val="000000"/>
          <w:sz w:val="20"/>
          <w:szCs w:val="20"/>
        </w:rPr>
        <w:t xml:space="preserve">Grocery stores:</w:t>
      </w:r>
      <w:r>
        <w:rPr>
          <w:rFonts w:ascii="Arial" w:hAnsi="Arial" w:eastAsia="Arial" w:cs="Arial"/>
          <w:color w:val="000000"/>
          <w:sz w:val="20"/>
          <w:szCs w:val="20"/>
        </w:rPr>
        <w:t xml:space="preserve"> Large-format grocery is losing share structurally; smaller, well-located stores with curated assortments are gaining.</w:t>
      </w:r>
      <w:hyperlink r:id="rId20" w:tooltip="https://www.intotheminds.com/blog/en/consumer-trends-2026/" w:history="1">
        <w:r>
          <w:rPr>
            <w:rStyle w:val="186"/>
            <w:rFonts w:ascii="Arial" w:hAnsi="Arial" w:eastAsia="Arial" w:cs="Arial"/>
            <w:color w:val="0000ee"/>
            <w:sz w:val="20"/>
            <w:szCs w:val="20"/>
            <w:u w:val="single"/>
          </w:rPr>
          <w:t xml:space="preserve">intotheminds</w:t>
        </w:r>
      </w:hyperlink>
      <w:r>
        <w:rPr>
          <w:rFonts w:ascii="Arial" w:hAnsi="Arial" w:eastAsia="Arial" w:cs="Arial"/>
          <w:sz w:val="20"/>
          <w:szCs w:val="20"/>
        </w:rPr>
      </w:r>
      <w:r>
        <w:rPr>
          <w:rFonts w:ascii="Arial" w:hAnsi="Arial" w:eastAsia="Arial" w:cs="Arial"/>
          <w:sz w:val="20"/>
          <w:szCs w:val="20"/>
        </w:rPr>
      </w:r>
    </w:p>
    <w:p>
      <w:pPr>
        <w:pStyle w:val="664"/>
        <w:numPr>
          <w:ilvl w:val="0"/>
          <w:numId w:val="5"/>
        </w:numPr>
        <w:pBdr>
          <w:top w:val="none" w:color="000000" w:sz="4" w:space="0"/>
          <w:left w:val="none" w:color="000000" w:sz="4" w:space="0"/>
          <w:bottom w:val="none" w:color="000000" w:sz="4" w:space="0"/>
          <w:right w:val="none" w:color="000000" w:sz="4" w:space="0"/>
        </w:pBdr>
        <w:spacing/>
        <w:ind w:right="0"/>
        <w:rPr>
          <w:rFonts w:ascii="Arial" w:hAnsi="Arial" w:cs="Arial"/>
          <w:sz w:val="20"/>
          <w:szCs w:val="20"/>
        </w:rPr>
      </w:pPr>
      <w:r>
        <w:rPr>
          <w:rFonts w:ascii="Arial" w:hAnsi="Arial" w:eastAsia="Arial" w:cs="Arial"/>
          <w:b/>
          <w:color w:val="000000"/>
          <w:sz w:val="20"/>
          <w:szCs w:val="20"/>
        </w:rPr>
        <w:t xml:space="preserve">Shopping malls:</w:t>
      </w:r>
      <w:r>
        <w:rPr>
          <w:rFonts w:ascii="Arial" w:hAnsi="Arial" w:eastAsia="Arial" w:cs="Arial"/>
          <w:color w:val="000000"/>
          <w:sz w:val="20"/>
          <w:szCs w:val="20"/>
        </w:rPr>
        <w:t xml:space="preserve"> Mall-anchor hypermarkets face strategic pressure. Mixed-use redevelopment (residential, leisure, F&amp;B) is filling the gap where hypermarkets once anchored.</w:t>
      </w:r>
      <w:hyperlink r:id="rId21" w:tooltip="https://www.cbre.com/insights/books/european-real-estate-market-outlook-2026/retail" w:history="1">
        <w:r>
          <w:rPr>
            <w:rStyle w:val="186"/>
            <w:rFonts w:ascii="Arial" w:hAnsi="Arial" w:eastAsia="Arial" w:cs="Arial"/>
            <w:color w:val="0000ee"/>
            <w:sz w:val="20"/>
            <w:szCs w:val="20"/>
            <w:u w:val="single"/>
          </w:rPr>
          <w:t xml:space="preserve">cbre</w:t>
        </w:r>
      </w:hyperlink>
      <w:r>
        <w:rPr>
          <w:rFonts w:ascii="Arial" w:hAnsi="Arial" w:eastAsia="Arial" w:cs="Arial"/>
          <w:sz w:val="20"/>
          <w:szCs w:val="20"/>
        </w:rPr>
      </w:r>
      <w:r>
        <w:rPr>
          <w:rFonts w:ascii="Arial" w:hAnsi="Arial" w:eastAsia="Arial" w:cs="Arial"/>
          <w:sz w:val="20"/>
          <w:szCs w:val="20"/>
        </w:rPr>
      </w:r>
    </w:p>
    <w:p>
      <w:pPr>
        <w:pStyle w:val="139"/>
        <w:pBdr>
          <w:top w:val="none" w:color="000000" w:sz="4" w:space="0"/>
          <w:left w:val="none" w:color="000000" w:sz="4" w:space="0"/>
          <w:bottom w:val="none" w:color="000000" w:sz="4" w:space="0"/>
          <w:right w:val="none" w:color="000000" w:sz="4" w:space="0"/>
        </w:pBdr>
        <w:spacing/>
        <w:ind w:right="0" w:firstLine="0" w:left="0"/>
        <w:rPr>
          <w:rFonts w:ascii="Arial" w:hAnsi="Arial" w:cs="Arial"/>
          <w:sz w:val="20"/>
          <w:szCs w:val="20"/>
        </w:rPr>
      </w:pPr>
      <w:r>
        <w:rPr>
          <w:rFonts w:ascii="Arial" w:hAnsi="Arial" w:eastAsia="Arial" w:cs="Arial"/>
          <w:b/>
          <w:color w:val="000000"/>
          <w:sz w:val="20"/>
          <w:szCs w:val="20"/>
        </w:rPr>
        <w:t xml:space="preserve">Health &amp; Functional Food</w:t>
      </w:r>
      <w:r>
        <w:rPr>
          <w:rFonts w:ascii="Arial" w:hAnsi="Arial" w:eastAsia="Arial" w:cs="Arial"/>
          <w:sz w:val="20"/>
          <w:szCs w:val="20"/>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0"/>
          <w:szCs w:val="20"/>
        </w:rPr>
      </w:pPr>
      <w:r>
        <w:rPr>
          <w:rFonts w:ascii="Arial" w:hAnsi="Arial" w:eastAsia="Arial" w:cs="Arial"/>
          <w:b/>
          <w:color w:val="000000"/>
          <w:sz w:val="20"/>
          <w:szCs w:val="20"/>
        </w:rPr>
        <w:t xml:space="preserve">Status: Rising</w:t>
      </w:r>
      <w:r>
        <w:rPr>
          <w:rFonts w:ascii="Arial" w:hAnsi="Arial" w:eastAsia="Arial" w:cs="Arial"/>
          <w:color w:val="000000"/>
          <w:sz w:val="20"/>
          <w:szCs w:val="20"/>
        </w:rPr>
        <w:t xml:space="preserve"> — Protein, gut health, and mental well-being are the top EU food growth categories in 2026. Targeted health is an IGD top-5 trend, with retailers creating "active food zones" and health subscriptions. Functional beverage growth is at 7–8% in the UAE.innov</w:t>
      </w:r>
      <w:r>
        <w:rPr>
          <w:rFonts w:ascii="Arial" w:hAnsi="Arial" w:eastAsia="Arial" w:cs="Arial"/>
          <w:color w:val="000000"/>
          <w:sz w:val="20"/>
          <w:szCs w:val="20"/>
        </w:rPr>
        <w:t xml:space="preserve">amarketinsights+2</w:t>
      </w:r>
      <w:r>
        <w:rPr>
          <w:rFonts w:ascii="Arial" w:hAnsi="Arial" w:eastAsia="Arial" w:cs="Arial"/>
          <w:sz w:val="20"/>
          <w:szCs w:val="20"/>
        </w:rPr>
      </w:r>
    </w:p>
    <w:p>
      <w:pPr>
        <w:pStyle w:val="664"/>
        <w:numPr>
          <w:ilvl w:val="0"/>
          <w:numId w:val="6"/>
        </w:numPr>
        <w:pBdr>
          <w:top w:val="none" w:color="000000" w:sz="4" w:space="0"/>
          <w:left w:val="none" w:color="000000" w:sz="4" w:space="0"/>
          <w:bottom w:val="none" w:color="000000" w:sz="4" w:space="0"/>
          <w:right w:val="none" w:color="000000" w:sz="4" w:space="0"/>
        </w:pBdr>
        <w:spacing/>
        <w:ind w:right="0"/>
        <w:rPr>
          <w:rFonts w:ascii="Arial" w:hAnsi="Arial" w:cs="Arial"/>
          <w:sz w:val="20"/>
          <w:szCs w:val="20"/>
        </w:rPr>
      </w:pPr>
      <w:r>
        <w:rPr>
          <w:rFonts w:ascii="Arial" w:hAnsi="Arial" w:eastAsia="Arial" w:cs="Arial"/>
          <w:b/>
          <w:color w:val="000000"/>
          <w:sz w:val="20"/>
          <w:szCs w:val="20"/>
        </w:rPr>
        <w:t xml:space="preserve">Grocery stores:</w:t>
      </w:r>
      <w:r>
        <w:rPr>
          <w:rFonts w:ascii="Arial" w:hAnsi="Arial" w:eastAsia="Arial" w:cs="Arial"/>
          <w:color w:val="000000"/>
          <w:sz w:val="20"/>
          <w:szCs w:val="20"/>
        </w:rPr>
        <w:t xml:space="preserve"> Dedicated health-food aisles, nutraceutical ranges, and clear nutritional labeling are expanding.</w:t>
      </w:r>
      <w:hyperlink r:id="rId22" w:tooltip="https://www.igd.com/articles/european-retail-trends-driving-growth-in-2026/72167" w:history="1">
        <w:r>
          <w:rPr>
            <w:rStyle w:val="186"/>
            <w:rFonts w:ascii="Arial" w:hAnsi="Arial" w:eastAsia="Arial" w:cs="Arial"/>
            <w:color w:val="0000ee"/>
            <w:sz w:val="20"/>
            <w:szCs w:val="20"/>
            <w:u w:val="single"/>
          </w:rPr>
          <w:t xml:space="preserve">igd</w:t>
        </w:r>
      </w:hyperlink>
      <w:r>
        <w:rPr>
          <w:rFonts w:ascii="Arial" w:hAnsi="Arial" w:eastAsia="Arial" w:cs="Arial"/>
          <w:sz w:val="20"/>
          <w:szCs w:val="20"/>
        </w:rPr>
      </w:r>
      <w:r>
        <w:rPr>
          <w:rFonts w:ascii="Arial" w:hAnsi="Arial" w:eastAsia="Arial" w:cs="Arial"/>
          <w:sz w:val="20"/>
          <w:szCs w:val="20"/>
        </w:rPr>
      </w:r>
    </w:p>
    <w:p>
      <w:pPr>
        <w:pStyle w:val="664"/>
        <w:numPr>
          <w:ilvl w:val="0"/>
          <w:numId w:val="6"/>
        </w:numPr>
        <w:pBdr>
          <w:top w:val="none" w:color="000000" w:sz="4" w:space="0"/>
          <w:left w:val="none" w:color="000000" w:sz="4" w:space="0"/>
          <w:bottom w:val="none" w:color="000000" w:sz="4" w:space="0"/>
          <w:right w:val="none" w:color="000000" w:sz="4" w:space="0"/>
        </w:pBdr>
        <w:spacing/>
        <w:ind w:right="0"/>
        <w:rPr>
          <w:rFonts w:ascii="Arial" w:hAnsi="Arial" w:cs="Arial"/>
          <w:sz w:val="20"/>
          <w:szCs w:val="20"/>
        </w:rPr>
      </w:pPr>
      <w:r>
        <w:rPr>
          <w:rFonts w:ascii="Arial" w:hAnsi="Arial" w:eastAsia="Arial" w:cs="Arial"/>
          <w:b/>
          <w:color w:val="000000"/>
          <w:sz w:val="20"/>
          <w:szCs w:val="20"/>
        </w:rPr>
        <w:t xml:space="preserve">Shopping malls:</w:t>
      </w:r>
      <w:r>
        <w:rPr>
          <w:rFonts w:ascii="Arial" w:hAnsi="Arial" w:eastAsia="Arial" w:cs="Arial"/>
          <w:color w:val="000000"/>
          <w:sz w:val="20"/>
          <w:szCs w:val="20"/>
        </w:rPr>
        <w:t xml:space="preserve"> Health-concept stores, supplement retailers, and active lifestyle brands are outperforming conventional fashion tenants.</w:t>
      </w:r>
      <w:hyperlink r:id="rId23" w:tooltip="https://www.igd.com/articles/european-retail-trends-driving-growth-in-2026/72167" w:history="1">
        <w:r>
          <w:rPr>
            <w:rStyle w:val="186"/>
            <w:rFonts w:ascii="Arial" w:hAnsi="Arial" w:eastAsia="Arial" w:cs="Arial"/>
            <w:color w:val="0000ee"/>
            <w:sz w:val="20"/>
            <w:szCs w:val="20"/>
            <w:u w:val="single"/>
          </w:rPr>
          <w:t xml:space="preserve">igd</w:t>
        </w:r>
      </w:hyperlink>
      <w:r>
        <w:rPr>
          <w:rFonts w:ascii="Arial" w:hAnsi="Arial" w:eastAsia="Arial" w:cs="Arial"/>
          <w:sz w:val="20"/>
          <w:szCs w:val="20"/>
        </w:rPr>
      </w:r>
      <w:r>
        <w:rPr>
          <w:rFonts w:ascii="Arial" w:hAnsi="Arial" w:eastAsia="Arial" w:cs="Arial"/>
          <w:sz w:val="20"/>
          <w:szCs w:val="20"/>
        </w:rPr>
      </w:r>
    </w:p>
    <w:p>
      <w:pPr>
        <w:pStyle w:val="139"/>
        <w:pBdr>
          <w:top w:val="none" w:color="000000" w:sz="4" w:space="0"/>
          <w:left w:val="none" w:color="000000" w:sz="4" w:space="0"/>
          <w:bottom w:val="none" w:color="000000" w:sz="4" w:space="0"/>
          <w:right w:val="none" w:color="000000" w:sz="4" w:space="0"/>
        </w:pBdr>
        <w:spacing/>
        <w:ind w:right="0" w:firstLine="0" w:left="0"/>
        <w:rPr>
          <w:rFonts w:ascii="Arial" w:hAnsi="Arial" w:cs="Arial"/>
          <w:sz w:val="20"/>
          <w:szCs w:val="20"/>
        </w:rPr>
      </w:pPr>
      <w:r>
        <w:rPr>
          <w:rFonts w:ascii="Arial" w:hAnsi="Arial" w:eastAsia="Arial" w:cs="Arial"/>
          <w:b/>
          <w:color w:val="000000"/>
          <w:sz w:val="20"/>
          <w:szCs w:val="20"/>
        </w:rPr>
        <w:t xml:space="preserve">Sustainability / Clean Label</w:t>
      </w:r>
      <w:r>
        <w:rPr>
          <w:rFonts w:ascii="Arial" w:hAnsi="Arial" w:eastAsia="Arial" w:cs="Arial"/>
          <w:sz w:val="20"/>
          <w:szCs w:val="20"/>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0"/>
          <w:szCs w:val="20"/>
        </w:rPr>
      </w:pPr>
      <w:r>
        <w:rPr>
          <w:rFonts w:ascii="Arial" w:hAnsi="Arial" w:eastAsia="Arial" w:cs="Arial"/>
          <w:b/>
          <w:color w:val="000000"/>
          <w:sz w:val="20"/>
          <w:szCs w:val="20"/>
        </w:rPr>
        <w:t xml:space="preserve">Status: Stable (aspirational but price-gated)</w:t>
      </w:r>
      <w:r>
        <w:rPr>
          <w:rFonts w:ascii="Arial" w:hAnsi="Arial" w:eastAsia="Arial" w:cs="Arial"/>
          <w:color w:val="000000"/>
          <w:sz w:val="20"/>
          <w:szCs w:val="20"/>
        </w:rPr>
        <w:t xml:space="preserve"> — Consumer attitudes toward sustainability remain positive but fail to consistently convert to purchase. Finnish research confirms this explicitly: positive attitude, but price barriers limit action. Retailers are pivoting to "visible sustainability" — up</w:t>
      </w:r>
      <w:r>
        <w:rPr>
          <w:rFonts w:ascii="Arial" w:hAnsi="Arial" w:eastAsia="Arial" w:cs="Arial"/>
          <w:color w:val="000000"/>
          <w:sz w:val="20"/>
          <w:szCs w:val="20"/>
        </w:rPr>
        <w:t xml:space="preserve">cycling food waste, regenerative farming, sustainable packaging.theseus+1</w:t>
      </w:r>
      <w:r>
        <w:rPr>
          <w:rFonts w:ascii="Arial" w:hAnsi="Arial" w:eastAsia="Arial" w:cs="Arial"/>
          <w:sz w:val="20"/>
          <w:szCs w:val="20"/>
        </w:rPr>
      </w:r>
    </w:p>
    <w:p>
      <w:pPr>
        <w:pStyle w:val="664"/>
        <w:numPr>
          <w:ilvl w:val="0"/>
          <w:numId w:val="7"/>
        </w:numPr>
        <w:pBdr>
          <w:top w:val="none" w:color="000000" w:sz="4" w:space="0"/>
          <w:left w:val="none" w:color="000000" w:sz="4" w:space="0"/>
          <w:bottom w:val="none" w:color="000000" w:sz="4" w:space="0"/>
          <w:right w:val="none" w:color="000000" w:sz="4" w:space="0"/>
        </w:pBdr>
        <w:spacing/>
        <w:ind w:right="0"/>
        <w:rPr>
          <w:rFonts w:ascii="Arial" w:hAnsi="Arial" w:cs="Arial"/>
          <w:sz w:val="20"/>
          <w:szCs w:val="20"/>
        </w:rPr>
      </w:pPr>
      <w:r>
        <w:rPr>
          <w:rFonts w:ascii="Arial" w:hAnsi="Arial" w:eastAsia="Arial" w:cs="Arial"/>
          <w:b/>
          <w:color w:val="000000"/>
          <w:sz w:val="20"/>
          <w:szCs w:val="20"/>
        </w:rPr>
        <w:t xml:space="preserve">Grocery stores:</w:t>
      </w:r>
      <w:r>
        <w:rPr>
          <w:rFonts w:ascii="Arial" w:hAnsi="Arial" w:eastAsia="Arial" w:cs="Arial"/>
          <w:color w:val="000000"/>
          <w:sz w:val="20"/>
          <w:szCs w:val="20"/>
        </w:rPr>
        <w:t xml:space="preserve"> Clean-label and organic ranges grow within health-conscious segments but remain niche without subsidized pricing.</w:t>
      </w:r>
      <w:hyperlink r:id="rId24" w:tooltip="https://www.igd.com/articles/european-retail-trends-driving-growth-in-2026/72167" w:history="1">
        <w:r>
          <w:rPr>
            <w:rStyle w:val="186"/>
            <w:rFonts w:ascii="Arial" w:hAnsi="Arial" w:eastAsia="Arial" w:cs="Arial"/>
            <w:color w:val="0000ee"/>
            <w:sz w:val="20"/>
            <w:szCs w:val="20"/>
            <w:u w:val="single"/>
          </w:rPr>
          <w:t xml:space="preserve">igd</w:t>
        </w:r>
      </w:hyperlink>
      <w:r>
        <w:rPr>
          <w:rFonts w:ascii="Arial" w:hAnsi="Arial" w:eastAsia="Arial" w:cs="Arial"/>
          <w:sz w:val="20"/>
          <w:szCs w:val="20"/>
        </w:rPr>
      </w:r>
      <w:r>
        <w:rPr>
          <w:rFonts w:ascii="Arial" w:hAnsi="Arial" w:eastAsia="Arial" w:cs="Arial"/>
          <w:sz w:val="20"/>
          <w:szCs w:val="20"/>
        </w:rPr>
      </w:r>
    </w:p>
    <w:p>
      <w:pPr>
        <w:pStyle w:val="664"/>
        <w:numPr>
          <w:ilvl w:val="0"/>
          <w:numId w:val="7"/>
        </w:numPr>
        <w:pBdr>
          <w:top w:val="none" w:color="000000" w:sz="4" w:space="0"/>
          <w:left w:val="none" w:color="000000" w:sz="4" w:space="0"/>
          <w:bottom w:val="none" w:color="000000" w:sz="4" w:space="0"/>
          <w:right w:val="none" w:color="000000" w:sz="4" w:space="0"/>
        </w:pBdr>
        <w:spacing/>
        <w:ind w:right="0"/>
        <w:rPr>
          <w:rFonts w:ascii="Arial" w:hAnsi="Arial" w:cs="Arial"/>
          <w:sz w:val="20"/>
          <w:szCs w:val="20"/>
        </w:rPr>
      </w:pPr>
      <w:r>
        <w:rPr>
          <w:rFonts w:ascii="Arial" w:hAnsi="Arial" w:eastAsia="Arial" w:cs="Arial"/>
          <w:b/>
          <w:color w:val="000000"/>
          <w:sz w:val="20"/>
          <w:szCs w:val="20"/>
        </w:rPr>
        <w:t xml:space="preserve">Shopping malls:</w:t>
      </w:r>
      <w:r>
        <w:rPr>
          <w:rFonts w:ascii="Arial" w:hAnsi="Arial" w:eastAsia="Arial" w:cs="Arial"/>
          <w:color w:val="000000"/>
          <w:sz w:val="20"/>
          <w:szCs w:val="20"/>
        </w:rPr>
        <w:t xml:space="preserve"> Green building certifications and waste-reduction initiatives matter more to institutional mall owners (ESG compliance) than to shoppers directly.</w:t>
      </w:r>
      <w:hyperlink r:id="rId25" w:tooltip="https://www.cbre.com/insights/books/european-real-estate-market-outlook-2026/retail" w:history="1">
        <w:r>
          <w:rPr>
            <w:rStyle w:val="186"/>
            <w:rFonts w:ascii="Arial" w:hAnsi="Arial" w:eastAsia="Arial" w:cs="Arial"/>
            <w:color w:val="0000ee"/>
            <w:sz w:val="20"/>
            <w:szCs w:val="20"/>
            <w:u w:val="single"/>
          </w:rPr>
          <w:t xml:space="preserve">cbre</w:t>
        </w:r>
      </w:hyperlink>
      <w:r>
        <w:rPr>
          <w:rFonts w:ascii="Arial" w:hAnsi="Arial" w:eastAsia="Arial" w:cs="Arial"/>
          <w:sz w:val="20"/>
          <w:szCs w:val="20"/>
        </w:rPr>
      </w:r>
      <w:r>
        <w:rPr>
          <w:rFonts w:ascii="Arial" w:hAnsi="Arial" w:eastAsia="Arial" w:cs="Arial"/>
          <w:sz w:val="20"/>
          <w:szCs w:val="20"/>
        </w:rPr>
      </w:r>
    </w:p>
    <w:p>
      <w:pPr>
        <w:pStyle w:val="139"/>
        <w:pBdr>
          <w:top w:val="none" w:color="000000" w:sz="4" w:space="0"/>
          <w:left w:val="none" w:color="000000" w:sz="4" w:space="0"/>
          <w:bottom w:val="none" w:color="000000" w:sz="4" w:space="0"/>
          <w:right w:val="none" w:color="000000" w:sz="4" w:space="0"/>
        </w:pBdr>
        <w:spacing/>
        <w:ind w:right="0" w:firstLine="0" w:left="0"/>
        <w:rPr>
          <w:rFonts w:ascii="Arial" w:hAnsi="Arial" w:cs="Arial"/>
          <w:sz w:val="20"/>
          <w:szCs w:val="20"/>
        </w:rPr>
      </w:pPr>
      <w:r>
        <w:rPr>
          <w:rFonts w:ascii="Arial" w:hAnsi="Arial" w:eastAsia="Arial" w:cs="Arial"/>
          <w:b/>
          <w:color w:val="000000"/>
          <w:sz w:val="20"/>
          <w:szCs w:val="20"/>
        </w:rPr>
        <w:t xml:space="preserve">E-Commerce Grocery</w:t>
      </w:r>
      <w:r>
        <w:rPr>
          <w:rFonts w:ascii="Arial" w:hAnsi="Arial" w:eastAsia="Arial" w:cs="Arial"/>
          <w:sz w:val="20"/>
          <w:szCs w:val="20"/>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0"/>
          <w:szCs w:val="20"/>
        </w:rPr>
      </w:pPr>
      <w:r>
        <w:rPr>
          <w:rFonts w:ascii="Arial" w:hAnsi="Arial" w:eastAsia="Arial" w:cs="Arial"/>
          <w:b/>
          <w:color w:val="000000"/>
          <w:sz w:val="20"/>
          <w:szCs w:val="20"/>
        </w:rPr>
        <w:t xml:space="preserve">Status: Accelerating</w:t>
      </w:r>
      <w:r>
        <w:rPr>
          <w:rFonts w:ascii="Arial" w:hAnsi="Arial" w:eastAsia="Arial" w:cs="Arial"/>
          <w:color w:val="000000"/>
          <w:sz w:val="20"/>
          <w:szCs w:val="20"/>
        </w:rPr>
        <w:t xml:space="preserve"> — France reaches 13.3% of FMCG spending online (+2.8% in 2025). For value, online satisfaction consistently beats in-store across 40 major European retailers. The UAE e-commerce grocery market has grown from ~2% in 2019 to a significantly higher share by </w:t>
      </w:r>
      <w:r>
        <w:rPr>
          <w:rFonts w:ascii="Arial" w:hAnsi="Arial" w:eastAsia="Arial" w:cs="Arial"/>
          <w:color w:val="000000"/>
          <w:sz w:val="20"/>
          <w:szCs w:val="20"/>
        </w:rPr>
        <w:t xml:space="preserve">2026.bagason+2</w:t>
      </w:r>
      <w:r>
        <w:rPr>
          <w:rFonts w:ascii="Arial" w:hAnsi="Arial" w:eastAsia="Arial" w:cs="Arial"/>
          <w:sz w:val="20"/>
          <w:szCs w:val="20"/>
        </w:rPr>
      </w:r>
    </w:p>
    <w:p>
      <w:pPr>
        <w:pStyle w:val="664"/>
        <w:numPr>
          <w:ilvl w:val="0"/>
          <w:numId w:val="8"/>
        </w:numPr>
        <w:pBdr>
          <w:top w:val="none" w:color="000000" w:sz="4" w:space="0"/>
          <w:left w:val="none" w:color="000000" w:sz="4" w:space="0"/>
          <w:bottom w:val="none" w:color="000000" w:sz="4" w:space="0"/>
          <w:right w:val="none" w:color="000000" w:sz="4" w:space="0"/>
        </w:pBdr>
        <w:spacing/>
        <w:ind w:right="0"/>
        <w:rPr>
          <w:rFonts w:ascii="Arial" w:hAnsi="Arial" w:cs="Arial"/>
          <w:sz w:val="20"/>
          <w:szCs w:val="20"/>
        </w:rPr>
      </w:pPr>
      <w:r>
        <w:rPr>
          <w:rFonts w:ascii="Arial" w:hAnsi="Arial" w:eastAsia="Arial" w:cs="Arial"/>
          <w:b/>
          <w:color w:val="000000"/>
          <w:sz w:val="20"/>
          <w:szCs w:val="20"/>
        </w:rPr>
        <w:t xml:space="preserve">Grocery stores:</w:t>
      </w:r>
      <w:r>
        <w:rPr>
          <w:rFonts w:ascii="Arial" w:hAnsi="Arial" w:eastAsia="Arial" w:cs="Arial"/>
          <w:color w:val="000000"/>
          <w:sz w:val="20"/>
          <w:szCs w:val="20"/>
        </w:rPr>
        <w:t xml:space="preserve"> Omnichannel fulfillment (click-and-collect, dark stores, in-store picking) is now table stakes.</w:t>
      </w:r>
      <w:hyperlink r:id="rId26" w:tooltip="https://www.intotheminds.com/blog/en/consumer-trends-2026/" w:history="1">
        <w:r>
          <w:rPr>
            <w:rStyle w:val="186"/>
            <w:rFonts w:ascii="Arial" w:hAnsi="Arial" w:eastAsia="Arial" w:cs="Arial"/>
            <w:color w:val="0000ee"/>
            <w:sz w:val="20"/>
            <w:szCs w:val="20"/>
            <w:u w:val="single"/>
          </w:rPr>
          <w:t xml:space="preserve">intotheminds</w:t>
        </w:r>
      </w:hyperlink>
      <w:r>
        <w:rPr>
          <w:rFonts w:ascii="Arial" w:hAnsi="Arial" w:eastAsia="Arial" w:cs="Arial"/>
          <w:sz w:val="20"/>
          <w:szCs w:val="20"/>
        </w:rPr>
      </w:r>
      <w:r>
        <w:rPr>
          <w:rFonts w:ascii="Arial" w:hAnsi="Arial" w:eastAsia="Arial" w:cs="Arial"/>
          <w:sz w:val="20"/>
          <w:szCs w:val="20"/>
        </w:rPr>
      </w:r>
    </w:p>
    <w:p>
      <w:pPr>
        <w:pStyle w:val="664"/>
        <w:numPr>
          <w:ilvl w:val="0"/>
          <w:numId w:val="8"/>
        </w:numPr>
        <w:pBdr>
          <w:top w:val="none" w:color="000000" w:sz="4" w:space="0"/>
          <w:left w:val="none" w:color="000000" w:sz="4" w:space="0"/>
          <w:bottom w:val="none" w:color="000000" w:sz="4" w:space="0"/>
          <w:right w:val="none" w:color="000000" w:sz="4" w:space="0"/>
        </w:pBdr>
        <w:spacing/>
        <w:ind w:right="0"/>
        <w:rPr>
          <w:rFonts w:ascii="Arial" w:hAnsi="Arial" w:cs="Arial"/>
          <w:sz w:val="20"/>
          <w:szCs w:val="20"/>
        </w:rPr>
      </w:pPr>
      <w:r>
        <w:rPr>
          <w:rFonts w:ascii="Arial" w:hAnsi="Arial" w:eastAsia="Arial" w:cs="Arial"/>
          <w:b/>
          <w:color w:val="000000"/>
          <w:sz w:val="20"/>
          <w:szCs w:val="20"/>
        </w:rPr>
        <w:t xml:space="preserve">Shopping malls:</w:t>
      </w:r>
      <w:r>
        <w:rPr>
          <w:rFonts w:ascii="Arial" w:hAnsi="Arial" w:eastAsia="Arial" w:cs="Arial"/>
          <w:color w:val="000000"/>
          <w:sz w:val="20"/>
          <w:szCs w:val="20"/>
        </w:rPr>
        <w:t xml:space="preserve"> Drive-through and click-and-collect hubs are replacing traditional mall parking structures as retail infrastructure.</w:t>
      </w:r>
      <w:hyperlink r:id="rId27" w:tooltip="https://www.intotheminds.com/blog/en/consumer-trends-2026/" w:history="1">
        <w:r>
          <w:rPr>
            <w:rStyle w:val="186"/>
            <w:rFonts w:ascii="Arial" w:hAnsi="Arial" w:eastAsia="Arial" w:cs="Arial"/>
            <w:color w:val="0000ee"/>
            <w:sz w:val="20"/>
            <w:szCs w:val="20"/>
            <w:u w:val="single"/>
          </w:rPr>
          <w:t xml:space="preserve">intotheminds</w:t>
        </w:r>
      </w:hyperlink>
      <w:r>
        <w:rPr>
          <w:rFonts w:ascii="Arial" w:hAnsi="Arial" w:eastAsia="Arial" w:cs="Arial"/>
          <w:sz w:val="20"/>
          <w:szCs w:val="20"/>
        </w:rPr>
      </w:r>
      <w:r>
        <w:rPr>
          <w:rFonts w:ascii="Arial" w:hAnsi="Arial" w:eastAsia="Arial" w:cs="Arial"/>
          <w:sz w:val="20"/>
          <w:szCs w:val="20"/>
        </w:rPr>
      </w:r>
    </w:p>
    <w:p>
      <w:pPr>
        <w:pStyle w:val="139"/>
        <w:pBdr>
          <w:top w:val="none" w:color="000000" w:sz="4" w:space="0"/>
          <w:left w:val="none" w:color="000000" w:sz="4" w:space="0"/>
          <w:bottom w:val="none" w:color="000000" w:sz="4" w:space="0"/>
          <w:right w:val="none" w:color="000000" w:sz="4" w:space="0"/>
        </w:pBdr>
        <w:spacing/>
        <w:ind w:right="0" w:firstLine="0" w:left="0"/>
        <w:rPr>
          <w:rFonts w:ascii="Arial" w:hAnsi="Arial" w:cs="Arial"/>
          <w:sz w:val="20"/>
          <w:szCs w:val="20"/>
        </w:rPr>
      </w:pPr>
      <w:r>
        <w:rPr>
          <w:rFonts w:ascii="Arial" w:hAnsi="Arial" w:eastAsia="Arial" w:cs="Arial"/>
          <w:b/>
          <w:color w:val="000000"/>
          <w:sz w:val="20"/>
          <w:szCs w:val="20"/>
        </w:rPr>
        <w:t xml:space="preserve">Finland-Specific Notes</w:t>
      </w:r>
      <w:r>
        <w:rPr>
          <w:rFonts w:ascii="Arial" w:hAnsi="Arial" w:eastAsia="Arial" w:cs="Arial"/>
          <w:sz w:val="20"/>
          <w:szCs w:val="20"/>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0"/>
          <w:szCs w:val="20"/>
        </w:rPr>
      </w:pPr>
      <w:r>
        <w:rPr>
          <w:rFonts w:ascii="Arial" w:hAnsi="Arial" w:eastAsia="Arial" w:cs="Arial"/>
          <w:color w:val="000000"/>
          <w:sz w:val="20"/>
          <w:szCs w:val="20"/>
        </w:rPr>
        <w:t xml:space="preserve">The Finnish grocery market remains a concentrated duopoly — K Group (33.5% share) and S Group together control over 80% of the market. Consumer confidence is recovering gradually, and K Group gained market share in H2 2025, driven by investment in store ne</w:t>
      </w:r>
      <w:r>
        <w:rPr>
          <w:rFonts w:ascii="Arial" w:hAnsi="Arial" w:eastAsia="Arial" w:cs="Arial"/>
          <w:color w:val="000000"/>
          <w:sz w:val="20"/>
          <w:szCs w:val="20"/>
        </w:rPr>
        <w:t xml:space="preserve">tworks (€200–250M annually) and price/quality balance. Finnish consumers strongly favor </w:t>
      </w:r>
      <w:r>
        <w:rPr>
          <w:rFonts w:ascii="Arial" w:hAnsi="Arial" w:eastAsia="Arial" w:cs="Arial"/>
          <w:b/>
          <w:color w:val="000000"/>
          <w:sz w:val="20"/>
          <w:szCs w:val="20"/>
        </w:rPr>
        <w:t xml:space="preserve">local and domestic products</w:t>
      </w:r>
      <w:r>
        <w:rPr>
          <w:rFonts w:ascii="Arial" w:hAnsi="Arial" w:eastAsia="Arial" w:cs="Arial"/>
          <w:color w:val="000000"/>
          <w:sz w:val="20"/>
          <w:szCs w:val="20"/>
        </w:rPr>
        <w:t xml:space="preserve"> — country of origin is the top purchasing driver after brand trust, ahead of even sustainability. Sustainability attitudes are positive but consistently blocked by price sensitivity — a pattern unique to Nordic pragmatism. For shopping malls, Finnish reta</w:t>
      </w:r>
      <w:r>
        <w:rPr>
          <w:rFonts w:ascii="Arial" w:hAnsi="Arial" w:eastAsia="Arial" w:cs="Arial"/>
          <w:color w:val="000000"/>
          <w:sz w:val="20"/>
          <w:szCs w:val="20"/>
        </w:rPr>
        <w:t xml:space="preserve">il is cautiously shifting toward experience-led formats, though the pace lags Western Europe.kesko+2</w:t>
      </w:r>
      <w:r>
        <w:rPr>
          <w:rFonts w:ascii="Arial" w:hAnsi="Arial" w:eastAsia="Arial" w:cs="Arial"/>
          <w:sz w:val="20"/>
          <w:szCs w:val="20"/>
        </w:rPr>
      </w:r>
    </w:p>
    <w:p>
      <w:pPr>
        <w:pStyle w:val="139"/>
        <w:pBdr>
          <w:top w:val="none" w:color="000000" w:sz="4" w:space="0"/>
          <w:left w:val="none" w:color="000000" w:sz="4" w:space="0"/>
          <w:bottom w:val="none" w:color="000000" w:sz="4" w:space="0"/>
          <w:right w:val="none" w:color="000000" w:sz="4" w:space="0"/>
        </w:pBdr>
        <w:spacing/>
        <w:ind w:right="0" w:firstLine="0" w:left="0"/>
        <w:rPr>
          <w:rFonts w:ascii="Arial" w:hAnsi="Arial" w:cs="Arial"/>
          <w:sz w:val="20"/>
          <w:szCs w:val="20"/>
        </w:rPr>
      </w:pPr>
      <w:r>
        <w:rPr>
          <w:rFonts w:ascii="Arial" w:hAnsi="Arial" w:eastAsia="Arial" w:cs="Arial"/>
          <w:b/>
          <w:color w:val="000000"/>
          <w:sz w:val="20"/>
          <w:szCs w:val="20"/>
        </w:rPr>
        <w:t xml:space="preserve">UAE-Specific Notes</w:t>
      </w:r>
      <w:r>
        <w:rPr>
          <w:rFonts w:ascii="Arial" w:hAnsi="Arial" w:eastAsia="Arial" w:cs="Arial"/>
          <w:sz w:val="20"/>
          <w:szCs w:val="20"/>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0"/>
          <w:szCs w:val="20"/>
        </w:rPr>
      </w:pPr>
      <w:r>
        <w:rPr>
          <w:rFonts w:ascii="Arial" w:hAnsi="Arial" w:eastAsia="Arial" w:cs="Arial"/>
          <w:color w:val="000000"/>
          <w:sz w:val="20"/>
          <w:szCs w:val="20"/>
        </w:rPr>
        <w:t xml:space="preserve">The UAE is a structurally different market: retail is projected to hit </w:t>
      </w:r>
      <w:r>
        <w:rPr>
          <w:rFonts w:ascii="Arial" w:hAnsi="Arial" w:eastAsia="Arial" w:cs="Arial"/>
          <w:b/>
          <w:color w:val="000000"/>
          <w:sz w:val="20"/>
          <w:szCs w:val="20"/>
        </w:rPr>
        <w:t xml:space="preserve">$120B by 2026</w:t>
      </w:r>
      <w:r>
        <w:rPr>
          <w:rFonts w:ascii="Arial" w:hAnsi="Arial" w:eastAsia="Arial" w:cs="Arial"/>
          <w:color w:val="000000"/>
          <w:sz w:val="20"/>
          <w:szCs w:val="20"/>
        </w:rPr>
        <w:t xml:space="preserve">, the FMCG market is valued at $16–18B and growing at ~4% CAGR. Dubai Duty Free hit an all-time record of AED 8.68B in 2025 annual sales. Key UAE trends include:linkedin+2</w:t>
      </w:r>
      <w:r>
        <w:rPr>
          <w:rFonts w:ascii="Arial" w:hAnsi="Arial" w:eastAsia="Arial" w:cs="Arial"/>
          <w:sz w:val="20"/>
          <w:szCs w:val="20"/>
        </w:rPr>
      </w:r>
    </w:p>
    <w:p>
      <w:pPr>
        <w:pStyle w:val="664"/>
        <w:numPr>
          <w:ilvl w:val="0"/>
          <w:numId w:val="9"/>
        </w:numPr>
        <w:pBdr>
          <w:top w:val="none" w:color="000000" w:sz="4" w:space="0"/>
          <w:left w:val="none" w:color="000000" w:sz="4" w:space="0"/>
          <w:bottom w:val="none" w:color="000000" w:sz="4" w:space="0"/>
          <w:right w:val="none" w:color="000000" w:sz="4" w:space="0"/>
        </w:pBdr>
        <w:spacing/>
        <w:ind w:right="0"/>
        <w:rPr>
          <w:rFonts w:ascii="Arial" w:hAnsi="Arial" w:cs="Arial"/>
          <w:sz w:val="20"/>
          <w:szCs w:val="20"/>
        </w:rPr>
      </w:pPr>
      <w:r>
        <w:rPr>
          <w:rFonts w:ascii="Arial" w:hAnsi="Arial" w:eastAsia="Arial" w:cs="Arial"/>
          <w:b/>
          <w:color w:val="000000"/>
          <w:sz w:val="20"/>
          <w:szCs w:val="20"/>
        </w:rPr>
        <w:t xml:space="preserve">Convenience/ready-to-eat:</w:t>
      </w:r>
      <w:r>
        <w:rPr>
          <w:rFonts w:ascii="Arial" w:hAnsi="Arial" w:eastAsia="Arial" w:cs="Arial"/>
          <w:color w:val="000000"/>
          <w:sz w:val="20"/>
          <w:szCs w:val="20"/>
        </w:rPr>
        <w:t xml:space="preserve"> The fastest-growing food category (8–10% growth); Dubai residents eat out ~3x per week.</w:t>
      </w:r>
      <w:hyperlink r:id="rId28" w:tooltip="https://www.mordorintelligence.com/industry-reports/united-arab-emirates-food-products-market" w:history="1">
        <w:r>
          <w:rPr>
            <w:rStyle w:val="186"/>
            <w:rFonts w:ascii="Arial" w:hAnsi="Arial" w:eastAsia="Arial" w:cs="Arial"/>
            <w:color w:val="0000ee"/>
            <w:sz w:val="20"/>
            <w:szCs w:val="20"/>
            <w:u w:val="single"/>
          </w:rPr>
          <w:t xml:space="preserve">mordorintelligence</w:t>
        </w:r>
      </w:hyperlink>
      <w:r>
        <w:rPr>
          <w:rFonts w:ascii="Arial" w:hAnsi="Arial" w:eastAsia="Arial" w:cs="Arial"/>
          <w:sz w:val="20"/>
          <w:szCs w:val="20"/>
        </w:rPr>
      </w:r>
      <w:r>
        <w:rPr>
          <w:rFonts w:ascii="Arial" w:hAnsi="Arial" w:eastAsia="Arial" w:cs="Arial"/>
          <w:sz w:val="20"/>
          <w:szCs w:val="20"/>
        </w:rPr>
      </w:r>
    </w:p>
    <w:p>
      <w:pPr>
        <w:pStyle w:val="664"/>
        <w:numPr>
          <w:ilvl w:val="0"/>
          <w:numId w:val="9"/>
        </w:numPr>
        <w:pBdr>
          <w:top w:val="none" w:color="000000" w:sz="4" w:space="0"/>
          <w:left w:val="none" w:color="000000" w:sz="4" w:space="0"/>
          <w:bottom w:val="none" w:color="000000" w:sz="4" w:space="0"/>
          <w:right w:val="none" w:color="000000" w:sz="4" w:space="0"/>
        </w:pBdr>
        <w:spacing/>
        <w:ind w:right="0"/>
        <w:rPr>
          <w:rFonts w:ascii="Arial" w:hAnsi="Arial" w:cs="Arial"/>
          <w:sz w:val="20"/>
          <w:szCs w:val="20"/>
        </w:rPr>
      </w:pPr>
      <w:r>
        <w:rPr>
          <w:rFonts w:ascii="Arial" w:hAnsi="Arial" w:eastAsia="Arial" w:cs="Arial"/>
          <w:b/>
          <w:color w:val="000000"/>
          <w:sz w:val="20"/>
          <w:szCs w:val="20"/>
        </w:rPr>
        <w:t xml:space="preserve">Experiential retail:</w:t>
      </w:r>
      <w:r>
        <w:rPr>
          <w:rFonts w:ascii="Arial" w:hAnsi="Arial" w:eastAsia="Arial" w:cs="Arial"/>
          <w:color w:val="000000"/>
          <w:sz w:val="20"/>
          <w:szCs w:val="20"/>
        </w:rPr>
        <w:t xml:space="preserve"> Seasonal events (e.g., Dubai 3 Day Super Sale) drove 36% sales uplifts — experience-led malls are the dominant format.</w:t>
      </w:r>
      <w:hyperlink r:id="rId29" w:tooltip="https://www.linkedin.com/posts/surya-mahapatra_as-we-enter-2026-the-uae-retail-sector-continues-activity-7414110794935836673-Gf2X" w:history="1">
        <w:r>
          <w:rPr>
            <w:rStyle w:val="186"/>
            <w:rFonts w:ascii="Arial" w:hAnsi="Arial" w:eastAsia="Arial" w:cs="Arial"/>
            <w:color w:val="0000ee"/>
            <w:sz w:val="20"/>
            <w:szCs w:val="20"/>
            <w:u w:val="single"/>
          </w:rPr>
          <w:t xml:space="preserve">linkedin</w:t>
        </w:r>
      </w:hyperlink>
      <w:r>
        <w:rPr>
          <w:rFonts w:ascii="Arial" w:hAnsi="Arial" w:eastAsia="Arial" w:cs="Arial"/>
          <w:sz w:val="20"/>
          <w:szCs w:val="20"/>
        </w:rPr>
      </w:r>
      <w:r>
        <w:rPr>
          <w:rFonts w:ascii="Arial" w:hAnsi="Arial" w:eastAsia="Arial" w:cs="Arial"/>
          <w:sz w:val="20"/>
          <w:szCs w:val="20"/>
        </w:rPr>
      </w:r>
    </w:p>
    <w:p>
      <w:pPr>
        <w:pStyle w:val="664"/>
        <w:numPr>
          <w:ilvl w:val="0"/>
          <w:numId w:val="9"/>
        </w:numPr>
        <w:pBdr>
          <w:top w:val="none" w:color="000000" w:sz="4" w:space="0"/>
          <w:left w:val="none" w:color="000000" w:sz="4" w:space="0"/>
          <w:bottom w:val="none" w:color="000000" w:sz="4" w:space="0"/>
          <w:right w:val="none" w:color="000000" w:sz="4" w:space="0"/>
        </w:pBdr>
        <w:spacing/>
        <w:ind w:right="0"/>
        <w:rPr>
          <w:rFonts w:ascii="Arial" w:hAnsi="Arial" w:cs="Arial"/>
          <w:sz w:val="20"/>
          <w:szCs w:val="20"/>
        </w:rPr>
      </w:pPr>
      <w:r>
        <w:rPr>
          <w:rFonts w:ascii="Arial" w:hAnsi="Arial" w:eastAsia="Arial" w:cs="Arial"/>
          <w:b/>
          <w:color w:val="000000"/>
          <w:sz w:val="20"/>
          <w:szCs w:val="20"/>
        </w:rPr>
        <w:t xml:space="preserve">Premium &amp; organic:</w:t>
      </w:r>
      <w:r>
        <w:rPr>
          <w:rFonts w:ascii="Arial" w:hAnsi="Arial" w:eastAsia="Arial" w:cs="Arial"/>
          <w:color w:val="000000"/>
          <w:sz w:val="20"/>
          <w:szCs w:val="20"/>
        </w:rPr>
        <w:t xml:space="preserve"> High-income expats drive demand for organic/clean-label; halal certification amplifies clean-label trust.</w:t>
      </w:r>
      <w:hyperlink r:id="rId30" w:tooltip="https://www.mordorintelligence.com/industry-reports/united-arab-emirates-food-products-market" w:history="1">
        <w:r>
          <w:rPr>
            <w:rStyle w:val="186"/>
            <w:rFonts w:ascii="Arial" w:hAnsi="Arial" w:eastAsia="Arial" w:cs="Arial"/>
            <w:color w:val="0000ee"/>
            <w:sz w:val="20"/>
            <w:szCs w:val="20"/>
            <w:u w:val="single"/>
          </w:rPr>
          <w:t xml:space="preserve">mordorintelligence</w:t>
        </w:r>
      </w:hyperlink>
      <w:r>
        <w:rPr>
          <w:rFonts w:ascii="Arial" w:hAnsi="Arial" w:eastAsia="Arial" w:cs="Arial"/>
          <w:sz w:val="20"/>
          <w:szCs w:val="20"/>
        </w:rPr>
      </w:r>
      <w:r>
        <w:rPr>
          <w:rFonts w:ascii="Arial" w:hAnsi="Arial" w:eastAsia="Arial" w:cs="Arial"/>
          <w:sz w:val="20"/>
          <w:szCs w:val="20"/>
        </w:rPr>
      </w:r>
    </w:p>
    <w:p>
      <w:pPr>
        <w:pStyle w:val="664"/>
        <w:numPr>
          <w:ilvl w:val="0"/>
          <w:numId w:val="9"/>
        </w:numPr>
        <w:pBdr>
          <w:top w:val="none" w:color="000000" w:sz="4" w:space="0"/>
          <w:left w:val="none" w:color="000000" w:sz="4" w:space="0"/>
          <w:bottom w:val="none" w:color="000000" w:sz="4" w:space="0"/>
          <w:right w:val="none" w:color="000000" w:sz="4" w:space="0"/>
        </w:pBdr>
        <w:spacing/>
        <w:ind w:right="0"/>
        <w:rPr>
          <w:rFonts w:ascii="Arial" w:hAnsi="Arial" w:cs="Arial"/>
          <w:sz w:val="20"/>
          <w:szCs w:val="20"/>
        </w:rPr>
      </w:pPr>
      <w:r>
        <w:rPr>
          <w:rFonts w:ascii="Arial" w:hAnsi="Arial" w:eastAsia="Arial" w:cs="Arial"/>
          <w:b/>
          <w:color w:val="000000"/>
          <w:sz w:val="20"/>
          <w:szCs w:val="20"/>
        </w:rPr>
        <w:t xml:space="preserve">Ramadan commerce:</w:t>
      </w:r>
      <w:r>
        <w:rPr>
          <w:rFonts w:ascii="Arial" w:hAnsi="Arial" w:eastAsia="Arial" w:cs="Arial"/>
          <w:color w:val="000000"/>
          <w:sz w:val="20"/>
          <w:szCs w:val="20"/>
        </w:rPr>
        <w:t xml:space="preserve"> Grocery behavior concentrates into defined daily shopping windows with average order values up 10% during Ramadan 2026.</w:t>
      </w:r>
      <w:hyperlink r:id="rId31" w:tooltip="https://www.linkedin.com/posts/asafiuae_fmcg-trends-2026-what-shoppers-in-the-gcc-activity-7435610200117522432-iL9u" w:history="1">
        <w:r>
          <w:rPr>
            <w:rStyle w:val="186"/>
            <w:rFonts w:ascii="Arial" w:hAnsi="Arial" w:eastAsia="Arial" w:cs="Arial"/>
            <w:color w:val="0000ee"/>
            <w:sz w:val="20"/>
            <w:szCs w:val="20"/>
            <w:u w:val="single"/>
          </w:rPr>
          <w:t xml:space="preserve">linkedin</w:t>
        </w:r>
      </w:hyperlink>
      <w:r>
        <w:rPr>
          <w:rFonts w:ascii="Arial" w:hAnsi="Arial" w:eastAsia="Arial" w:cs="Arial"/>
          <w:sz w:val="20"/>
          <w:szCs w:val="20"/>
        </w:rPr>
      </w:r>
      <w:r>
        <w:rPr>
          <w:rFonts w:ascii="Arial" w:hAnsi="Arial" w:eastAsia="Arial" w:cs="Arial"/>
          <w:sz w:val="20"/>
          <w:szCs w:val="20"/>
        </w:rPr>
      </w:r>
    </w:p>
    <w:p>
      <w:pPr>
        <w:pStyle w:val="664"/>
        <w:numPr>
          <w:ilvl w:val="0"/>
          <w:numId w:val="9"/>
        </w:numPr>
        <w:pBdr>
          <w:top w:val="none" w:color="000000" w:sz="4" w:space="0"/>
          <w:left w:val="none" w:color="000000" w:sz="4" w:space="0"/>
          <w:bottom w:val="none" w:color="000000" w:sz="4" w:space="0"/>
          <w:right w:val="none" w:color="000000" w:sz="4" w:space="0"/>
        </w:pBdr>
        <w:spacing/>
        <w:ind w:right="0"/>
        <w:rPr>
          <w:rFonts w:ascii="Arial" w:hAnsi="Arial" w:cs="Arial"/>
          <w:sz w:val="20"/>
          <w:szCs w:val="20"/>
        </w:rPr>
      </w:pPr>
      <w:r>
        <w:rPr>
          <w:rFonts w:ascii="Arial" w:hAnsi="Arial" w:eastAsia="Arial" w:cs="Arial"/>
          <w:b/>
          <w:color w:val="000000"/>
          <w:sz w:val="20"/>
          <w:szCs w:val="20"/>
        </w:rPr>
        <w:t xml:space="preserve">Seamless omnichannel:</w:t>
      </w:r>
      <w:r>
        <w:rPr>
          <w:rFonts w:ascii="Arial" w:hAnsi="Arial" w:eastAsia="Arial" w:cs="Arial"/>
          <w:color w:val="000000"/>
          <w:sz w:val="20"/>
          <w:szCs w:val="20"/>
        </w:rPr>
        <w:t xml:space="preserve"> UAE shoppers increasingly reward brands that blend online and in-store journeys beyond just discounts.</w:t>
      </w:r>
      <w:hyperlink r:id="rId32" w:tooltip="https://www.linkedin.com/posts/surya-mahapatra_as-we-enter-2026-the-uae-retail-sector-continues-activity-7414110794935836673-Gf2X" w:history="1">
        <w:r>
          <w:rPr>
            <w:rStyle w:val="186"/>
            <w:rFonts w:ascii="Arial" w:hAnsi="Arial" w:eastAsia="Arial" w:cs="Arial"/>
            <w:color w:val="0000ee"/>
            <w:sz w:val="20"/>
            <w:szCs w:val="20"/>
            <w:u w:val="single"/>
          </w:rPr>
          <w:t xml:space="preserve">linkedin</w:t>
        </w:r>
      </w:hyperlink>
      <w:r>
        <w:rPr>
          <w:rFonts w:ascii="Arial" w:hAnsi="Arial" w:eastAsia="Arial" w:cs="Arial"/>
          <w:sz w:val="20"/>
          <w:szCs w:val="20"/>
        </w:rPr>
      </w:r>
      <w:r>
        <w:rPr>
          <w:rFonts w:ascii="Arial" w:hAnsi="Arial" w:eastAsia="Arial" w:cs="Arial"/>
          <w:sz w:val="20"/>
          <w:szCs w:val="20"/>
        </w:rPr>
      </w:r>
    </w:p>
    <w:p>
      <w:pPr>
        <w:pStyle w:val="139"/>
        <w:pBdr>
          <w:top w:val="none" w:color="000000" w:sz="4" w:space="0"/>
          <w:left w:val="none" w:color="000000" w:sz="4" w:space="0"/>
          <w:bottom w:val="none" w:color="000000" w:sz="4" w:space="0"/>
          <w:right w:val="none" w:color="000000" w:sz="4" w:space="0"/>
        </w:pBdr>
        <w:spacing/>
        <w:ind w:right="0" w:firstLine="0" w:left="0"/>
        <w:rPr>
          <w:rFonts w:ascii="Arial" w:hAnsi="Arial" w:cs="Arial"/>
          <w:sz w:val="20"/>
          <w:szCs w:val="20"/>
        </w:rPr>
      </w:pPr>
      <w:r>
        <w:rPr>
          <w:rFonts w:ascii="Arial" w:hAnsi="Arial" w:eastAsia="Arial" w:cs="Arial"/>
          <w:b/>
          <w:color w:val="000000"/>
          <w:sz w:val="20"/>
          <w:szCs w:val="20"/>
        </w:rPr>
        <w:t xml:space="preserve">Surprising &amp; New Signals</w:t>
      </w:r>
      <w:r>
        <w:rPr>
          <w:rFonts w:ascii="Arial" w:hAnsi="Arial" w:eastAsia="Arial" w:cs="Arial"/>
          <w:sz w:val="20"/>
          <w:szCs w:val="20"/>
        </w:rPr>
      </w:r>
    </w:p>
    <w:p>
      <w:pPr>
        <w:pStyle w:val="139"/>
        <w:pBdr>
          <w:top w:val="none" w:color="000000" w:sz="4" w:space="0"/>
          <w:left w:val="none" w:color="000000" w:sz="4" w:space="0"/>
          <w:bottom w:val="none" w:color="000000" w:sz="4" w:space="0"/>
          <w:right w:val="none" w:color="000000" w:sz="4" w:space="0"/>
        </w:pBdr>
        <w:spacing/>
        <w:ind w:right="0" w:firstLine="0" w:left="0"/>
        <w:rPr>
          <w:rFonts w:ascii="Arial" w:hAnsi="Arial" w:cs="Arial"/>
          <w:sz w:val="20"/>
          <w:szCs w:val="20"/>
        </w:rPr>
      </w:pPr>
      <w:r>
        <w:rPr>
          <w:rFonts w:ascii="Arial" w:hAnsi="Arial" w:eastAsia="Arial" w:cs="Arial"/>
          <w:b/>
          <w:color w:val="000000"/>
          <w:sz w:val="20"/>
          <w:szCs w:val="20"/>
        </w:rPr>
        <w:t xml:space="preserve">🟡 The GLP-1 / Ozempic Effect on Grocery</w:t>
      </w:r>
      <w:r>
        <w:rPr>
          <w:rFonts w:ascii="Arial" w:hAnsi="Arial" w:eastAsia="Arial" w:cs="Arial"/>
          <w:sz w:val="20"/>
          <w:szCs w:val="20"/>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0"/>
          <w:szCs w:val="20"/>
        </w:rPr>
      </w:pPr>
      <w:r>
        <w:rPr>
          <w:rFonts w:ascii="Arial" w:hAnsi="Arial" w:eastAsia="Arial" w:cs="Arial"/>
          <w:b/>
          <w:color w:val="000000"/>
          <w:sz w:val="20"/>
          <w:szCs w:val="20"/>
        </w:rPr>
        <w:t xml:space="preserve">Status: Rising fast, widely underestimated</w:t>
      </w:r>
      <w:r>
        <w:rPr>
          <w:rFonts w:ascii="Arial" w:hAnsi="Arial" w:eastAsia="Arial" w:cs="Arial"/>
          <w:color w:val="000000"/>
          <w:sz w:val="20"/>
          <w:szCs w:val="20"/>
        </w:rPr>
        <w:t xml:space="preserve"> — GLP-1 weight-loss drug users reduce grocery spend by ~6% within 6 months, with the largest cuts in savory snacks, sweet bakery, and biscuits. Retailers are already adapting shelf space toward protein and fiber. The counterintuitive signal: </w:t>
      </w:r>
      <w:r>
        <w:rPr>
          <w:rFonts w:ascii="Arial" w:hAnsi="Arial" w:eastAsia="Arial" w:cs="Arial"/>
          <w:b/>
          <w:color w:val="000000"/>
          <w:sz w:val="20"/>
          <w:szCs w:val="20"/>
        </w:rPr>
        <w:t xml:space="preserve">GLP-1 users shop more in-store, not online</w:t>
      </w:r>
      <w:r>
        <w:rPr>
          <w:rFonts w:ascii="Arial" w:hAnsi="Arial" w:eastAsia="Arial" w:cs="Arial"/>
          <w:color w:val="000000"/>
          <w:sz w:val="20"/>
          <w:szCs w:val="20"/>
        </w:rPr>
        <w:t xml:space="preserve"> — because rapid body changes mean they need to physically try on clothes and can't rely on past sizing. This is an unexpected tailwind for physical retail.nepa+2</w:t>
      </w:r>
      <w:r>
        <w:rPr>
          <w:rFonts w:ascii="Arial" w:hAnsi="Arial" w:eastAsia="Arial" w:cs="Arial"/>
          <w:sz w:val="20"/>
          <w:szCs w:val="20"/>
        </w:rPr>
      </w:r>
    </w:p>
    <w:p>
      <w:pPr>
        <w:pStyle w:val="139"/>
        <w:pBdr>
          <w:top w:val="none" w:color="000000" w:sz="4" w:space="0"/>
          <w:left w:val="none" w:color="000000" w:sz="4" w:space="0"/>
          <w:bottom w:val="none" w:color="000000" w:sz="4" w:space="0"/>
          <w:right w:val="none" w:color="000000" w:sz="4" w:space="0"/>
        </w:pBdr>
        <w:spacing/>
        <w:ind w:right="0" w:firstLine="0" w:left="0"/>
        <w:rPr>
          <w:rFonts w:ascii="Arial" w:hAnsi="Arial" w:cs="Arial"/>
          <w:sz w:val="20"/>
          <w:szCs w:val="20"/>
        </w:rPr>
      </w:pPr>
      <w:r>
        <w:rPr>
          <w:rFonts w:ascii="Arial" w:hAnsi="Arial" w:eastAsia="Arial" w:cs="Arial"/>
          <w:b/>
          <w:color w:val="000000"/>
          <w:sz w:val="20"/>
          <w:szCs w:val="20"/>
        </w:rPr>
        <w:t xml:space="preserve">🟡 Gen Z Returning to Physical Stores</w:t>
      </w:r>
      <w:r>
        <w:rPr>
          <w:rFonts w:ascii="Arial" w:hAnsi="Arial" w:eastAsia="Arial" w:cs="Arial"/>
          <w:sz w:val="20"/>
          <w:szCs w:val="20"/>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0"/>
          <w:szCs w:val="20"/>
        </w:rPr>
      </w:pPr>
      <w:r>
        <w:rPr>
          <w:rFonts w:ascii="Arial" w:hAnsi="Arial" w:eastAsia="Arial" w:cs="Arial"/>
          <w:b/>
          <w:color w:val="000000"/>
          <w:sz w:val="20"/>
          <w:szCs w:val="20"/>
        </w:rPr>
        <w:t xml:space="preserve">Status: Rising, counter-narrative</w:t>
      </w:r>
      <w:r>
        <w:rPr>
          <w:rFonts w:ascii="Arial" w:hAnsi="Arial" w:eastAsia="Arial" w:cs="Arial"/>
          <w:color w:val="000000"/>
          <w:sz w:val="20"/>
          <w:szCs w:val="20"/>
        </w:rPr>
        <w:t xml:space="preserve"> — Over 2 in 5 Gen Z globally still prefer in-store shopping, a figure that has held steady since 2020 despite digital growth. This is partly driven by discovery culture — physical stores as social/content-creation environments, not just transaction points</w:t>
      </w:r>
      <w:r>
        <w:rPr>
          <w:rFonts w:ascii="Arial" w:hAnsi="Arial" w:eastAsia="Arial" w:cs="Arial"/>
          <w:color w:val="000000"/>
          <w:sz w:val="20"/>
          <w:szCs w:val="20"/>
        </w:rPr>
        <w:t xml:space="preserve">.</w:t>
      </w:r>
      <w:hyperlink r:id="rId33" w:tooltip="https://www.gwi.com/blog/retail-trends" w:history="1">
        <w:r>
          <w:rPr>
            <w:rStyle w:val="186"/>
            <w:rFonts w:ascii="Arial" w:hAnsi="Arial" w:eastAsia="Arial" w:cs="Arial"/>
            <w:color w:val="0000ee"/>
            <w:sz w:val="20"/>
            <w:szCs w:val="20"/>
            <w:u w:val="single"/>
          </w:rPr>
          <w:t xml:space="preserve">gwi</w:t>
        </w:r>
      </w:hyperlink>
      <w:r>
        <w:rPr>
          <w:rFonts w:ascii="Arial" w:hAnsi="Arial" w:eastAsia="Arial" w:cs="Arial"/>
          <w:sz w:val="20"/>
          <w:szCs w:val="20"/>
        </w:rPr>
      </w:r>
      <w:r>
        <w:rPr>
          <w:rFonts w:ascii="Arial" w:hAnsi="Arial" w:eastAsia="Arial" w:cs="Arial"/>
          <w:sz w:val="20"/>
          <w:szCs w:val="20"/>
        </w:rPr>
      </w:r>
    </w:p>
    <w:p>
      <w:pPr>
        <w:pStyle w:val="139"/>
        <w:pBdr>
          <w:top w:val="none" w:color="000000" w:sz="4" w:space="0"/>
          <w:left w:val="none" w:color="000000" w:sz="4" w:space="0"/>
          <w:bottom w:val="none" w:color="000000" w:sz="4" w:space="0"/>
          <w:right w:val="none" w:color="000000" w:sz="4" w:space="0"/>
        </w:pBdr>
        <w:spacing/>
        <w:ind w:right="0" w:firstLine="0" w:left="0"/>
        <w:rPr>
          <w:rFonts w:ascii="Arial" w:hAnsi="Arial" w:cs="Arial"/>
          <w:sz w:val="20"/>
          <w:szCs w:val="20"/>
        </w:rPr>
      </w:pPr>
      <w:r>
        <w:rPr>
          <w:rFonts w:ascii="Arial" w:hAnsi="Arial" w:eastAsia="Arial" w:cs="Arial"/>
          <w:b/>
          <w:color w:val="000000"/>
          <w:sz w:val="20"/>
          <w:szCs w:val="20"/>
        </w:rPr>
        <w:t xml:space="preserve">🟡 Challenger Brands Outpacing Legacy Players</w:t>
      </w:r>
      <w:r>
        <w:rPr>
          <w:rFonts w:ascii="Arial" w:hAnsi="Arial" w:eastAsia="Arial" w:cs="Arial"/>
          <w:sz w:val="20"/>
          <w:szCs w:val="20"/>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0"/>
          <w:szCs w:val="20"/>
        </w:rPr>
      </w:pPr>
      <w:r>
        <w:rPr>
          <w:rFonts w:ascii="Arial" w:hAnsi="Arial" w:eastAsia="Arial" w:cs="Arial"/>
          <w:b/>
          <w:color w:val="000000"/>
          <w:sz w:val="20"/>
          <w:szCs w:val="20"/>
        </w:rPr>
        <w:t xml:space="preserve">Status: Accelerating</w:t>
      </w:r>
      <w:r>
        <w:rPr>
          <w:rFonts w:ascii="Arial" w:hAnsi="Arial" w:eastAsia="Arial" w:cs="Arial"/>
          <w:color w:val="000000"/>
          <w:sz w:val="20"/>
          <w:szCs w:val="20"/>
        </w:rPr>
        <w:t xml:space="preserve"> — 2026 is shaping up as the "Year of the Challenger Brand." Speed, authenticity, and flavor-forward innovation are outperforming legacy brand marketing spend in grocery. Smaller, regional M&amp;A is replacing mega-mergers as the consolidation strategy.</w:t>
      </w:r>
      <w:hyperlink r:id="rId34" w:tooltip="https://www.linkedin.com/posts/sagarmatha_8-grocery-industry-trends-to-watch-in-2026-activity-7426618496974942208-9Jo1" w:history="1">
        <w:r>
          <w:rPr>
            <w:rStyle w:val="186"/>
            <w:rFonts w:ascii="Arial" w:hAnsi="Arial" w:eastAsia="Arial" w:cs="Arial"/>
            <w:color w:val="0000ee"/>
            <w:sz w:val="20"/>
            <w:szCs w:val="20"/>
            <w:u w:val="single"/>
          </w:rPr>
          <w:t xml:space="preserve">linkedin</w:t>
        </w:r>
      </w:hyperlink>
      <w:r>
        <w:rPr>
          <w:rFonts w:ascii="Arial" w:hAnsi="Arial" w:eastAsia="Arial" w:cs="Arial"/>
          <w:sz w:val="20"/>
          <w:szCs w:val="20"/>
        </w:rPr>
      </w:r>
      <w:hyperlink r:id="rId35" w:tooltip="https://www.youtube.com/watch?v=lzLFyHumjq0" w:history="1">
        <w:r>
          <w:rPr>
            <w:rStyle w:val="186"/>
            <w:rFonts w:ascii="Arial" w:hAnsi="Arial" w:eastAsia="Arial" w:cs="Arial"/>
            <w:color w:val="0000ee"/>
            <w:sz w:val="20"/>
            <w:szCs w:val="20"/>
            <w:u w:val="single"/>
          </w:rPr>
          <w:t xml:space="preserve">youtube</w:t>
        </w:r>
      </w:hyperlink>
      <w:r>
        <w:rPr>
          <w:rFonts w:ascii="Arial" w:hAnsi="Arial" w:eastAsia="Arial" w:cs="Arial"/>
          <w:sz w:val="20"/>
          <w:szCs w:val="20"/>
        </w:rPr>
      </w:r>
      <w:r>
        <w:rPr>
          <w:rFonts w:ascii="Arial" w:hAnsi="Arial" w:eastAsia="Arial" w:cs="Arial"/>
          <w:sz w:val="20"/>
          <w:szCs w:val="20"/>
        </w:rPr>
      </w:r>
    </w:p>
    <w:p>
      <w:pPr>
        <w:pStyle w:val="139"/>
        <w:pBdr>
          <w:top w:val="none" w:color="000000" w:sz="4" w:space="0"/>
          <w:left w:val="none" w:color="000000" w:sz="4" w:space="0"/>
          <w:bottom w:val="none" w:color="000000" w:sz="4" w:space="0"/>
          <w:right w:val="none" w:color="000000" w:sz="4" w:space="0"/>
        </w:pBdr>
        <w:spacing/>
        <w:ind w:right="0" w:firstLine="0" w:left="0"/>
        <w:rPr>
          <w:rFonts w:ascii="Arial" w:hAnsi="Arial" w:cs="Arial"/>
          <w:sz w:val="20"/>
          <w:szCs w:val="20"/>
        </w:rPr>
      </w:pPr>
      <w:r>
        <w:rPr>
          <w:rFonts w:ascii="Arial" w:hAnsi="Arial" w:eastAsia="Arial" w:cs="Arial"/>
          <w:b/>
          <w:color w:val="000000"/>
          <w:sz w:val="20"/>
          <w:szCs w:val="20"/>
        </w:rPr>
        <w:t xml:space="preserve">🟡 Retail Concentration Tightening Further</w:t>
      </w:r>
      <w:r>
        <w:rPr>
          <w:rFonts w:ascii="Arial" w:hAnsi="Arial" w:eastAsia="Arial" w:cs="Arial"/>
          <w:sz w:val="20"/>
          <w:szCs w:val="20"/>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0"/>
          <w:szCs w:val="20"/>
        </w:rPr>
      </w:pPr>
      <w:r>
        <w:rPr>
          <w:rFonts w:ascii="Arial" w:hAnsi="Arial" w:eastAsia="Arial" w:cs="Arial"/>
          <w:b/>
          <w:color w:val="000000"/>
          <w:sz w:val="20"/>
          <w:szCs w:val="20"/>
        </w:rPr>
        <w:t xml:space="preserve">Status: Accelerating</w:t>
      </w:r>
      <w:r>
        <w:rPr>
          <w:rFonts w:ascii="Arial" w:hAnsi="Arial" w:eastAsia="Arial" w:cs="Arial"/>
          <w:color w:val="000000"/>
          <w:sz w:val="20"/>
          <w:szCs w:val="20"/>
        </w:rPr>
        <w:t xml:space="preserve"> — The five largest European retailers are strengthening their grip across all EU markets studied. This is squeezing mid-tier and independent grocers out of existence, reshaping mall tenancy mix.</w:t>
      </w:r>
      <w:hyperlink r:id="rId36" w:tooltip="https://www.intotheminds.com/blog/en/consumer-trends-2026/" w:history="1">
        <w:r>
          <w:rPr>
            <w:rStyle w:val="186"/>
            <w:rFonts w:ascii="Arial" w:hAnsi="Arial" w:eastAsia="Arial" w:cs="Arial"/>
            <w:color w:val="0000ee"/>
            <w:sz w:val="20"/>
            <w:szCs w:val="20"/>
            <w:u w:val="single"/>
          </w:rPr>
          <w:t xml:space="preserve">intotheminds</w:t>
        </w:r>
      </w:hyperlink>
      <w:r>
        <w:rPr>
          <w:rFonts w:ascii="Arial" w:hAnsi="Arial" w:eastAsia="Arial" w:cs="Arial"/>
          <w:sz w:val="20"/>
          <w:szCs w:val="20"/>
        </w:rPr>
      </w:r>
      <w:r>
        <w:rPr>
          <w:rFonts w:ascii="Arial" w:hAnsi="Arial" w:eastAsia="Arial" w:cs="Arial"/>
          <w:sz w:val="20"/>
          <w:szCs w:val="20"/>
        </w:rPr>
      </w:r>
    </w:p>
    <w:p>
      <w:pPr>
        <w:pStyle w:val="139"/>
        <w:pBdr>
          <w:top w:val="none" w:color="000000" w:sz="4" w:space="0"/>
          <w:left w:val="none" w:color="000000" w:sz="4" w:space="0"/>
          <w:bottom w:val="none" w:color="000000" w:sz="4" w:space="0"/>
          <w:right w:val="none" w:color="000000" w:sz="4" w:space="0"/>
        </w:pBdr>
        <w:spacing/>
        <w:ind w:right="0" w:firstLine="0" w:left="0"/>
        <w:rPr>
          <w:rFonts w:ascii="Arial" w:hAnsi="Arial" w:cs="Arial"/>
          <w:sz w:val="20"/>
          <w:szCs w:val="20"/>
        </w:rPr>
      </w:pPr>
      <w:r>
        <w:rPr>
          <w:rFonts w:ascii="Arial" w:hAnsi="Arial" w:eastAsia="Arial" w:cs="Arial"/>
          <w:b/>
          <w:color w:val="000000"/>
          <w:sz w:val="20"/>
          <w:szCs w:val="20"/>
        </w:rPr>
        <w:t xml:space="preserve">🟡 Non-Alcoholic Beverage Boom</w:t>
      </w:r>
      <w:r>
        <w:rPr>
          <w:rFonts w:ascii="Arial" w:hAnsi="Arial" w:eastAsia="Arial" w:cs="Arial"/>
          <w:sz w:val="20"/>
          <w:szCs w:val="20"/>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0"/>
          <w:szCs w:val="20"/>
        </w:rPr>
      </w:pPr>
      <w:r>
        <w:rPr>
          <w:rFonts w:ascii="Arial" w:hAnsi="Arial" w:eastAsia="Arial" w:cs="Arial"/>
          <w:b/>
          <w:color w:val="000000"/>
          <w:sz w:val="20"/>
          <w:szCs w:val="20"/>
        </w:rPr>
        <w:t xml:space="preserve">Status: Accelerating</w:t>
      </w:r>
      <w:r>
        <w:rPr>
          <w:rFonts w:ascii="Arial" w:hAnsi="Arial" w:eastAsia="Arial" w:cs="Arial"/>
          <w:color w:val="000000"/>
          <w:sz w:val="20"/>
          <w:szCs w:val="20"/>
        </w:rPr>
        <w:t xml:space="preserve"> — Alcoholic beverages are down –0.5% in Germany while non-alcoholic alternatives and soft drinks grow +2.7%. This is a structural generational shift, not a health fad, playing out across all EU markets.</w:t>
      </w:r>
      <w:hyperlink r:id="rId37" w:tooltip="https://www.intotheminds.com/blog/en/consumer-trends-2026/" w:history="1">
        <w:r>
          <w:rPr>
            <w:rStyle w:val="186"/>
            <w:rFonts w:ascii="Arial" w:hAnsi="Arial" w:eastAsia="Arial" w:cs="Arial"/>
            <w:color w:val="0000ee"/>
            <w:sz w:val="20"/>
            <w:szCs w:val="20"/>
            <w:u w:val="single"/>
          </w:rPr>
          <w:t xml:space="preserve">intotheminds</w:t>
        </w:r>
      </w:hyperlink>
      <w:r>
        <w:rPr>
          <w:rFonts w:ascii="Arial" w:hAnsi="Arial" w:eastAsia="Arial" w:cs="Arial"/>
          <w:sz w:val="20"/>
          <w:szCs w:val="20"/>
        </w:rPr>
      </w:r>
      <w:r>
        <w:rPr>
          <w:rFonts w:ascii="Arial" w:hAnsi="Arial" w:eastAsia="Arial" w:cs="Arial"/>
          <w:sz w:val="20"/>
          <w:szCs w:val="20"/>
        </w:rPr>
      </w:r>
    </w:p>
    <w:p>
      <w:pPr>
        <w:pStyle w:val="139"/>
        <w:pBdr>
          <w:top w:val="none" w:color="000000" w:sz="4" w:space="0"/>
          <w:left w:val="none" w:color="000000" w:sz="4" w:space="0"/>
          <w:bottom w:val="none" w:color="000000" w:sz="4" w:space="0"/>
          <w:right w:val="none" w:color="000000" w:sz="4" w:space="0"/>
        </w:pBdr>
        <w:spacing/>
        <w:ind w:right="0" w:firstLine="0" w:left="0"/>
        <w:rPr>
          <w:rFonts w:ascii="Arial" w:hAnsi="Arial" w:cs="Arial"/>
          <w:sz w:val="20"/>
          <w:szCs w:val="20"/>
        </w:rPr>
      </w:pPr>
      <w:r>
        <w:rPr>
          <w:rFonts w:ascii="Arial" w:hAnsi="Arial" w:eastAsia="Arial" w:cs="Arial"/>
          <w:b/>
          <w:color w:val="000000"/>
          <w:sz w:val="20"/>
          <w:szCs w:val="20"/>
        </w:rPr>
        <w:t xml:space="preserve">Quick Status Reference</w:t>
      </w:r>
      <w:r>
        <w:rPr>
          <w:rFonts w:ascii="Arial" w:hAnsi="Arial" w:eastAsia="Arial" w:cs="Arial"/>
          <w:sz w:val="20"/>
          <w:szCs w:val="20"/>
        </w:rPr>
      </w:r>
    </w:p>
    <w:tbl>
      <w:tblPr>
        <w:tblStyle w:val="11"/>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550"/>
        <w:gridCol w:w="2050"/>
        <w:gridCol w:w="2188"/>
        <w:gridCol w:w="2567"/>
      </w:tblGrid>
      <w:tr>
        <w:trPr/>
        <w:tc>
          <w:tcPr>
            <w:tcBorders/>
            <w:tcMar>
              <w:left w:w="15" w:type="dxa"/>
              <w:top w:w="15" w:type="dxa"/>
              <w:right w:w="15" w:type="dxa"/>
              <w:bottom w:w="15" w:type="dxa"/>
            </w:tcMar>
            <w:tcW w:w="2550" w:type="dxa"/>
            <w:vAlign w:val="center"/>
            <w:textDirection w:val="lrTb"/>
            <w:noWrap w:val="false"/>
          </w:tcPr>
          <w:p>
            <w:pPr>
              <w:pBdr/>
              <w:spacing w:after="0" w:before="0" w:line="240"/>
              <w:ind/>
              <w:jc w:val="center"/>
              <w:rPr>
                <w:rFonts w:ascii="Arial" w:hAnsi="Arial" w:cs="Arial"/>
                <w:sz w:val="20"/>
                <w:szCs w:val="20"/>
              </w:rPr>
            </w:pPr>
            <w:r>
              <w:rPr>
                <w:rFonts w:ascii="Arial" w:hAnsi="Arial" w:eastAsia="Arial" w:cs="Arial"/>
                <w:b/>
                <w:color w:val="000000"/>
                <w:sz w:val="20"/>
                <w:szCs w:val="20"/>
              </w:rPr>
              <w:t xml:space="preserve">Trend</w:t>
            </w:r>
            <w:r>
              <w:rPr>
                <w:rFonts w:ascii="Arial" w:hAnsi="Arial" w:eastAsia="Arial" w:cs="Arial"/>
                <w:sz w:val="20"/>
                <w:szCs w:val="20"/>
              </w:rPr>
            </w:r>
          </w:p>
        </w:tc>
        <w:tc>
          <w:tcPr>
            <w:tcBorders/>
            <w:tcMar>
              <w:left w:w="15" w:type="dxa"/>
              <w:top w:w="15" w:type="dxa"/>
              <w:right w:w="15" w:type="dxa"/>
              <w:bottom w:w="15" w:type="dxa"/>
            </w:tcMar>
            <w:tcW w:w="2050" w:type="dxa"/>
            <w:vAlign w:val="center"/>
            <w:textDirection w:val="lrTb"/>
            <w:noWrap w:val="false"/>
          </w:tcPr>
          <w:p>
            <w:pPr>
              <w:pBdr/>
              <w:spacing w:after="0" w:before="0" w:line="240"/>
              <w:ind/>
              <w:jc w:val="center"/>
              <w:rPr>
                <w:rFonts w:ascii="Arial" w:hAnsi="Arial" w:cs="Arial"/>
                <w:sz w:val="20"/>
                <w:szCs w:val="20"/>
              </w:rPr>
            </w:pPr>
            <w:r>
              <w:rPr>
                <w:rFonts w:ascii="Arial" w:hAnsi="Arial" w:eastAsia="Arial" w:cs="Arial"/>
                <w:b/>
                <w:color w:val="000000"/>
                <w:sz w:val="20"/>
                <w:szCs w:val="20"/>
              </w:rPr>
              <w:t xml:space="preserve">EU Status</w:t>
            </w:r>
            <w:r>
              <w:rPr>
                <w:rFonts w:ascii="Arial" w:hAnsi="Arial" w:eastAsia="Arial" w:cs="Arial"/>
                <w:sz w:val="20"/>
                <w:szCs w:val="20"/>
              </w:rPr>
            </w:r>
          </w:p>
        </w:tc>
        <w:tc>
          <w:tcPr>
            <w:tcBorders/>
            <w:tcMar>
              <w:left w:w="15" w:type="dxa"/>
              <w:top w:w="15" w:type="dxa"/>
              <w:right w:w="15" w:type="dxa"/>
              <w:bottom w:w="15" w:type="dxa"/>
            </w:tcMar>
            <w:tcW w:w="2188" w:type="dxa"/>
            <w:vAlign w:val="center"/>
            <w:textDirection w:val="lrTb"/>
            <w:noWrap w:val="false"/>
          </w:tcPr>
          <w:p>
            <w:pPr>
              <w:pBdr/>
              <w:spacing w:after="0" w:before="0" w:line="240"/>
              <w:ind/>
              <w:jc w:val="center"/>
              <w:rPr>
                <w:rFonts w:ascii="Arial" w:hAnsi="Arial" w:cs="Arial"/>
                <w:sz w:val="20"/>
                <w:szCs w:val="20"/>
              </w:rPr>
            </w:pPr>
            <w:r>
              <w:rPr>
                <w:rFonts w:ascii="Arial" w:hAnsi="Arial" w:eastAsia="Arial" w:cs="Arial"/>
                <w:b/>
                <w:color w:val="000000"/>
                <w:sz w:val="20"/>
                <w:szCs w:val="20"/>
              </w:rPr>
              <w:t xml:space="preserve">Finland</w:t>
            </w:r>
            <w:r>
              <w:rPr>
                <w:rFonts w:ascii="Arial" w:hAnsi="Arial" w:eastAsia="Arial" w:cs="Arial"/>
                <w:sz w:val="20"/>
                <w:szCs w:val="20"/>
              </w:rPr>
            </w:r>
          </w:p>
        </w:tc>
        <w:tc>
          <w:tcPr>
            <w:tcBorders/>
            <w:tcMar>
              <w:left w:w="15" w:type="dxa"/>
              <w:top w:w="15" w:type="dxa"/>
              <w:right w:w="15" w:type="dxa"/>
              <w:bottom w:w="15" w:type="dxa"/>
            </w:tcMar>
            <w:tcW w:w="2567" w:type="dxa"/>
            <w:vAlign w:val="center"/>
            <w:textDirection w:val="lrTb"/>
            <w:noWrap w:val="false"/>
          </w:tcPr>
          <w:p>
            <w:pPr>
              <w:pBdr/>
              <w:spacing w:after="0" w:before="0" w:line="240"/>
              <w:ind/>
              <w:jc w:val="center"/>
              <w:rPr>
                <w:rFonts w:ascii="Arial" w:hAnsi="Arial" w:cs="Arial"/>
                <w:sz w:val="20"/>
                <w:szCs w:val="20"/>
              </w:rPr>
            </w:pPr>
            <w:r>
              <w:rPr>
                <w:rFonts w:ascii="Arial" w:hAnsi="Arial" w:eastAsia="Arial" w:cs="Arial"/>
                <w:b/>
                <w:color w:val="000000"/>
                <w:sz w:val="20"/>
                <w:szCs w:val="20"/>
              </w:rPr>
              <w:t xml:space="preserve">UAE</w:t>
            </w:r>
            <w:r>
              <w:rPr>
                <w:rFonts w:ascii="Arial" w:hAnsi="Arial" w:eastAsia="Arial" w:cs="Arial"/>
                <w:sz w:val="20"/>
                <w:szCs w:val="20"/>
              </w:rPr>
            </w:r>
          </w:p>
        </w:tc>
      </w:tr>
    </w:tbl>
    <w:tbl>
      <w:tblPr>
        <w:tblStyle w:val="11"/>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2529"/>
        <w:gridCol w:w="2126"/>
        <w:gridCol w:w="2126"/>
        <w:gridCol w:w="2551"/>
      </w:tblGrid>
      <w:tr>
        <w:trPr/>
        <w:tc>
          <w:tcPr>
            <w:tcBorders/>
            <w:tcMar>
              <w:left w:w="15" w:type="dxa"/>
              <w:top w:w="15" w:type="dxa"/>
              <w:right w:w="15" w:type="dxa"/>
              <w:bottom w:w="15" w:type="dxa"/>
            </w:tcMar>
            <w:tcW w:w="2529"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Value polarization</w:t>
            </w:r>
            <w:r>
              <w:rPr>
                <w:rFonts w:ascii="Arial" w:hAnsi="Arial" w:eastAsia="Arial" w:cs="Arial"/>
                <w:sz w:val="20"/>
                <w:szCs w:val="20"/>
              </w:rPr>
            </w:r>
          </w:p>
        </w:tc>
        <w:tc>
          <w:tcPr>
            <w:tcBorders/>
            <w:tcMar>
              <w:left w:w="15" w:type="dxa"/>
              <w:top w:w="15" w:type="dxa"/>
              <w:right w:w="15" w:type="dxa"/>
              <w:bottom w:w="15" w:type="dxa"/>
            </w:tcMar>
            <w:tcW w:w="2126"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Accelerating</w:t>
            </w:r>
            <w:r>
              <w:rPr>
                <w:rFonts w:ascii="Arial" w:hAnsi="Arial" w:eastAsia="Arial" w:cs="Arial"/>
                <w:sz w:val="20"/>
                <w:szCs w:val="20"/>
              </w:rPr>
            </w:r>
          </w:p>
        </w:tc>
        <w:tc>
          <w:tcPr>
            <w:tcBorders/>
            <w:tcMar>
              <w:left w:w="15" w:type="dxa"/>
              <w:top w:w="15" w:type="dxa"/>
              <w:right w:w="15" w:type="dxa"/>
              <w:bottom w:w="15" w:type="dxa"/>
            </w:tcMar>
            <w:tcW w:w="2126"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Accelerating</w:t>
            </w:r>
            <w:r>
              <w:rPr>
                <w:rFonts w:ascii="Arial" w:hAnsi="Arial" w:eastAsia="Arial" w:cs="Arial"/>
                <w:sz w:val="20"/>
                <w:szCs w:val="20"/>
              </w:rPr>
            </w:r>
          </w:p>
        </w:tc>
        <w:tc>
          <w:tcPr>
            <w:tcBorders/>
            <w:tcMar>
              <w:left w:w="15" w:type="dxa"/>
              <w:top w:w="15" w:type="dxa"/>
              <w:right w:w="15" w:type="dxa"/>
              <w:bottom w:w="15" w:type="dxa"/>
            </w:tcMar>
            <w:tcW w:w="2551"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Stable (premium-leaning)</w:t>
            </w:r>
            <w:r>
              <w:rPr>
                <w:rFonts w:ascii="Arial" w:hAnsi="Arial" w:eastAsia="Arial" w:cs="Arial"/>
                <w:sz w:val="20"/>
                <w:szCs w:val="20"/>
              </w:rPr>
            </w:r>
          </w:p>
        </w:tc>
      </w:tr>
      <w:tr>
        <w:trPr/>
        <w:tc>
          <w:tcPr>
            <w:tcBorders/>
            <w:tcMar>
              <w:left w:w="15" w:type="dxa"/>
              <w:top w:w="15" w:type="dxa"/>
              <w:right w:w="15" w:type="dxa"/>
              <w:bottom w:w="15" w:type="dxa"/>
            </w:tcMar>
            <w:tcW w:w="2529"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Price hypersensitivity</w:t>
            </w:r>
            <w:r>
              <w:rPr>
                <w:rFonts w:ascii="Arial" w:hAnsi="Arial" w:eastAsia="Arial" w:cs="Arial"/>
                <w:sz w:val="20"/>
                <w:szCs w:val="20"/>
              </w:rPr>
            </w:r>
          </w:p>
        </w:tc>
        <w:tc>
          <w:tcPr>
            <w:tcBorders/>
            <w:tcMar>
              <w:left w:w="15" w:type="dxa"/>
              <w:top w:w="15" w:type="dxa"/>
              <w:right w:w="15" w:type="dxa"/>
              <w:bottom w:w="15" w:type="dxa"/>
            </w:tcMar>
            <w:tcW w:w="2126"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Stable (entrenched)</w:t>
            </w:r>
            <w:r>
              <w:rPr>
                <w:rFonts w:ascii="Arial" w:hAnsi="Arial" w:eastAsia="Arial" w:cs="Arial"/>
                <w:sz w:val="20"/>
                <w:szCs w:val="20"/>
              </w:rPr>
            </w:r>
          </w:p>
        </w:tc>
        <w:tc>
          <w:tcPr>
            <w:tcBorders/>
            <w:tcMar>
              <w:left w:w="15" w:type="dxa"/>
              <w:top w:w="15" w:type="dxa"/>
              <w:right w:w="15" w:type="dxa"/>
              <w:bottom w:w="15" w:type="dxa"/>
            </w:tcMar>
            <w:tcW w:w="2126"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Accelerating</w:t>
            </w:r>
            <w:r>
              <w:rPr>
                <w:rFonts w:ascii="Arial" w:hAnsi="Arial" w:eastAsia="Arial" w:cs="Arial"/>
                <w:sz w:val="20"/>
                <w:szCs w:val="20"/>
              </w:rPr>
            </w:r>
          </w:p>
        </w:tc>
        <w:tc>
          <w:tcPr>
            <w:tcBorders/>
            <w:tcMar>
              <w:left w:w="15" w:type="dxa"/>
              <w:top w:w="15" w:type="dxa"/>
              <w:right w:w="15" w:type="dxa"/>
              <w:bottom w:w="15" w:type="dxa"/>
            </w:tcMar>
            <w:tcW w:w="2551"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Dormant</w:t>
            </w:r>
            <w:r>
              <w:rPr>
                <w:rFonts w:ascii="Arial" w:hAnsi="Arial" w:eastAsia="Arial" w:cs="Arial"/>
                <w:sz w:val="20"/>
                <w:szCs w:val="20"/>
              </w:rPr>
            </w:r>
          </w:p>
        </w:tc>
      </w:tr>
      <w:tr>
        <w:trPr/>
        <w:tc>
          <w:tcPr>
            <w:tcBorders/>
            <w:tcMar>
              <w:left w:w="15" w:type="dxa"/>
              <w:top w:w="15" w:type="dxa"/>
              <w:right w:w="15" w:type="dxa"/>
              <w:bottom w:w="15" w:type="dxa"/>
            </w:tcMar>
            <w:tcW w:w="2529"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Convenience food/to-go</w:t>
            </w:r>
            <w:r>
              <w:rPr>
                <w:rFonts w:ascii="Arial" w:hAnsi="Arial" w:eastAsia="Arial" w:cs="Arial"/>
                <w:sz w:val="20"/>
                <w:szCs w:val="20"/>
              </w:rPr>
            </w:r>
          </w:p>
        </w:tc>
        <w:tc>
          <w:tcPr>
            <w:tcBorders/>
            <w:tcMar>
              <w:left w:w="15" w:type="dxa"/>
              <w:top w:w="15" w:type="dxa"/>
              <w:right w:w="15" w:type="dxa"/>
              <w:bottom w:w="15" w:type="dxa"/>
            </w:tcMar>
            <w:tcW w:w="2126"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Rising</w:t>
            </w:r>
            <w:r>
              <w:rPr>
                <w:rFonts w:ascii="Arial" w:hAnsi="Arial" w:eastAsia="Arial" w:cs="Arial"/>
                <w:sz w:val="20"/>
                <w:szCs w:val="20"/>
              </w:rPr>
            </w:r>
          </w:p>
        </w:tc>
        <w:tc>
          <w:tcPr>
            <w:tcBorders/>
            <w:tcMar>
              <w:left w:w="15" w:type="dxa"/>
              <w:top w:w="15" w:type="dxa"/>
              <w:right w:w="15" w:type="dxa"/>
              <w:bottom w:w="15" w:type="dxa"/>
            </w:tcMar>
            <w:tcW w:w="2126"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Rising</w:t>
            </w:r>
            <w:r>
              <w:rPr>
                <w:rFonts w:ascii="Arial" w:hAnsi="Arial" w:eastAsia="Arial" w:cs="Arial"/>
                <w:sz w:val="20"/>
                <w:szCs w:val="20"/>
              </w:rPr>
            </w:r>
          </w:p>
        </w:tc>
        <w:tc>
          <w:tcPr>
            <w:tcBorders/>
            <w:tcMar>
              <w:left w:w="15" w:type="dxa"/>
              <w:top w:w="15" w:type="dxa"/>
              <w:right w:w="15" w:type="dxa"/>
              <w:bottom w:w="15" w:type="dxa"/>
            </w:tcMar>
            <w:tcW w:w="2551"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Accelerating</w:t>
            </w:r>
            <w:r>
              <w:rPr>
                <w:rFonts w:ascii="Arial" w:hAnsi="Arial" w:eastAsia="Arial" w:cs="Arial"/>
                <w:sz w:val="20"/>
                <w:szCs w:val="20"/>
              </w:rPr>
            </w:r>
          </w:p>
        </w:tc>
      </w:tr>
      <w:tr>
        <w:trPr/>
        <w:tc>
          <w:tcPr>
            <w:tcBorders/>
            <w:tcMar>
              <w:left w:w="15" w:type="dxa"/>
              <w:top w:w="15" w:type="dxa"/>
              <w:right w:w="15" w:type="dxa"/>
              <w:bottom w:w="15" w:type="dxa"/>
            </w:tcMar>
            <w:tcW w:w="2529"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AI in shopping</w:t>
            </w:r>
            <w:r>
              <w:rPr>
                <w:rFonts w:ascii="Arial" w:hAnsi="Arial" w:eastAsia="Arial" w:cs="Arial"/>
                <w:sz w:val="20"/>
                <w:szCs w:val="20"/>
              </w:rPr>
            </w:r>
          </w:p>
        </w:tc>
        <w:tc>
          <w:tcPr>
            <w:tcBorders/>
            <w:tcMar>
              <w:left w:w="15" w:type="dxa"/>
              <w:top w:w="15" w:type="dxa"/>
              <w:right w:w="15" w:type="dxa"/>
              <w:bottom w:w="15" w:type="dxa"/>
            </w:tcMar>
            <w:tcW w:w="2126"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Rising</w:t>
            </w:r>
            <w:r>
              <w:rPr>
                <w:rFonts w:ascii="Arial" w:hAnsi="Arial" w:eastAsia="Arial" w:cs="Arial"/>
                <w:sz w:val="20"/>
                <w:szCs w:val="20"/>
              </w:rPr>
            </w:r>
          </w:p>
        </w:tc>
        <w:tc>
          <w:tcPr>
            <w:tcBorders/>
            <w:tcMar>
              <w:left w:w="15" w:type="dxa"/>
              <w:top w:w="15" w:type="dxa"/>
              <w:right w:w="15" w:type="dxa"/>
              <w:bottom w:w="15" w:type="dxa"/>
            </w:tcMar>
            <w:tcW w:w="2126"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Early/rising</w:t>
            </w:r>
            <w:r>
              <w:rPr>
                <w:rFonts w:ascii="Arial" w:hAnsi="Arial" w:eastAsia="Arial" w:cs="Arial"/>
                <w:sz w:val="20"/>
                <w:szCs w:val="20"/>
              </w:rPr>
            </w:r>
          </w:p>
        </w:tc>
        <w:tc>
          <w:tcPr>
            <w:tcBorders/>
            <w:tcMar>
              <w:left w:w="15" w:type="dxa"/>
              <w:top w:w="15" w:type="dxa"/>
              <w:right w:w="15" w:type="dxa"/>
              <w:bottom w:w="15" w:type="dxa"/>
            </w:tcMar>
            <w:tcW w:w="2551"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Rising</w:t>
            </w:r>
            <w:r>
              <w:rPr>
                <w:rFonts w:ascii="Arial" w:hAnsi="Arial" w:eastAsia="Arial" w:cs="Arial"/>
                <w:sz w:val="20"/>
                <w:szCs w:val="20"/>
              </w:rPr>
            </w:r>
          </w:p>
        </w:tc>
      </w:tr>
      <w:tr>
        <w:trPr/>
        <w:tc>
          <w:tcPr>
            <w:tcBorders/>
            <w:tcMar>
              <w:left w:w="15" w:type="dxa"/>
              <w:top w:w="15" w:type="dxa"/>
              <w:right w:w="15" w:type="dxa"/>
              <w:bottom w:w="15" w:type="dxa"/>
            </w:tcMar>
            <w:tcW w:w="2529"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Hypermarket format</w:t>
            </w:r>
            <w:r>
              <w:rPr>
                <w:rFonts w:ascii="Arial" w:hAnsi="Arial" w:eastAsia="Arial" w:cs="Arial"/>
                <w:sz w:val="20"/>
                <w:szCs w:val="20"/>
              </w:rPr>
            </w:r>
          </w:p>
        </w:tc>
        <w:tc>
          <w:tcPr>
            <w:tcBorders/>
            <w:tcMar>
              <w:left w:w="15" w:type="dxa"/>
              <w:top w:w="15" w:type="dxa"/>
              <w:right w:w="15" w:type="dxa"/>
              <w:bottom w:w="15" w:type="dxa"/>
            </w:tcMar>
            <w:tcW w:w="2126"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Falling</w:t>
            </w:r>
            <w:r>
              <w:rPr>
                <w:rFonts w:ascii="Arial" w:hAnsi="Arial" w:eastAsia="Arial" w:cs="Arial"/>
                <w:sz w:val="20"/>
                <w:szCs w:val="20"/>
              </w:rPr>
            </w:r>
          </w:p>
        </w:tc>
        <w:tc>
          <w:tcPr>
            <w:tcBorders/>
            <w:tcMar>
              <w:left w:w="15" w:type="dxa"/>
              <w:top w:w="15" w:type="dxa"/>
              <w:right w:w="15" w:type="dxa"/>
              <w:bottom w:w="15" w:type="dxa"/>
            </w:tcMar>
            <w:tcW w:w="2126"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Falling</w:t>
            </w:r>
            <w:r>
              <w:rPr>
                <w:rFonts w:ascii="Arial" w:hAnsi="Arial" w:eastAsia="Arial" w:cs="Arial"/>
                <w:sz w:val="20"/>
                <w:szCs w:val="20"/>
              </w:rPr>
            </w:r>
          </w:p>
        </w:tc>
        <w:tc>
          <w:tcPr>
            <w:tcBorders/>
            <w:tcMar>
              <w:left w:w="15" w:type="dxa"/>
              <w:top w:w="15" w:type="dxa"/>
              <w:right w:w="15" w:type="dxa"/>
              <w:bottom w:w="15" w:type="dxa"/>
            </w:tcMar>
            <w:tcW w:w="2551"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Stable</w:t>
            </w:r>
            <w:r>
              <w:rPr>
                <w:rFonts w:ascii="Arial" w:hAnsi="Arial" w:eastAsia="Arial" w:cs="Arial"/>
                <w:sz w:val="20"/>
                <w:szCs w:val="20"/>
              </w:rPr>
            </w:r>
          </w:p>
        </w:tc>
      </w:tr>
      <w:tr>
        <w:trPr/>
        <w:tc>
          <w:tcPr>
            <w:tcBorders/>
            <w:tcMar>
              <w:left w:w="15" w:type="dxa"/>
              <w:top w:w="15" w:type="dxa"/>
              <w:right w:w="15" w:type="dxa"/>
              <w:bottom w:w="15" w:type="dxa"/>
            </w:tcMar>
            <w:tcW w:w="2529"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Proximity/small stores</w:t>
            </w:r>
            <w:r>
              <w:rPr>
                <w:rFonts w:ascii="Arial" w:hAnsi="Arial" w:eastAsia="Arial" w:cs="Arial"/>
                <w:sz w:val="20"/>
                <w:szCs w:val="20"/>
              </w:rPr>
            </w:r>
          </w:p>
        </w:tc>
        <w:tc>
          <w:tcPr>
            <w:tcBorders/>
            <w:tcMar>
              <w:left w:w="15" w:type="dxa"/>
              <w:top w:w="15" w:type="dxa"/>
              <w:right w:w="15" w:type="dxa"/>
              <w:bottom w:w="15" w:type="dxa"/>
            </w:tcMar>
            <w:tcW w:w="2126"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Accelerating</w:t>
            </w:r>
            <w:r>
              <w:rPr>
                <w:rFonts w:ascii="Arial" w:hAnsi="Arial" w:eastAsia="Arial" w:cs="Arial"/>
                <w:sz w:val="20"/>
                <w:szCs w:val="20"/>
              </w:rPr>
            </w:r>
          </w:p>
        </w:tc>
        <w:tc>
          <w:tcPr>
            <w:tcBorders/>
            <w:tcMar>
              <w:left w:w="15" w:type="dxa"/>
              <w:top w:w="15" w:type="dxa"/>
              <w:right w:w="15" w:type="dxa"/>
              <w:bottom w:w="15" w:type="dxa"/>
            </w:tcMar>
            <w:tcW w:w="2126"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Rising</w:t>
            </w:r>
            <w:r>
              <w:rPr>
                <w:rFonts w:ascii="Arial" w:hAnsi="Arial" w:eastAsia="Arial" w:cs="Arial"/>
                <w:sz w:val="20"/>
                <w:szCs w:val="20"/>
              </w:rPr>
            </w:r>
          </w:p>
        </w:tc>
        <w:tc>
          <w:tcPr>
            <w:tcBorders/>
            <w:tcMar>
              <w:left w:w="15" w:type="dxa"/>
              <w:top w:w="15" w:type="dxa"/>
              <w:right w:w="15" w:type="dxa"/>
              <w:bottom w:w="15" w:type="dxa"/>
            </w:tcMar>
            <w:tcW w:w="2551"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Rising</w:t>
            </w:r>
            <w:r>
              <w:rPr>
                <w:rFonts w:ascii="Arial" w:hAnsi="Arial" w:eastAsia="Arial" w:cs="Arial"/>
                <w:sz w:val="20"/>
                <w:szCs w:val="20"/>
              </w:rPr>
            </w:r>
          </w:p>
        </w:tc>
      </w:tr>
      <w:tr>
        <w:trPr/>
        <w:tc>
          <w:tcPr>
            <w:tcBorders/>
            <w:tcMar>
              <w:left w:w="15" w:type="dxa"/>
              <w:top w:w="15" w:type="dxa"/>
              <w:right w:w="15" w:type="dxa"/>
              <w:bottom w:w="15" w:type="dxa"/>
            </w:tcMar>
            <w:tcW w:w="2529"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Health/functional food</w:t>
            </w:r>
            <w:r>
              <w:rPr>
                <w:rFonts w:ascii="Arial" w:hAnsi="Arial" w:eastAsia="Arial" w:cs="Arial"/>
                <w:sz w:val="20"/>
                <w:szCs w:val="20"/>
              </w:rPr>
            </w:r>
          </w:p>
        </w:tc>
        <w:tc>
          <w:tcPr>
            <w:tcBorders/>
            <w:tcMar>
              <w:left w:w="15" w:type="dxa"/>
              <w:top w:w="15" w:type="dxa"/>
              <w:right w:w="15" w:type="dxa"/>
              <w:bottom w:w="15" w:type="dxa"/>
            </w:tcMar>
            <w:tcW w:w="2126"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Rising</w:t>
            </w:r>
            <w:r>
              <w:rPr>
                <w:rFonts w:ascii="Arial" w:hAnsi="Arial" w:eastAsia="Arial" w:cs="Arial"/>
                <w:sz w:val="20"/>
                <w:szCs w:val="20"/>
              </w:rPr>
            </w:r>
          </w:p>
        </w:tc>
        <w:tc>
          <w:tcPr>
            <w:tcBorders/>
            <w:tcMar>
              <w:left w:w="15" w:type="dxa"/>
              <w:top w:w="15" w:type="dxa"/>
              <w:right w:w="15" w:type="dxa"/>
              <w:bottom w:w="15" w:type="dxa"/>
            </w:tcMar>
            <w:tcW w:w="2126"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Rising</w:t>
            </w:r>
            <w:r>
              <w:rPr>
                <w:rFonts w:ascii="Arial" w:hAnsi="Arial" w:eastAsia="Arial" w:cs="Arial"/>
                <w:sz w:val="20"/>
                <w:szCs w:val="20"/>
              </w:rPr>
            </w:r>
          </w:p>
        </w:tc>
        <w:tc>
          <w:tcPr>
            <w:tcBorders/>
            <w:tcMar>
              <w:left w:w="15" w:type="dxa"/>
              <w:top w:w="15" w:type="dxa"/>
              <w:right w:w="15" w:type="dxa"/>
              <w:bottom w:w="15" w:type="dxa"/>
            </w:tcMar>
            <w:tcW w:w="2551"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Accelerating</w:t>
            </w:r>
            <w:r>
              <w:rPr>
                <w:rFonts w:ascii="Arial" w:hAnsi="Arial" w:eastAsia="Arial" w:cs="Arial"/>
                <w:sz w:val="20"/>
                <w:szCs w:val="20"/>
              </w:rPr>
            </w:r>
          </w:p>
        </w:tc>
      </w:tr>
      <w:tr>
        <w:trPr/>
        <w:tc>
          <w:tcPr>
            <w:tcBorders/>
            <w:tcMar>
              <w:left w:w="15" w:type="dxa"/>
              <w:top w:w="15" w:type="dxa"/>
              <w:right w:w="15" w:type="dxa"/>
              <w:bottom w:w="15" w:type="dxa"/>
            </w:tcMar>
            <w:tcW w:w="2529"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Sustainability</w:t>
            </w:r>
            <w:r>
              <w:rPr>
                <w:rFonts w:ascii="Arial" w:hAnsi="Arial" w:eastAsia="Arial" w:cs="Arial"/>
                <w:sz w:val="20"/>
                <w:szCs w:val="20"/>
              </w:rPr>
            </w:r>
          </w:p>
        </w:tc>
        <w:tc>
          <w:tcPr>
            <w:tcBorders/>
            <w:tcMar>
              <w:left w:w="15" w:type="dxa"/>
              <w:top w:w="15" w:type="dxa"/>
              <w:right w:w="15" w:type="dxa"/>
              <w:bottom w:w="15" w:type="dxa"/>
            </w:tcMar>
            <w:tcW w:w="2126"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Stable</w:t>
            </w:r>
            <w:r>
              <w:rPr>
                <w:rFonts w:ascii="Arial" w:hAnsi="Arial" w:eastAsia="Arial" w:cs="Arial"/>
                <w:sz w:val="20"/>
                <w:szCs w:val="20"/>
              </w:rPr>
            </w:r>
          </w:p>
        </w:tc>
        <w:tc>
          <w:tcPr>
            <w:tcBorders/>
            <w:tcMar>
              <w:left w:w="15" w:type="dxa"/>
              <w:top w:w="15" w:type="dxa"/>
              <w:right w:w="15" w:type="dxa"/>
              <w:bottom w:w="15" w:type="dxa"/>
            </w:tcMar>
            <w:tcW w:w="2126"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Aspirational/blocked</w:t>
            </w:r>
            <w:r>
              <w:rPr>
                <w:rFonts w:ascii="Arial" w:hAnsi="Arial" w:eastAsia="Arial" w:cs="Arial"/>
                <w:sz w:val="20"/>
                <w:szCs w:val="20"/>
              </w:rPr>
            </w:r>
          </w:p>
        </w:tc>
        <w:tc>
          <w:tcPr>
            <w:tcBorders/>
            <w:tcMar>
              <w:left w:w="15" w:type="dxa"/>
              <w:top w:w="15" w:type="dxa"/>
              <w:right w:w="15" w:type="dxa"/>
              <w:bottom w:w="15" w:type="dxa"/>
            </w:tcMar>
            <w:tcW w:w="2551"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Rising (halal-linked)</w:t>
            </w:r>
            <w:r>
              <w:rPr>
                <w:rFonts w:ascii="Arial" w:hAnsi="Arial" w:eastAsia="Arial" w:cs="Arial"/>
                <w:sz w:val="20"/>
                <w:szCs w:val="20"/>
              </w:rPr>
            </w:r>
          </w:p>
        </w:tc>
      </w:tr>
      <w:tr>
        <w:trPr/>
        <w:tc>
          <w:tcPr>
            <w:tcBorders/>
            <w:tcMar>
              <w:left w:w="15" w:type="dxa"/>
              <w:top w:w="15" w:type="dxa"/>
              <w:right w:w="15" w:type="dxa"/>
              <w:bottom w:w="15" w:type="dxa"/>
            </w:tcMar>
            <w:tcW w:w="2529"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E-commerce grocery</w:t>
            </w:r>
            <w:r>
              <w:rPr>
                <w:rFonts w:ascii="Arial" w:hAnsi="Arial" w:eastAsia="Arial" w:cs="Arial"/>
                <w:sz w:val="20"/>
                <w:szCs w:val="20"/>
              </w:rPr>
            </w:r>
          </w:p>
        </w:tc>
        <w:tc>
          <w:tcPr>
            <w:tcBorders/>
            <w:tcMar>
              <w:left w:w="15" w:type="dxa"/>
              <w:top w:w="15" w:type="dxa"/>
              <w:right w:w="15" w:type="dxa"/>
              <w:bottom w:w="15" w:type="dxa"/>
            </w:tcMar>
            <w:tcW w:w="2126"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Accelerating</w:t>
            </w:r>
            <w:r>
              <w:rPr>
                <w:rFonts w:ascii="Arial" w:hAnsi="Arial" w:eastAsia="Arial" w:cs="Arial"/>
                <w:sz w:val="20"/>
                <w:szCs w:val="20"/>
              </w:rPr>
            </w:r>
          </w:p>
        </w:tc>
        <w:tc>
          <w:tcPr>
            <w:tcBorders/>
            <w:tcMar>
              <w:left w:w="15" w:type="dxa"/>
              <w:top w:w="15" w:type="dxa"/>
              <w:right w:w="15" w:type="dxa"/>
              <w:bottom w:w="15" w:type="dxa"/>
            </w:tcMar>
            <w:tcW w:w="2126"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Rising</w:t>
            </w:r>
            <w:r>
              <w:rPr>
                <w:rFonts w:ascii="Arial" w:hAnsi="Arial" w:eastAsia="Arial" w:cs="Arial"/>
                <w:sz w:val="20"/>
                <w:szCs w:val="20"/>
              </w:rPr>
            </w:r>
          </w:p>
        </w:tc>
        <w:tc>
          <w:tcPr>
            <w:tcBorders/>
            <w:tcMar>
              <w:left w:w="15" w:type="dxa"/>
              <w:top w:w="15" w:type="dxa"/>
              <w:right w:w="15" w:type="dxa"/>
              <w:bottom w:w="15" w:type="dxa"/>
            </w:tcMar>
            <w:tcW w:w="2551"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Accelerating</w:t>
            </w:r>
            <w:r>
              <w:rPr>
                <w:rFonts w:ascii="Arial" w:hAnsi="Arial" w:eastAsia="Arial" w:cs="Arial"/>
                <w:sz w:val="20"/>
                <w:szCs w:val="20"/>
              </w:rPr>
            </w:r>
          </w:p>
        </w:tc>
      </w:tr>
      <w:tr>
        <w:trPr/>
        <w:tc>
          <w:tcPr>
            <w:tcBorders/>
            <w:tcMar>
              <w:left w:w="15" w:type="dxa"/>
              <w:top w:w="15" w:type="dxa"/>
              <w:right w:w="15" w:type="dxa"/>
              <w:bottom w:w="15" w:type="dxa"/>
            </w:tcMar>
            <w:tcW w:w="2529"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GLP-1 grocery impact</w:t>
            </w:r>
            <w:r>
              <w:rPr>
                <w:rFonts w:ascii="Arial" w:hAnsi="Arial" w:eastAsia="Arial" w:cs="Arial"/>
                <w:sz w:val="20"/>
                <w:szCs w:val="20"/>
              </w:rPr>
            </w:r>
          </w:p>
        </w:tc>
        <w:tc>
          <w:tcPr>
            <w:tcBorders/>
            <w:tcMar>
              <w:left w:w="15" w:type="dxa"/>
              <w:top w:w="15" w:type="dxa"/>
              <w:right w:w="15" w:type="dxa"/>
              <w:bottom w:w="15" w:type="dxa"/>
            </w:tcMar>
            <w:tcW w:w="2126"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Rising (surprise)</w:t>
            </w:r>
            <w:r>
              <w:rPr>
                <w:rFonts w:ascii="Arial" w:hAnsi="Arial" w:eastAsia="Arial" w:cs="Arial"/>
                <w:sz w:val="20"/>
                <w:szCs w:val="20"/>
              </w:rPr>
            </w:r>
          </w:p>
        </w:tc>
        <w:tc>
          <w:tcPr>
            <w:tcBorders/>
            <w:tcMar>
              <w:left w:w="15" w:type="dxa"/>
              <w:top w:w="15" w:type="dxa"/>
              <w:right w:w="15" w:type="dxa"/>
              <w:bottom w:w="15" w:type="dxa"/>
            </w:tcMar>
            <w:tcW w:w="2126"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Dormant</w:t>
            </w:r>
            <w:r>
              <w:rPr>
                <w:rFonts w:ascii="Arial" w:hAnsi="Arial" w:eastAsia="Arial" w:cs="Arial"/>
                <w:sz w:val="20"/>
                <w:szCs w:val="20"/>
              </w:rPr>
            </w:r>
          </w:p>
        </w:tc>
        <w:tc>
          <w:tcPr>
            <w:tcBorders/>
            <w:tcMar>
              <w:left w:w="15" w:type="dxa"/>
              <w:top w:w="15" w:type="dxa"/>
              <w:right w:w="15" w:type="dxa"/>
              <w:bottom w:w="15" w:type="dxa"/>
            </w:tcMar>
            <w:tcW w:w="2551"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Dormant</w:t>
            </w:r>
            <w:r>
              <w:rPr>
                <w:rFonts w:ascii="Arial" w:hAnsi="Arial" w:eastAsia="Arial" w:cs="Arial"/>
                <w:sz w:val="20"/>
                <w:szCs w:val="20"/>
              </w:rPr>
            </w:r>
          </w:p>
        </w:tc>
      </w:tr>
      <w:tr>
        <w:trPr/>
        <w:tc>
          <w:tcPr>
            <w:tcBorders/>
            <w:tcMar>
              <w:left w:w="15" w:type="dxa"/>
              <w:top w:w="15" w:type="dxa"/>
              <w:right w:w="15" w:type="dxa"/>
              <w:bottom w:w="15" w:type="dxa"/>
            </w:tcMar>
            <w:tcW w:w="2529"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Non-alcoholic beverages</w:t>
            </w:r>
            <w:r>
              <w:rPr>
                <w:rFonts w:ascii="Arial" w:hAnsi="Arial" w:eastAsia="Arial" w:cs="Arial"/>
                <w:sz w:val="20"/>
                <w:szCs w:val="20"/>
              </w:rPr>
            </w:r>
          </w:p>
        </w:tc>
        <w:tc>
          <w:tcPr>
            <w:tcBorders/>
            <w:tcMar>
              <w:left w:w="15" w:type="dxa"/>
              <w:top w:w="15" w:type="dxa"/>
              <w:right w:w="15" w:type="dxa"/>
              <w:bottom w:w="15" w:type="dxa"/>
            </w:tcMar>
            <w:tcW w:w="2126"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Accelerating</w:t>
            </w:r>
            <w:r>
              <w:rPr>
                <w:rFonts w:ascii="Arial" w:hAnsi="Arial" w:eastAsia="Arial" w:cs="Arial"/>
                <w:sz w:val="20"/>
                <w:szCs w:val="20"/>
              </w:rPr>
            </w:r>
          </w:p>
        </w:tc>
        <w:tc>
          <w:tcPr>
            <w:tcBorders/>
            <w:tcMar>
              <w:left w:w="15" w:type="dxa"/>
              <w:top w:w="15" w:type="dxa"/>
              <w:right w:w="15" w:type="dxa"/>
              <w:bottom w:w="15" w:type="dxa"/>
            </w:tcMar>
            <w:tcW w:w="2126"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Rising</w:t>
            </w:r>
            <w:r>
              <w:rPr>
                <w:rFonts w:ascii="Arial" w:hAnsi="Arial" w:eastAsia="Arial" w:cs="Arial"/>
                <w:sz w:val="20"/>
                <w:szCs w:val="20"/>
              </w:rPr>
            </w:r>
          </w:p>
        </w:tc>
        <w:tc>
          <w:tcPr>
            <w:tcBorders/>
            <w:tcMar>
              <w:left w:w="15" w:type="dxa"/>
              <w:top w:w="15" w:type="dxa"/>
              <w:right w:w="15" w:type="dxa"/>
              <w:bottom w:w="15" w:type="dxa"/>
            </w:tcMar>
            <w:tcW w:w="2551"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Rising</w:t>
            </w:r>
            <w:r>
              <w:rPr>
                <w:rFonts w:ascii="Arial" w:hAnsi="Arial" w:eastAsia="Arial" w:cs="Arial"/>
                <w:sz w:val="20"/>
                <w:szCs w:val="20"/>
              </w:rPr>
            </w:r>
          </w:p>
        </w:tc>
      </w:tr>
      <w:tr>
        <w:trPr/>
        <w:tc>
          <w:tcPr>
            <w:tcBorders/>
            <w:tcMar>
              <w:left w:w="15" w:type="dxa"/>
              <w:top w:w="15" w:type="dxa"/>
              <w:right w:w="15" w:type="dxa"/>
              <w:bottom w:w="15" w:type="dxa"/>
            </w:tcMar>
            <w:tcW w:w="2529"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Experiential retail/mall</w:t>
            </w:r>
            <w:r>
              <w:rPr>
                <w:rFonts w:ascii="Arial" w:hAnsi="Arial" w:eastAsia="Arial" w:cs="Arial"/>
                <w:sz w:val="20"/>
                <w:szCs w:val="20"/>
              </w:rPr>
            </w:r>
          </w:p>
        </w:tc>
        <w:tc>
          <w:tcPr>
            <w:tcBorders/>
            <w:tcMar>
              <w:left w:w="15" w:type="dxa"/>
              <w:top w:w="15" w:type="dxa"/>
              <w:right w:w="15" w:type="dxa"/>
              <w:bottom w:w="15" w:type="dxa"/>
            </w:tcMar>
            <w:tcW w:w="2126"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Rising</w:t>
            </w:r>
            <w:r>
              <w:rPr>
                <w:rFonts w:ascii="Arial" w:hAnsi="Arial" w:eastAsia="Arial" w:cs="Arial"/>
                <w:sz w:val="20"/>
                <w:szCs w:val="20"/>
              </w:rPr>
            </w:r>
          </w:p>
        </w:tc>
        <w:tc>
          <w:tcPr>
            <w:tcBorders/>
            <w:tcMar>
              <w:left w:w="15" w:type="dxa"/>
              <w:top w:w="15" w:type="dxa"/>
              <w:right w:w="15" w:type="dxa"/>
              <w:bottom w:w="15" w:type="dxa"/>
            </w:tcMar>
            <w:tcW w:w="2126"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Early</w:t>
            </w:r>
            <w:r>
              <w:rPr>
                <w:rFonts w:ascii="Arial" w:hAnsi="Arial" w:eastAsia="Arial" w:cs="Arial"/>
                <w:sz w:val="20"/>
                <w:szCs w:val="20"/>
              </w:rPr>
            </w:r>
          </w:p>
        </w:tc>
        <w:tc>
          <w:tcPr>
            <w:tcBorders/>
            <w:tcMar>
              <w:left w:w="15" w:type="dxa"/>
              <w:top w:w="15" w:type="dxa"/>
              <w:right w:w="15" w:type="dxa"/>
              <w:bottom w:w="15" w:type="dxa"/>
            </w:tcMar>
            <w:tcW w:w="2551"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Accelerating</w:t>
            </w:r>
            <w:r>
              <w:rPr>
                <w:rFonts w:ascii="Arial" w:hAnsi="Arial" w:eastAsia="Arial" w:cs="Arial"/>
                <w:sz w:val="20"/>
                <w:szCs w:val="20"/>
              </w:rPr>
            </w:r>
          </w:p>
        </w:tc>
      </w:tr>
    </w:tbl>
    <w:p>
      <w:pPr>
        <w:pBdr/>
        <w:spacing/>
        <w:ind/>
        <w:rPr>
          <w:rFonts w:ascii="Arial" w:hAnsi="Arial" w:cs="Arial"/>
          <w:sz w:val="20"/>
          <w:szCs w:val="20"/>
        </w:rPr>
      </w:pPr>
      <w:r>
        <w:rPr>
          <w:rFonts w:ascii="Arial" w:hAnsi="Arial" w:eastAsia="Arial" w:cs="Arial"/>
          <w:sz w:val="20"/>
          <w:szCs w:val="20"/>
        </w:rPr>
      </w:r>
      <w:r>
        <w:rPr>
          <w:rFonts w:ascii="Arial" w:hAnsi="Arial" w:eastAsia="Arial" w:cs="Arial"/>
          <w:sz w:val="20"/>
          <w:szCs w:val="20"/>
        </w:rPr>
      </w:r>
    </w:p>
    <w:tbl>
      <w:tblPr>
        <w:tblStyle w:val="11"/>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015"/>
        <w:gridCol w:w="1290"/>
        <w:gridCol w:w="2066"/>
        <w:gridCol w:w="3984"/>
      </w:tblGrid>
      <w:tr>
        <w:trPr/>
        <w:tc>
          <w:tcPr>
            <w:tcBorders/>
            <w:tcMar>
              <w:left w:w="15" w:type="dxa"/>
              <w:top w:w="15" w:type="dxa"/>
              <w:right w:w="15" w:type="dxa"/>
              <w:bottom w:w="15" w:type="dxa"/>
            </w:tcMar>
            <w:tcW w:w="2015" w:type="dxa"/>
            <w:vAlign w:val="center"/>
            <w:textDirection w:val="lrTb"/>
            <w:noWrap w:val="false"/>
          </w:tcPr>
          <w:p>
            <w:pPr>
              <w:pBdr/>
              <w:spacing w:after="0" w:before="0" w:line="240"/>
              <w:ind/>
              <w:jc w:val="center"/>
              <w:rPr>
                <w:rFonts w:ascii="Arial" w:hAnsi="Arial" w:cs="Arial"/>
                <w:sz w:val="20"/>
                <w:szCs w:val="20"/>
              </w:rPr>
            </w:pPr>
            <w:r>
              <w:rPr>
                <w:rFonts w:ascii="Arial" w:hAnsi="Arial" w:eastAsia="Arial" w:cs="Arial"/>
                <w:b/>
                <w:color w:val="000000"/>
                <w:sz w:val="20"/>
                <w:szCs w:val="20"/>
              </w:rPr>
              <w:t xml:space="preserve">Trend</w:t>
            </w:r>
            <w:r>
              <w:rPr>
                <w:rFonts w:ascii="Arial" w:hAnsi="Arial" w:eastAsia="Arial" w:cs="Arial"/>
                <w:sz w:val="20"/>
                <w:szCs w:val="20"/>
              </w:rPr>
            </w:r>
          </w:p>
        </w:tc>
        <w:tc>
          <w:tcPr>
            <w:tcBorders/>
            <w:tcMar>
              <w:left w:w="15" w:type="dxa"/>
              <w:top w:w="15" w:type="dxa"/>
              <w:right w:w="15" w:type="dxa"/>
              <w:bottom w:w="15" w:type="dxa"/>
            </w:tcMar>
            <w:tcW w:w="1290" w:type="dxa"/>
            <w:vAlign w:val="center"/>
            <w:textDirection w:val="lrTb"/>
            <w:noWrap w:val="false"/>
          </w:tcPr>
          <w:p>
            <w:pPr>
              <w:pBdr/>
              <w:spacing w:after="0" w:before="0" w:line="240"/>
              <w:ind/>
              <w:jc w:val="center"/>
              <w:rPr>
                <w:rFonts w:ascii="Arial" w:hAnsi="Arial" w:cs="Arial"/>
                <w:sz w:val="20"/>
                <w:szCs w:val="20"/>
              </w:rPr>
            </w:pPr>
            <w:r>
              <w:rPr>
                <w:rFonts w:ascii="Arial" w:hAnsi="Arial" w:eastAsia="Arial" w:cs="Arial"/>
                <w:b/>
                <w:color w:val="000000"/>
                <w:sz w:val="20"/>
                <w:szCs w:val="20"/>
              </w:rPr>
              <w:t xml:space="preserve">2026 Status</w:t>
            </w:r>
            <w:r>
              <w:rPr>
                <w:rFonts w:ascii="Arial" w:hAnsi="Arial" w:eastAsia="Arial" w:cs="Arial"/>
                <w:sz w:val="20"/>
                <w:szCs w:val="20"/>
              </w:rPr>
            </w:r>
          </w:p>
        </w:tc>
        <w:tc>
          <w:tcPr>
            <w:tcBorders/>
            <w:tcMar>
              <w:left w:w="15" w:type="dxa"/>
              <w:top w:w="15" w:type="dxa"/>
              <w:right w:w="15" w:type="dxa"/>
              <w:bottom w:w="15" w:type="dxa"/>
            </w:tcMar>
            <w:tcW w:w="2066" w:type="dxa"/>
            <w:vAlign w:val="center"/>
            <w:textDirection w:val="lrTb"/>
            <w:noWrap w:val="false"/>
          </w:tcPr>
          <w:p>
            <w:pPr>
              <w:pBdr/>
              <w:spacing w:after="0" w:before="0" w:line="240"/>
              <w:ind/>
              <w:jc w:val="center"/>
              <w:rPr>
                <w:rFonts w:ascii="Arial" w:hAnsi="Arial" w:cs="Arial"/>
                <w:sz w:val="20"/>
                <w:szCs w:val="20"/>
              </w:rPr>
            </w:pPr>
            <w:r>
              <w:rPr>
                <w:rFonts w:ascii="Arial" w:hAnsi="Arial" w:eastAsia="Arial" w:cs="Arial"/>
                <w:b/>
                <w:color w:val="000000"/>
                <w:sz w:val="20"/>
                <w:szCs w:val="20"/>
              </w:rPr>
              <w:t xml:space="preserve">2027 Forecast</w:t>
            </w:r>
            <w:r>
              <w:rPr>
                <w:rFonts w:ascii="Arial" w:hAnsi="Arial" w:eastAsia="Arial" w:cs="Arial"/>
                <w:sz w:val="20"/>
                <w:szCs w:val="20"/>
              </w:rPr>
            </w:r>
          </w:p>
        </w:tc>
        <w:tc>
          <w:tcPr>
            <w:tcBorders/>
            <w:tcMar>
              <w:left w:w="15" w:type="dxa"/>
              <w:top w:w="15" w:type="dxa"/>
              <w:right w:w="15" w:type="dxa"/>
              <w:bottom w:w="15" w:type="dxa"/>
            </w:tcMar>
            <w:tcW w:w="3984" w:type="dxa"/>
            <w:vAlign w:val="center"/>
            <w:textDirection w:val="lrTb"/>
            <w:noWrap w:val="false"/>
          </w:tcPr>
          <w:p>
            <w:pPr>
              <w:pBdr/>
              <w:spacing w:after="0" w:before="0" w:line="240"/>
              <w:ind/>
              <w:jc w:val="center"/>
              <w:rPr>
                <w:rFonts w:ascii="Arial" w:hAnsi="Arial" w:cs="Arial"/>
                <w:sz w:val="20"/>
                <w:szCs w:val="20"/>
              </w:rPr>
            </w:pPr>
            <w:r>
              <w:rPr>
                <w:rFonts w:ascii="Arial" w:hAnsi="Arial" w:eastAsia="Arial" w:cs="Arial"/>
                <w:b/>
                <w:color w:val="000000"/>
                <w:sz w:val="20"/>
                <w:szCs w:val="20"/>
              </w:rPr>
              <w:t xml:space="preserve">Key Driver</w:t>
            </w:r>
            <w:r>
              <w:rPr>
                <w:rFonts w:ascii="Arial" w:hAnsi="Arial" w:eastAsia="Arial" w:cs="Arial"/>
                <w:sz w:val="20"/>
                <w:szCs w:val="20"/>
              </w:rPr>
            </w:r>
          </w:p>
        </w:tc>
      </w:tr>
    </w:tbl>
    <w:tbl>
      <w:tblPr>
        <w:tblStyle w:val="11"/>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991"/>
        <w:gridCol w:w="1256"/>
        <w:gridCol w:w="2027"/>
        <w:gridCol w:w="4086"/>
      </w:tblGrid>
      <w:tr>
        <w:trPr/>
        <w:tc>
          <w:tcPr>
            <w:tcBorders/>
            <w:tcMar>
              <w:left w:w="15" w:type="dxa"/>
              <w:top w:w="15" w:type="dxa"/>
              <w:right w:w="15" w:type="dxa"/>
              <w:bottom w:w="15" w:type="dxa"/>
            </w:tcMar>
            <w:tcW w:w="1991"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Value Polarization</w:t>
            </w:r>
            <w:r>
              <w:rPr>
                <w:rFonts w:ascii="Arial" w:hAnsi="Arial" w:eastAsia="Arial" w:cs="Arial"/>
                <w:sz w:val="20"/>
                <w:szCs w:val="20"/>
              </w:rPr>
            </w:r>
          </w:p>
        </w:tc>
        <w:tc>
          <w:tcPr>
            <w:tcBorders/>
            <w:tcMar>
              <w:left w:w="15" w:type="dxa"/>
              <w:top w:w="15" w:type="dxa"/>
              <w:right w:w="15" w:type="dxa"/>
              <w:bottom w:w="15" w:type="dxa"/>
            </w:tcMar>
            <w:tcW w:w="1256"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Accelerating</w:t>
            </w:r>
            <w:r>
              <w:rPr>
                <w:rFonts w:ascii="Arial" w:hAnsi="Arial" w:eastAsia="Arial" w:cs="Arial"/>
                <w:sz w:val="20"/>
                <w:szCs w:val="20"/>
              </w:rPr>
            </w:r>
          </w:p>
        </w:tc>
        <w:tc>
          <w:tcPr>
            <w:tcBorders/>
            <w:tcMar>
              <w:left w:w="15" w:type="dxa"/>
              <w:top w:w="15" w:type="dxa"/>
              <w:right w:w="15" w:type="dxa"/>
              <w:bottom w:w="15" w:type="dxa"/>
            </w:tcMar>
            <w:tcW w:w="2027"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Structural (permanent)</w:t>
            </w:r>
            <w:r>
              <w:rPr>
                <w:rFonts w:ascii="Arial" w:hAnsi="Arial" w:eastAsia="Arial" w:cs="Arial"/>
                <w:sz w:val="20"/>
                <w:szCs w:val="20"/>
              </w:rPr>
            </w:r>
          </w:p>
        </w:tc>
        <w:tc>
          <w:tcPr>
            <w:tcBorders/>
            <w:tcMar>
              <w:left w:w="15" w:type="dxa"/>
              <w:top w:w="15" w:type="dxa"/>
              <w:right w:w="15" w:type="dxa"/>
              <w:bottom w:w="15" w:type="dxa"/>
            </w:tcMar>
            <w:tcW w:w="4086"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Mid-market continues to collapse </w:t>
            </w:r>
            <w:hyperlink r:id="rId38" w:tooltip="https://www.intotheminds.com/blog/en/consumer-trends-2026/" w:history="1">
              <w:r>
                <w:rPr>
                  <w:rStyle w:val="186"/>
                  <w:rFonts w:ascii="Arial" w:hAnsi="Arial" w:eastAsia="Arial" w:cs="Arial"/>
                  <w:color w:val="0000ee"/>
                  <w:sz w:val="20"/>
                  <w:szCs w:val="20"/>
                  <w:u w:val="single"/>
                </w:rPr>
                <w:t xml:space="preserve">intotheminds</w:t>
              </w:r>
            </w:hyperlink>
            <w:r>
              <w:rPr>
                <w:rFonts w:ascii="Arial" w:hAnsi="Arial" w:eastAsia="Arial" w:cs="Arial"/>
                <w:sz w:val="20"/>
                <w:szCs w:val="20"/>
              </w:rPr>
            </w:r>
          </w:p>
        </w:tc>
      </w:tr>
      <w:tr>
        <w:trPr/>
        <w:tc>
          <w:tcPr>
            <w:tcBorders/>
            <w:tcMar>
              <w:left w:w="15" w:type="dxa"/>
              <w:top w:w="15" w:type="dxa"/>
              <w:right w:w="15" w:type="dxa"/>
              <w:bottom w:w="15" w:type="dxa"/>
            </w:tcMar>
            <w:tcW w:w="1991"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Price Hypersensitivity</w:t>
            </w:r>
            <w:r>
              <w:rPr>
                <w:rFonts w:ascii="Arial" w:hAnsi="Arial" w:eastAsia="Arial" w:cs="Arial"/>
                <w:sz w:val="20"/>
                <w:szCs w:val="20"/>
              </w:rPr>
            </w:r>
          </w:p>
        </w:tc>
        <w:tc>
          <w:tcPr>
            <w:tcBorders/>
            <w:tcMar>
              <w:left w:w="15" w:type="dxa"/>
              <w:top w:w="15" w:type="dxa"/>
              <w:right w:w="15" w:type="dxa"/>
              <w:bottom w:w="15" w:type="dxa"/>
            </w:tcMar>
            <w:tcW w:w="1256"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Stable</w:t>
            </w:r>
            <w:r>
              <w:rPr>
                <w:rFonts w:ascii="Arial" w:hAnsi="Arial" w:eastAsia="Arial" w:cs="Arial"/>
                <w:sz w:val="20"/>
                <w:szCs w:val="20"/>
              </w:rPr>
            </w:r>
          </w:p>
        </w:tc>
        <w:tc>
          <w:tcPr>
            <w:tcBorders/>
            <w:tcMar>
              <w:left w:w="15" w:type="dxa"/>
              <w:top w:w="15" w:type="dxa"/>
              <w:right w:w="15" w:type="dxa"/>
              <w:bottom w:w="15" w:type="dxa"/>
            </w:tcMar>
            <w:tcW w:w="2027"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Easing slightly (EU)</w:t>
            </w:r>
            <w:r>
              <w:rPr>
                <w:rFonts w:ascii="Arial" w:hAnsi="Arial" w:eastAsia="Arial" w:cs="Arial"/>
                <w:sz w:val="20"/>
                <w:szCs w:val="20"/>
              </w:rPr>
            </w:r>
          </w:p>
        </w:tc>
        <w:tc>
          <w:tcPr>
            <w:tcBorders/>
            <w:tcMar>
              <w:left w:w="15" w:type="dxa"/>
              <w:top w:w="15" w:type="dxa"/>
              <w:right w:w="15" w:type="dxa"/>
              <w:bottom w:w="15" w:type="dxa"/>
            </w:tcMar>
            <w:tcW w:w="4086"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Wage growth catching up </w:t>
            </w:r>
            <w:hyperlink r:id="rId39" w:tooltip="https://www.forbes.com/sites/catherineerdly/2026/01/25/7-consumer-trends-that-define-what-shoppers-want-in-2026/" w:history="1">
              <w:r>
                <w:rPr>
                  <w:rStyle w:val="186"/>
                  <w:rFonts w:ascii="Arial" w:hAnsi="Arial" w:eastAsia="Arial" w:cs="Arial"/>
                  <w:color w:val="0000ee"/>
                  <w:sz w:val="20"/>
                  <w:szCs w:val="20"/>
                  <w:u w:val="single"/>
                </w:rPr>
                <w:t xml:space="preserve">forbes</w:t>
              </w:r>
            </w:hyperlink>
            <w:r>
              <w:rPr>
                <w:rFonts w:ascii="Arial" w:hAnsi="Arial" w:eastAsia="Arial" w:cs="Arial"/>
                <w:sz w:val="20"/>
                <w:szCs w:val="20"/>
              </w:rPr>
            </w:r>
          </w:p>
        </w:tc>
      </w:tr>
      <w:tr>
        <w:trPr/>
        <w:tc>
          <w:tcPr>
            <w:tcBorders/>
            <w:tcMar>
              <w:left w:w="15" w:type="dxa"/>
              <w:top w:w="15" w:type="dxa"/>
              <w:right w:w="15" w:type="dxa"/>
              <w:bottom w:w="15" w:type="dxa"/>
            </w:tcMar>
            <w:tcW w:w="1991"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Convenience/Food-to-Go</w:t>
            </w:r>
            <w:r>
              <w:rPr>
                <w:rFonts w:ascii="Arial" w:hAnsi="Arial" w:eastAsia="Arial" w:cs="Arial"/>
                <w:sz w:val="20"/>
                <w:szCs w:val="20"/>
              </w:rPr>
            </w:r>
          </w:p>
        </w:tc>
        <w:tc>
          <w:tcPr>
            <w:tcBorders/>
            <w:tcMar>
              <w:left w:w="15" w:type="dxa"/>
              <w:top w:w="15" w:type="dxa"/>
              <w:right w:w="15" w:type="dxa"/>
              <w:bottom w:w="15" w:type="dxa"/>
            </w:tcMar>
            <w:tcW w:w="1256"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Rising</w:t>
            </w:r>
            <w:r>
              <w:rPr>
                <w:rFonts w:ascii="Arial" w:hAnsi="Arial" w:eastAsia="Arial" w:cs="Arial"/>
                <w:sz w:val="20"/>
                <w:szCs w:val="20"/>
              </w:rPr>
            </w:r>
          </w:p>
        </w:tc>
        <w:tc>
          <w:tcPr>
            <w:tcBorders/>
            <w:tcMar>
              <w:left w:w="15" w:type="dxa"/>
              <w:top w:w="15" w:type="dxa"/>
              <w:right w:w="15" w:type="dxa"/>
              <w:bottom w:w="15" w:type="dxa"/>
            </w:tcMar>
            <w:tcW w:w="2027"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Accelerating</w:t>
            </w:r>
            <w:r>
              <w:rPr>
                <w:rFonts w:ascii="Arial" w:hAnsi="Arial" w:eastAsia="Arial" w:cs="Arial"/>
                <w:sz w:val="20"/>
                <w:szCs w:val="20"/>
              </w:rPr>
            </w:r>
          </w:p>
        </w:tc>
        <w:tc>
          <w:tcPr>
            <w:tcBorders/>
            <w:tcMar>
              <w:left w:w="15" w:type="dxa"/>
              <w:top w:w="15" w:type="dxa"/>
              <w:right w:w="15" w:type="dxa"/>
              <w:bottom w:w="15" w:type="dxa"/>
            </w:tcMar>
            <w:tcW w:w="4086"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Gen Z cooking decline deepens </w:t>
            </w:r>
            <w:hyperlink r:id="rId40" w:tooltip="https://www.mckinsey.com/industries/retail/our-insights/state-of-grocery-europe-report" w:history="1">
              <w:r>
                <w:rPr>
                  <w:rStyle w:val="186"/>
                  <w:rFonts w:ascii="Arial" w:hAnsi="Arial" w:eastAsia="Arial" w:cs="Arial"/>
                  <w:color w:val="0000ee"/>
                  <w:sz w:val="20"/>
                  <w:szCs w:val="20"/>
                  <w:u w:val="single"/>
                </w:rPr>
                <w:t xml:space="preserve">mckinsey</w:t>
              </w:r>
            </w:hyperlink>
            <w:r>
              <w:rPr>
                <w:rFonts w:ascii="Arial" w:hAnsi="Arial" w:eastAsia="Arial" w:cs="Arial"/>
                <w:sz w:val="20"/>
                <w:szCs w:val="20"/>
              </w:rPr>
            </w:r>
          </w:p>
        </w:tc>
      </w:tr>
      <w:tr>
        <w:trPr/>
        <w:tc>
          <w:tcPr>
            <w:tcBorders/>
            <w:tcMar>
              <w:left w:w="15" w:type="dxa"/>
              <w:top w:w="15" w:type="dxa"/>
              <w:right w:w="15" w:type="dxa"/>
              <w:bottom w:w="15" w:type="dxa"/>
            </w:tcMar>
            <w:tcW w:w="1991"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AI in Shopping</w:t>
            </w:r>
            <w:r>
              <w:rPr>
                <w:rFonts w:ascii="Arial" w:hAnsi="Arial" w:eastAsia="Arial" w:cs="Arial"/>
                <w:sz w:val="20"/>
                <w:szCs w:val="20"/>
              </w:rPr>
            </w:r>
          </w:p>
        </w:tc>
        <w:tc>
          <w:tcPr>
            <w:tcBorders/>
            <w:tcMar>
              <w:left w:w="15" w:type="dxa"/>
              <w:top w:w="15" w:type="dxa"/>
              <w:right w:w="15" w:type="dxa"/>
              <w:bottom w:w="15" w:type="dxa"/>
            </w:tcMar>
            <w:tcW w:w="1256"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Rising</w:t>
            </w:r>
            <w:r>
              <w:rPr>
                <w:rFonts w:ascii="Arial" w:hAnsi="Arial" w:eastAsia="Arial" w:cs="Arial"/>
                <w:sz w:val="20"/>
                <w:szCs w:val="20"/>
              </w:rPr>
            </w:r>
          </w:p>
        </w:tc>
        <w:tc>
          <w:tcPr>
            <w:tcBorders/>
            <w:tcMar>
              <w:left w:w="15" w:type="dxa"/>
              <w:top w:w="15" w:type="dxa"/>
              <w:right w:w="15" w:type="dxa"/>
              <w:bottom w:w="15" w:type="dxa"/>
            </w:tcMar>
            <w:tcW w:w="2027"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Dominant (early)</w:t>
            </w:r>
            <w:r>
              <w:rPr>
                <w:rFonts w:ascii="Arial" w:hAnsi="Arial" w:eastAsia="Arial" w:cs="Arial"/>
                <w:sz w:val="20"/>
                <w:szCs w:val="20"/>
              </w:rPr>
            </w:r>
          </w:p>
        </w:tc>
        <w:tc>
          <w:tcPr>
            <w:tcBorders/>
            <w:tcMar>
              <w:left w:w="15" w:type="dxa"/>
              <w:top w:w="15" w:type="dxa"/>
              <w:right w:w="15" w:type="dxa"/>
              <w:bottom w:w="15" w:type="dxa"/>
            </w:tcMar>
            <w:tcW w:w="4086"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Agentic AI enters replenishment </w:t>
            </w:r>
            <w:hyperlink r:id="rId41" w:tooltip="https://www.supermarketnews.com/grocery-trends-data/ai-agents-metabolic-health-among-key-grocery-trends-highlighted-at-fmi-midwinter" w:history="1">
              <w:r>
                <w:rPr>
                  <w:rStyle w:val="186"/>
                  <w:rFonts w:ascii="Arial" w:hAnsi="Arial" w:eastAsia="Arial" w:cs="Arial"/>
                  <w:color w:val="0000ee"/>
                  <w:sz w:val="20"/>
                  <w:szCs w:val="20"/>
                  <w:u w:val="single"/>
                </w:rPr>
                <w:t xml:space="preserve">supermarketnews</w:t>
              </w:r>
            </w:hyperlink>
            <w:r>
              <w:rPr>
                <w:rFonts w:ascii="Arial" w:hAnsi="Arial" w:eastAsia="Arial" w:cs="Arial"/>
                <w:sz w:val="20"/>
                <w:szCs w:val="20"/>
              </w:rPr>
            </w:r>
          </w:p>
        </w:tc>
      </w:tr>
      <w:tr>
        <w:trPr/>
        <w:tc>
          <w:tcPr>
            <w:tcBorders/>
            <w:tcMar>
              <w:left w:w="15" w:type="dxa"/>
              <w:top w:w="15" w:type="dxa"/>
              <w:right w:w="15" w:type="dxa"/>
              <w:bottom w:w="15" w:type="dxa"/>
            </w:tcMar>
            <w:tcW w:w="1991"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Health &amp; Functional Food</w:t>
            </w:r>
            <w:r>
              <w:rPr>
                <w:rFonts w:ascii="Arial" w:hAnsi="Arial" w:eastAsia="Arial" w:cs="Arial"/>
                <w:sz w:val="20"/>
                <w:szCs w:val="20"/>
              </w:rPr>
            </w:r>
          </w:p>
        </w:tc>
        <w:tc>
          <w:tcPr>
            <w:tcBorders/>
            <w:tcMar>
              <w:left w:w="15" w:type="dxa"/>
              <w:top w:w="15" w:type="dxa"/>
              <w:right w:w="15" w:type="dxa"/>
              <w:bottom w:w="15" w:type="dxa"/>
            </w:tcMar>
            <w:tcW w:w="1256"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Rising</w:t>
            </w:r>
            <w:r>
              <w:rPr>
                <w:rFonts w:ascii="Arial" w:hAnsi="Arial" w:eastAsia="Arial" w:cs="Arial"/>
                <w:sz w:val="20"/>
                <w:szCs w:val="20"/>
              </w:rPr>
            </w:r>
          </w:p>
        </w:tc>
        <w:tc>
          <w:tcPr>
            <w:tcBorders/>
            <w:tcMar>
              <w:left w:w="15" w:type="dxa"/>
              <w:top w:w="15" w:type="dxa"/>
              <w:right w:w="15" w:type="dxa"/>
              <w:bottom w:w="15" w:type="dxa"/>
            </w:tcMar>
            <w:tcW w:w="2027"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Accelerating</w:t>
            </w:r>
            <w:r>
              <w:rPr>
                <w:rFonts w:ascii="Arial" w:hAnsi="Arial" w:eastAsia="Arial" w:cs="Arial"/>
                <w:sz w:val="20"/>
                <w:szCs w:val="20"/>
              </w:rPr>
            </w:r>
          </w:p>
        </w:tc>
        <w:tc>
          <w:tcPr>
            <w:tcBorders/>
            <w:tcMar>
              <w:left w:w="15" w:type="dxa"/>
              <w:top w:w="15" w:type="dxa"/>
              <w:right w:w="15" w:type="dxa"/>
              <w:bottom w:w="15" w:type="dxa"/>
            </w:tcMar>
            <w:tcW w:w="4086"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GLP-1 + metabolic health trend </w:t>
            </w:r>
            <w:hyperlink r:id="rId42" w:tooltip="https://www.mintel.com/insights/food-and-drink/prepare-for-food-and-drink-trends-black-swan/" w:history="1">
              <w:r>
                <w:rPr>
                  <w:rStyle w:val="186"/>
                  <w:rFonts w:ascii="Arial" w:hAnsi="Arial" w:eastAsia="Arial" w:cs="Arial"/>
                  <w:color w:val="0000ee"/>
                  <w:sz w:val="20"/>
                  <w:szCs w:val="20"/>
                  <w:u w:val="single"/>
                </w:rPr>
                <w:t xml:space="preserve">mintel</w:t>
              </w:r>
            </w:hyperlink>
            <w:r>
              <w:rPr>
                <w:rFonts w:ascii="Arial" w:hAnsi="Arial" w:eastAsia="Arial" w:cs="Arial"/>
                <w:sz w:val="20"/>
                <w:szCs w:val="20"/>
              </w:rPr>
            </w:r>
          </w:p>
        </w:tc>
      </w:tr>
      <w:tr>
        <w:trPr/>
        <w:tc>
          <w:tcPr>
            <w:tcBorders/>
            <w:tcMar>
              <w:left w:w="15" w:type="dxa"/>
              <w:top w:w="15" w:type="dxa"/>
              <w:right w:w="15" w:type="dxa"/>
              <w:bottom w:w="15" w:type="dxa"/>
            </w:tcMar>
            <w:tcW w:w="1991"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Hypermarket Format</w:t>
            </w:r>
            <w:r>
              <w:rPr>
                <w:rFonts w:ascii="Arial" w:hAnsi="Arial" w:eastAsia="Arial" w:cs="Arial"/>
                <w:sz w:val="20"/>
                <w:szCs w:val="20"/>
              </w:rPr>
            </w:r>
          </w:p>
        </w:tc>
        <w:tc>
          <w:tcPr>
            <w:tcBorders/>
            <w:tcMar>
              <w:left w:w="15" w:type="dxa"/>
              <w:top w:w="15" w:type="dxa"/>
              <w:right w:w="15" w:type="dxa"/>
              <w:bottom w:w="15" w:type="dxa"/>
            </w:tcMar>
            <w:tcW w:w="1256"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Falling</w:t>
            </w:r>
            <w:r>
              <w:rPr>
                <w:rFonts w:ascii="Arial" w:hAnsi="Arial" w:eastAsia="Arial" w:cs="Arial"/>
                <w:sz w:val="20"/>
                <w:szCs w:val="20"/>
              </w:rPr>
            </w:r>
          </w:p>
        </w:tc>
        <w:tc>
          <w:tcPr>
            <w:tcBorders/>
            <w:tcMar>
              <w:left w:w="15" w:type="dxa"/>
              <w:top w:w="15" w:type="dxa"/>
              <w:right w:w="15" w:type="dxa"/>
              <w:bottom w:w="15" w:type="dxa"/>
            </w:tcMar>
            <w:tcW w:w="2027"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Falling further</w:t>
            </w:r>
            <w:r>
              <w:rPr>
                <w:rFonts w:ascii="Arial" w:hAnsi="Arial" w:eastAsia="Arial" w:cs="Arial"/>
                <w:sz w:val="20"/>
                <w:szCs w:val="20"/>
              </w:rPr>
            </w:r>
          </w:p>
        </w:tc>
        <w:tc>
          <w:tcPr>
            <w:tcBorders/>
            <w:tcMar>
              <w:left w:w="15" w:type="dxa"/>
              <w:top w:w="15" w:type="dxa"/>
              <w:right w:w="15" w:type="dxa"/>
              <w:bottom w:w="15" w:type="dxa"/>
            </w:tcMar>
            <w:tcW w:w="4086"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No reversal signal visible </w:t>
            </w:r>
            <w:hyperlink r:id="rId43" w:tooltip="https://www.intotheminds.com/blog/en/consumer-trends-2026/" w:history="1">
              <w:r>
                <w:rPr>
                  <w:rStyle w:val="186"/>
                  <w:rFonts w:ascii="Arial" w:hAnsi="Arial" w:eastAsia="Arial" w:cs="Arial"/>
                  <w:color w:val="0000ee"/>
                  <w:sz w:val="20"/>
                  <w:szCs w:val="20"/>
                  <w:u w:val="single"/>
                </w:rPr>
                <w:t xml:space="preserve">intotheminds</w:t>
              </w:r>
            </w:hyperlink>
            <w:r>
              <w:rPr>
                <w:rFonts w:ascii="Arial" w:hAnsi="Arial" w:eastAsia="Arial" w:cs="Arial"/>
                <w:sz w:val="20"/>
                <w:szCs w:val="20"/>
              </w:rPr>
            </w:r>
          </w:p>
        </w:tc>
      </w:tr>
      <w:tr>
        <w:trPr/>
        <w:tc>
          <w:tcPr>
            <w:tcBorders/>
            <w:tcMar>
              <w:left w:w="15" w:type="dxa"/>
              <w:top w:w="15" w:type="dxa"/>
              <w:right w:w="15" w:type="dxa"/>
              <w:bottom w:w="15" w:type="dxa"/>
            </w:tcMar>
            <w:tcW w:w="1991"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Proximity Stores</w:t>
            </w:r>
            <w:r>
              <w:rPr>
                <w:rFonts w:ascii="Arial" w:hAnsi="Arial" w:eastAsia="Arial" w:cs="Arial"/>
                <w:sz w:val="20"/>
                <w:szCs w:val="20"/>
              </w:rPr>
            </w:r>
          </w:p>
        </w:tc>
        <w:tc>
          <w:tcPr>
            <w:tcBorders/>
            <w:tcMar>
              <w:left w:w="15" w:type="dxa"/>
              <w:top w:w="15" w:type="dxa"/>
              <w:right w:w="15" w:type="dxa"/>
              <w:bottom w:w="15" w:type="dxa"/>
            </w:tcMar>
            <w:tcW w:w="1256"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Accelerating</w:t>
            </w:r>
            <w:r>
              <w:rPr>
                <w:rFonts w:ascii="Arial" w:hAnsi="Arial" w:eastAsia="Arial" w:cs="Arial"/>
                <w:sz w:val="20"/>
                <w:szCs w:val="20"/>
              </w:rPr>
            </w:r>
          </w:p>
        </w:tc>
        <w:tc>
          <w:tcPr>
            <w:tcBorders/>
            <w:tcMar>
              <w:left w:w="15" w:type="dxa"/>
              <w:top w:w="15" w:type="dxa"/>
              <w:right w:w="15" w:type="dxa"/>
              <w:bottom w:w="15" w:type="dxa"/>
            </w:tcMar>
            <w:tcW w:w="2027"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Peak</w:t>
            </w:r>
            <w:r>
              <w:rPr>
                <w:rFonts w:ascii="Arial" w:hAnsi="Arial" w:eastAsia="Arial" w:cs="Arial"/>
                <w:sz w:val="20"/>
                <w:szCs w:val="20"/>
              </w:rPr>
            </w:r>
          </w:p>
        </w:tc>
        <w:tc>
          <w:tcPr>
            <w:tcBorders/>
            <w:tcMar>
              <w:left w:w="15" w:type="dxa"/>
              <w:top w:w="15" w:type="dxa"/>
              <w:right w:w="15" w:type="dxa"/>
              <w:bottom w:w="15" w:type="dxa"/>
            </w:tcMar>
            <w:tcW w:w="4086"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Urban density + convenience demand </w:t>
            </w:r>
            <w:hyperlink r:id="rId44" w:tooltip="https://www.intotheminds.com/blog/en/consumer-trends-2026/" w:history="1">
              <w:r>
                <w:rPr>
                  <w:rStyle w:val="186"/>
                  <w:rFonts w:ascii="Arial" w:hAnsi="Arial" w:eastAsia="Arial" w:cs="Arial"/>
                  <w:color w:val="0000ee"/>
                  <w:sz w:val="20"/>
                  <w:szCs w:val="20"/>
                  <w:u w:val="single"/>
                </w:rPr>
                <w:t xml:space="preserve">intotheminds</w:t>
              </w:r>
            </w:hyperlink>
            <w:r>
              <w:rPr>
                <w:rFonts w:ascii="Arial" w:hAnsi="Arial" w:eastAsia="Arial" w:cs="Arial"/>
                <w:sz w:val="20"/>
                <w:szCs w:val="20"/>
              </w:rPr>
            </w:r>
          </w:p>
        </w:tc>
      </w:tr>
      <w:tr>
        <w:trPr/>
        <w:tc>
          <w:tcPr>
            <w:tcBorders/>
            <w:tcMar>
              <w:left w:w="15" w:type="dxa"/>
              <w:top w:w="15" w:type="dxa"/>
              <w:right w:w="15" w:type="dxa"/>
              <w:bottom w:w="15" w:type="dxa"/>
            </w:tcMar>
            <w:tcW w:w="1991"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Sustainability</w:t>
            </w:r>
            <w:r>
              <w:rPr>
                <w:rFonts w:ascii="Arial" w:hAnsi="Arial" w:eastAsia="Arial" w:cs="Arial"/>
                <w:sz w:val="20"/>
                <w:szCs w:val="20"/>
              </w:rPr>
            </w:r>
          </w:p>
        </w:tc>
        <w:tc>
          <w:tcPr>
            <w:tcBorders/>
            <w:tcMar>
              <w:left w:w="15" w:type="dxa"/>
              <w:top w:w="15" w:type="dxa"/>
              <w:right w:w="15" w:type="dxa"/>
              <w:bottom w:w="15" w:type="dxa"/>
            </w:tcMar>
            <w:tcW w:w="1256"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Stable</w:t>
            </w:r>
            <w:r>
              <w:rPr>
                <w:rFonts w:ascii="Arial" w:hAnsi="Arial" w:eastAsia="Arial" w:cs="Arial"/>
                <w:sz w:val="20"/>
                <w:szCs w:val="20"/>
              </w:rPr>
            </w:r>
          </w:p>
        </w:tc>
        <w:tc>
          <w:tcPr>
            <w:tcBorders/>
            <w:tcMar>
              <w:left w:w="15" w:type="dxa"/>
              <w:top w:w="15" w:type="dxa"/>
              <w:right w:w="15" w:type="dxa"/>
              <w:bottom w:w="15" w:type="dxa"/>
            </w:tcMar>
            <w:tcW w:w="2027"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Rising (regulation-pushed)</w:t>
            </w:r>
            <w:r>
              <w:rPr>
                <w:rFonts w:ascii="Arial" w:hAnsi="Arial" w:eastAsia="Arial" w:cs="Arial"/>
                <w:sz w:val="20"/>
                <w:szCs w:val="20"/>
              </w:rPr>
            </w:r>
          </w:p>
        </w:tc>
        <w:tc>
          <w:tcPr>
            <w:tcBorders/>
            <w:tcMar>
              <w:left w:w="15" w:type="dxa"/>
              <w:top w:w="15" w:type="dxa"/>
              <w:right w:w="15" w:type="dxa"/>
              <w:bottom w:w="15" w:type="dxa"/>
            </w:tcMar>
            <w:tcW w:w="4086"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EU Green Deal compliance deadlines </w:t>
            </w:r>
            <w:hyperlink r:id="rId45" w:tooltip="https://www.igd.com/articles/european-retail-trends-driving-growth-in-2026/72167" w:history="1">
              <w:r>
                <w:rPr>
                  <w:rStyle w:val="186"/>
                  <w:rFonts w:ascii="Arial" w:hAnsi="Arial" w:eastAsia="Arial" w:cs="Arial"/>
                  <w:color w:val="0000ee"/>
                  <w:sz w:val="20"/>
                  <w:szCs w:val="20"/>
                  <w:u w:val="single"/>
                </w:rPr>
                <w:t xml:space="preserve">igd</w:t>
              </w:r>
            </w:hyperlink>
            <w:r>
              <w:rPr>
                <w:rFonts w:ascii="Arial" w:hAnsi="Arial" w:eastAsia="Arial" w:cs="Arial"/>
                <w:sz w:val="20"/>
                <w:szCs w:val="20"/>
              </w:rPr>
            </w:r>
          </w:p>
        </w:tc>
      </w:tr>
      <w:tr>
        <w:trPr/>
        <w:tc>
          <w:tcPr>
            <w:tcBorders/>
            <w:tcMar>
              <w:left w:w="15" w:type="dxa"/>
              <w:top w:w="15" w:type="dxa"/>
              <w:right w:w="15" w:type="dxa"/>
              <w:bottom w:w="15" w:type="dxa"/>
            </w:tcMar>
            <w:tcW w:w="1991"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E-Commerce Grocery</w:t>
            </w:r>
            <w:r>
              <w:rPr>
                <w:rFonts w:ascii="Arial" w:hAnsi="Arial" w:eastAsia="Arial" w:cs="Arial"/>
                <w:sz w:val="20"/>
                <w:szCs w:val="20"/>
              </w:rPr>
            </w:r>
          </w:p>
        </w:tc>
        <w:tc>
          <w:tcPr>
            <w:tcBorders/>
            <w:tcMar>
              <w:left w:w="15" w:type="dxa"/>
              <w:top w:w="15" w:type="dxa"/>
              <w:right w:w="15" w:type="dxa"/>
              <w:bottom w:w="15" w:type="dxa"/>
            </w:tcMar>
            <w:tcW w:w="1256"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Accelerating</w:t>
            </w:r>
            <w:r>
              <w:rPr>
                <w:rFonts w:ascii="Arial" w:hAnsi="Arial" w:eastAsia="Arial" w:cs="Arial"/>
                <w:sz w:val="20"/>
                <w:szCs w:val="20"/>
              </w:rPr>
            </w:r>
          </w:p>
        </w:tc>
        <w:tc>
          <w:tcPr>
            <w:tcBorders/>
            <w:tcMar>
              <w:left w:w="15" w:type="dxa"/>
              <w:top w:w="15" w:type="dxa"/>
              <w:right w:w="15" w:type="dxa"/>
              <w:bottom w:w="15" w:type="dxa"/>
            </w:tcMar>
            <w:tcW w:w="2027"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Mainstream</w:t>
            </w:r>
            <w:r>
              <w:rPr>
                <w:rFonts w:ascii="Arial" w:hAnsi="Arial" w:eastAsia="Arial" w:cs="Arial"/>
                <w:sz w:val="20"/>
                <w:szCs w:val="20"/>
              </w:rPr>
            </w:r>
          </w:p>
        </w:tc>
        <w:tc>
          <w:tcPr>
            <w:tcBorders/>
            <w:tcMar>
              <w:left w:w="15" w:type="dxa"/>
              <w:top w:w="15" w:type="dxa"/>
              <w:right w:w="15" w:type="dxa"/>
              <w:bottom w:w="15" w:type="dxa"/>
            </w:tcMar>
            <w:tcW w:w="4086"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€133.7B EU online grocery by 2027 </w:t>
            </w:r>
            <w:hyperlink r:id="rId46" w:tooltip="https://finance.yahoo.com/news/europe-food-grocery-market-analysis-165900558.html" w:history="1">
              <w:r>
                <w:rPr>
                  <w:rStyle w:val="186"/>
                  <w:rFonts w:ascii="Arial" w:hAnsi="Arial" w:eastAsia="Arial" w:cs="Arial"/>
                  <w:color w:val="0000ee"/>
                  <w:sz w:val="20"/>
                  <w:szCs w:val="20"/>
                  <w:u w:val="single"/>
                </w:rPr>
                <w:t xml:space="preserve">finance.yahoo</w:t>
              </w:r>
            </w:hyperlink>
            <w:r>
              <w:rPr>
                <w:rFonts w:ascii="Arial" w:hAnsi="Arial" w:eastAsia="Arial" w:cs="Arial"/>
                <w:sz w:val="20"/>
                <w:szCs w:val="20"/>
              </w:rPr>
            </w:r>
          </w:p>
        </w:tc>
      </w:tr>
      <w:tr>
        <w:trPr/>
        <w:tc>
          <w:tcPr>
            <w:tcBorders/>
            <w:tcMar>
              <w:left w:w="15" w:type="dxa"/>
              <w:top w:w="15" w:type="dxa"/>
              <w:right w:w="15" w:type="dxa"/>
              <w:bottom w:w="15" w:type="dxa"/>
            </w:tcMar>
            <w:tcW w:w="1991"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GLP-1 Grocery Effect</w:t>
            </w:r>
            <w:r>
              <w:rPr>
                <w:rFonts w:ascii="Arial" w:hAnsi="Arial" w:eastAsia="Arial" w:cs="Arial"/>
                <w:sz w:val="20"/>
                <w:szCs w:val="20"/>
              </w:rPr>
            </w:r>
          </w:p>
        </w:tc>
        <w:tc>
          <w:tcPr>
            <w:tcBorders/>
            <w:tcMar>
              <w:left w:w="15" w:type="dxa"/>
              <w:top w:w="15" w:type="dxa"/>
              <w:right w:w="15" w:type="dxa"/>
              <w:bottom w:w="15" w:type="dxa"/>
            </w:tcMar>
            <w:tcW w:w="1256"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Rising (US/UK)</w:t>
            </w:r>
            <w:r>
              <w:rPr>
                <w:rFonts w:ascii="Arial" w:hAnsi="Arial" w:eastAsia="Arial" w:cs="Arial"/>
                <w:sz w:val="20"/>
                <w:szCs w:val="20"/>
              </w:rPr>
            </w:r>
          </w:p>
        </w:tc>
        <w:tc>
          <w:tcPr>
            <w:tcBorders/>
            <w:tcMar>
              <w:left w:w="15" w:type="dxa"/>
              <w:top w:w="15" w:type="dxa"/>
              <w:right w:w="15" w:type="dxa"/>
              <w:bottom w:w="15" w:type="dxa"/>
            </w:tcMar>
            <w:tcW w:w="2027"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Rising (EU)</w:t>
            </w:r>
            <w:r>
              <w:rPr>
                <w:rFonts w:ascii="Arial" w:hAnsi="Arial" w:eastAsia="Arial" w:cs="Arial"/>
                <w:sz w:val="20"/>
                <w:szCs w:val="20"/>
              </w:rPr>
            </w:r>
          </w:p>
        </w:tc>
        <w:tc>
          <w:tcPr>
            <w:tcBorders/>
            <w:tcMar>
              <w:left w:w="15" w:type="dxa"/>
              <w:top w:w="15" w:type="dxa"/>
              <w:right w:w="15" w:type="dxa"/>
              <w:bottom w:w="15" w:type="dxa"/>
            </w:tcMar>
            <w:tcW w:w="4086"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EU drug approvals expected </w:t>
            </w:r>
            <w:hyperlink r:id="rId47" w:tooltip="https://therobinreport.com/glp-1-is-a-disruption-retailers-arent-ready-for/" w:history="1">
              <w:r>
                <w:rPr>
                  <w:rStyle w:val="186"/>
                  <w:rFonts w:ascii="Arial" w:hAnsi="Arial" w:eastAsia="Arial" w:cs="Arial"/>
                  <w:color w:val="0000ee"/>
                  <w:sz w:val="20"/>
                  <w:szCs w:val="20"/>
                  <w:u w:val="single"/>
                </w:rPr>
                <w:t xml:space="preserve">therobinreport</w:t>
              </w:r>
            </w:hyperlink>
            <w:r>
              <w:rPr>
                <w:rFonts w:ascii="Arial" w:hAnsi="Arial" w:eastAsia="Arial" w:cs="Arial"/>
                <w:sz w:val="20"/>
                <w:szCs w:val="20"/>
              </w:rPr>
            </w:r>
          </w:p>
        </w:tc>
      </w:tr>
      <w:tr>
        <w:trPr/>
        <w:tc>
          <w:tcPr>
            <w:tcBorders/>
            <w:tcMar>
              <w:left w:w="15" w:type="dxa"/>
              <w:top w:w="15" w:type="dxa"/>
              <w:right w:w="15" w:type="dxa"/>
              <w:bottom w:w="15" w:type="dxa"/>
            </w:tcMar>
            <w:tcW w:w="1991"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Non-Alcoholic Bev.</w:t>
            </w:r>
            <w:r>
              <w:rPr>
                <w:rFonts w:ascii="Arial" w:hAnsi="Arial" w:eastAsia="Arial" w:cs="Arial"/>
                <w:sz w:val="20"/>
                <w:szCs w:val="20"/>
              </w:rPr>
            </w:r>
          </w:p>
        </w:tc>
        <w:tc>
          <w:tcPr>
            <w:tcBorders/>
            <w:tcMar>
              <w:left w:w="15" w:type="dxa"/>
              <w:top w:w="15" w:type="dxa"/>
              <w:right w:w="15" w:type="dxa"/>
              <w:bottom w:w="15" w:type="dxa"/>
            </w:tcMar>
            <w:tcW w:w="1256"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Accelerating</w:t>
            </w:r>
            <w:r>
              <w:rPr>
                <w:rFonts w:ascii="Arial" w:hAnsi="Arial" w:eastAsia="Arial" w:cs="Arial"/>
                <w:sz w:val="20"/>
                <w:szCs w:val="20"/>
              </w:rPr>
            </w:r>
          </w:p>
        </w:tc>
        <w:tc>
          <w:tcPr>
            <w:tcBorders/>
            <w:tcMar>
              <w:left w:w="15" w:type="dxa"/>
              <w:top w:w="15" w:type="dxa"/>
              <w:right w:w="15" w:type="dxa"/>
              <w:bottom w:w="15" w:type="dxa"/>
            </w:tcMar>
            <w:tcW w:w="2027"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Mainstream category</w:t>
            </w:r>
            <w:r>
              <w:rPr>
                <w:rFonts w:ascii="Arial" w:hAnsi="Arial" w:eastAsia="Arial" w:cs="Arial"/>
                <w:sz w:val="20"/>
                <w:szCs w:val="20"/>
              </w:rPr>
            </w:r>
          </w:p>
        </w:tc>
        <w:tc>
          <w:tcPr>
            <w:tcBorders/>
            <w:tcMar>
              <w:left w:w="15" w:type="dxa"/>
              <w:top w:w="15" w:type="dxa"/>
              <w:right w:w="15" w:type="dxa"/>
              <w:bottom w:w="15" w:type="dxa"/>
            </w:tcMar>
            <w:tcW w:w="4086"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Generational shift locks in </w:t>
            </w:r>
            <w:hyperlink r:id="rId48" w:tooltip="https://www.intotheminds.com/blog/en/consumer-trends-2026/" w:history="1">
              <w:r>
                <w:rPr>
                  <w:rStyle w:val="186"/>
                  <w:rFonts w:ascii="Arial" w:hAnsi="Arial" w:eastAsia="Arial" w:cs="Arial"/>
                  <w:color w:val="0000ee"/>
                  <w:sz w:val="20"/>
                  <w:szCs w:val="20"/>
                  <w:u w:val="single"/>
                </w:rPr>
                <w:t xml:space="preserve">intotheminds</w:t>
              </w:r>
            </w:hyperlink>
            <w:r>
              <w:rPr>
                <w:rFonts w:ascii="Arial" w:hAnsi="Arial" w:eastAsia="Arial" w:cs="Arial"/>
                <w:sz w:val="20"/>
                <w:szCs w:val="20"/>
              </w:rPr>
            </w:r>
          </w:p>
        </w:tc>
      </w:tr>
      <w:tr>
        <w:trPr/>
        <w:tc>
          <w:tcPr>
            <w:tcBorders/>
            <w:tcMar>
              <w:left w:w="15" w:type="dxa"/>
              <w:top w:w="15" w:type="dxa"/>
              <w:right w:w="15" w:type="dxa"/>
              <w:bottom w:w="15" w:type="dxa"/>
            </w:tcMar>
            <w:tcW w:w="1991"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Experiential Malls</w:t>
            </w:r>
            <w:r>
              <w:rPr>
                <w:rFonts w:ascii="Arial" w:hAnsi="Arial" w:eastAsia="Arial" w:cs="Arial"/>
                <w:sz w:val="20"/>
                <w:szCs w:val="20"/>
              </w:rPr>
            </w:r>
          </w:p>
        </w:tc>
        <w:tc>
          <w:tcPr>
            <w:tcBorders/>
            <w:tcMar>
              <w:left w:w="15" w:type="dxa"/>
              <w:top w:w="15" w:type="dxa"/>
              <w:right w:w="15" w:type="dxa"/>
              <w:bottom w:w="15" w:type="dxa"/>
            </w:tcMar>
            <w:tcW w:w="1256"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Rising</w:t>
            </w:r>
            <w:r>
              <w:rPr>
                <w:rFonts w:ascii="Arial" w:hAnsi="Arial" w:eastAsia="Arial" w:cs="Arial"/>
                <w:sz w:val="20"/>
                <w:szCs w:val="20"/>
              </w:rPr>
            </w:r>
          </w:p>
        </w:tc>
        <w:tc>
          <w:tcPr>
            <w:tcBorders/>
            <w:tcMar>
              <w:left w:w="15" w:type="dxa"/>
              <w:top w:w="15" w:type="dxa"/>
              <w:right w:w="15" w:type="dxa"/>
              <w:bottom w:w="15" w:type="dxa"/>
            </w:tcMar>
            <w:tcW w:w="2027"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Accelerating</w:t>
            </w:r>
            <w:r>
              <w:rPr>
                <w:rFonts w:ascii="Arial" w:hAnsi="Arial" w:eastAsia="Arial" w:cs="Arial"/>
                <w:sz w:val="20"/>
                <w:szCs w:val="20"/>
              </w:rPr>
            </w:r>
          </w:p>
        </w:tc>
        <w:tc>
          <w:tcPr>
            <w:tcBorders/>
            <w:tcMar>
              <w:left w:w="15" w:type="dxa"/>
              <w:top w:w="15" w:type="dxa"/>
              <w:right w:w="15" w:type="dxa"/>
              <w:bottom w:w="15" w:type="dxa"/>
            </w:tcMar>
            <w:tcW w:w="4086"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Social commerce + content-first retail </w:t>
            </w:r>
            <w:hyperlink r:id="rId49" w:tooltip="https://tascoutsourcing.com/ar/insights/reports/UAE-Retail-Industry" w:history="1">
              <w:r>
                <w:rPr>
                  <w:rStyle w:val="186"/>
                  <w:rFonts w:ascii="Arial" w:hAnsi="Arial" w:eastAsia="Arial" w:cs="Arial"/>
                  <w:color w:val="0000ee"/>
                  <w:sz w:val="20"/>
                  <w:szCs w:val="20"/>
                  <w:u w:val="single"/>
                </w:rPr>
                <w:t xml:space="preserve">tascoutsourcing</w:t>
              </w:r>
            </w:hyperlink>
            <w:r>
              <w:rPr>
                <w:rFonts w:ascii="Arial" w:hAnsi="Arial" w:eastAsia="Arial" w:cs="Arial"/>
                <w:sz w:val="20"/>
                <w:szCs w:val="20"/>
              </w:rPr>
            </w:r>
          </w:p>
        </w:tc>
      </w:tr>
      <w:tr>
        <w:trPr/>
        <w:tc>
          <w:tcPr>
            <w:tcBorders/>
            <w:tcMar>
              <w:left w:w="15" w:type="dxa"/>
              <w:top w:w="15" w:type="dxa"/>
              <w:right w:w="15" w:type="dxa"/>
              <w:bottom w:w="15" w:type="dxa"/>
            </w:tcMar>
            <w:tcW w:w="1991"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Challenger Brands</w:t>
            </w:r>
            <w:r>
              <w:rPr>
                <w:rFonts w:ascii="Arial" w:hAnsi="Arial" w:eastAsia="Arial" w:cs="Arial"/>
                <w:sz w:val="20"/>
                <w:szCs w:val="20"/>
              </w:rPr>
            </w:r>
          </w:p>
        </w:tc>
        <w:tc>
          <w:tcPr>
            <w:tcBorders/>
            <w:tcMar>
              <w:left w:w="15" w:type="dxa"/>
              <w:top w:w="15" w:type="dxa"/>
              <w:right w:w="15" w:type="dxa"/>
              <w:bottom w:w="15" w:type="dxa"/>
            </w:tcMar>
            <w:tcW w:w="1256"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Accelerating</w:t>
            </w:r>
            <w:r>
              <w:rPr>
                <w:rFonts w:ascii="Arial" w:hAnsi="Arial" w:eastAsia="Arial" w:cs="Arial"/>
                <w:sz w:val="20"/>
                <w:szCs w:val="20"/>
              </w:rPr>
            </w:r>
          </w:p>
        </w:tc>
        <w:tc>
          <w:tcPr>
            <w:tcBorders/>
            <w:tcMar>
              <w:left w:w="15" w:type="dxa"/>
              <w:top w:w="15" w:type="dxa"/>
              <w:right w:w="15" w:type="dxa"/>
              <w:bottom w:w="15" w:type="dxa"/>
            </w:tcMar>
            <w:tcW w:w="2027"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Peak</w:t>
            </w:r>
            <w:r>
              <w:rPr>
                <w:rFonts w:ascii="Arial" w:hAnsi="Arial" w:eastAsia="Arial" w:cs="Arial"/>
                <w:sz w:val="20"/>
                <w:szCs w:val="20"/>
              </w:rPr>
            </w:r>
          </w:p>
        </w:tc>
        <w:tc>
          <w:tcPr>
            <w:tcBorders/>
            <w:tcMar>
              <w:left w:w="15" w:type="dxa"/>
              <w:top w:w="15" w:type="dxa"/>
              <w:right w:w="15" w:type="dxa"/>
              <w:bottom w:w="15" w:type="dxa"/>
            </w:tcMar>
            <w:tcW w:w="4086"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Speed + authenticity beats legacy </w:t>
            </w:r>
            <w:hyperlink r:id="rId50" w:tooltip="https://www.youtube.com/watch?v=lzLFyHumjq0" w:history="1">
              <w:r>
                <w:rPr>
                  <w:rStyle w:val="186"/>
                  <w:rFonts w:ascii="Arial" w:hAnsi="Arial" w:eastAsia="Arial" w:cs="Arial"/>
                  <w:color w:val="0000ee"/>
                  <w:sz w:val="20"/>
                  <w:szCs w:val="20"/>
                  <w:u w:val="single"/>
                </w:rPr>
                <w:t xml:space="preserve">youtube</w:t>
              </w:r>
            </w:hyperlink>
            <w:r>
              <w:rPr>
                <w:rFonts w:ascii="Arial" w:hAnsi="Arial" w:eastAsia="Arial" w:cs="Arial"/>
                <w:sz w:val="20"/>
                <w:szCs w:val="20"/>
              </w:rPr>
            </w:r>
          </w:p>
        </w:tc>
      </w:tr>
      <w:tr>
        <w:trPr/>
        <w:tc>
          <w:tcPr>
            <w:tcBorders/>
            <w:tcMar>
              <w:left w:w="15" w:type="dxa"/>
              <w:top w:w="15" w:type="dxa"/>
              <w:right w:w="15" w:type="dxa"/>
              <w:bottom w:w="15" w:type="dxa"/>
            </w:tcMar>
            <w:tcW w:w="1991"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Retail Concentration</w:t>
            </w:r>
            <w:r>
              <w:rPr>
                <w:rFonts w:ascii="Arial" w:hAnsi="Arial" w:eastAsia="Arial" w:cs="Arial"/>
                <w:sz w:val="20"/>
                <w:szCs w:val="20"/>
              </w:rPr>
            </w:r>
          </w:p>
        </w:tc>
        <w:tc>
          <w:tcPr>
            <w:tcBorders/>
            <w:tcMar>
              <w:left w:w="15" w:type="dxa"/>
              <w:top w:w="15" w:type="dxa"/>
              <w:right w:w="15" w:type="dxa"/>
              <w:bottom w:w="15" w:type="dxa"/>
            </w:tcMar>
            <w:tcW w:w="1256"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Accelerating</w:t>
            </w:r>
            <w:r>
              <w:rPr>
                <w:rFonts w:ascii="Arial" w:hAnsi="Arial" w:eastAsia="Arial" w:cs="Arial"/>
                <w:sz w:val="20"/>
                <w:szCs w:val="20"/>
              </w:rPr>
            </w:r>
          </w:p>
        </w:tc>
        <w:tc>
          <w:tcPr>
            <w:tcBorders/>
            <w:tcMar>
              <w:left w:w="15" w:type="dxa"/>
              <w:top w:w="15" w:type="dxa"/>
              <w:right w:w="15" w:type="dxa"/>
              <w:bottom w:w="15" w:type="dxa"/>
            </w:tcMar>
            <w:tcW w:w="2027"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Dominant</w:t>
            </w:r>
            <w:r>
              <w:rPr>
                <w:rFonts w:ascii="Arial" w:hAnsi="Arial" w:eastAsia="Arial" w:cs="Arial"/>
                <w:sz w:val="20"/>
                <w:szCs w:val="20"/>
              </w:rPr>
            </w:r>
          </w:p>
        </w:tc>
        <w:tc>
          <w:tcPr>
            <w:tcBorders/>
            <w:tcMar>
              <w:left w:w="15" w:type="dxa"/>
              <w:top w:w="15" w:type="dxa"/>
              <w:right w:w="15" w:type="dxa"/>
              <w:bottom w:w="15" w:type="dxa"/>
            </w:tcMar>
            <w:tcW w:w="4086"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Top-5 EU retailers tighten grip </w:t>
            </w:r>
            <w:hyperlink r:id="rId51" w:tooltip="https://www.intotheminds.com/blog/en/consumer-trends-2026/" w:history="1">
              <w:r>
                <w:rPr>
                  <w:rStyle w:val="186"/>
                  <w:rFonts w:ascii="Arial" w:hAnsi="Arial" w:eastAsia="Arial" w:cs="Arial"/>
                  <w:color w:val="0000ee"/>
                  <w:sz w:val="20"/>
                  <w:szCs w:val="20"/>
                  <w:u w:val="single"/>
                </w:rPr>
                <w:t xml:space="preserve">intotheminds</w:t>
              </w:r>
            </w:hyperlink>
            <w:r>
              <w:rPr>
                <w:rFonts w:ascii="Arial" w:hAnsi="Arial" w:eastAsia="Arial" w:cs="Arial"/>
                <w:sz w:val="20"/>
                <w:szCs w:val="20"/>
              </w:rPr>
            </w:r>
          </w:p>
        </w:tc>
      </w:tr>
    </w:tbl>
    <w:p>
      <w:pPr>
        <w:pBdr/>
        <w:spacing/>
        <w:ind/>
        <w:rPr>
          <w:rFonts w:ascii="Arial" w:hAnsi="Arial" w:cs="Arial"/>
          <w:sz w:val="20"/>
          <w:szCs w:val="20"/>
        </w:rPr>
      </w:pPr>
      <w:r>
        <w:rPr>
          <w:rFonts w:ascii="Arial" w:hAnsi="Arial" w:eastAsia="Arial" w:cs="Arial"/>
          <w:sz w:val="20"/>
          <w:szCs w:val="20"/>
        </w:rPr>
      </w:r>
      <w:r>
        <w:rPr>
          <w:rFonts w:ascii="Arial" w:hAnsi="Arial" w:eastAsia="Arial" w:cs="Arial"/>
          <w:sz w:val="20"/>
          <w:szCs w:val="20"/>
        </w:rPr>
      </w:r>
    </w:p>
    <w:p>
      <w:pPr>
        <w:pBdr/>
        <w:spacing/>
        <w:ind/>
        <w:rPr>
          <w:rFonts w:ascii="Arial" w:hAnsi="Arial" w:cs="Arial"/>
          <w:sz w:val="20"/>
          <w:szCs w:val="20"/>
        </w:rPr>
      </w:pPr>
      <w:r>
        <w:rPr>
          <w:rFonts w:ascii="Arial" w:hAnsi="Arial" w:eastAsia="Arial" w:cs="Arial"/>
          <w:sz w:val="20"/>
          <w:szCs w:val="20"/>
        </w:rPr>
      </w:r>
      <w:r>
        <w:rPr>
          <w:rFonts w:ascii="Arial" w:hAnsi="Arial" w:eastAsia="Arial" w:cs="Arial"/>
          <w:sz w:val="20"/>
          <w:szCs w:val="20"/>
        </w:rPr>
      </w:r>
    </w:p>
    <w:p>
      <w:pPr>
        <w:pBdr/>
        <w:spacing/>
        <w:ind/>
        <w:rPr>
          <w:rFonts w:ascii="Arial" w:hAnsi="Arial" w:cs="Arial"/>
          <w:sz w:val="20"/>
          <w:szCs w:val="20"/>
          <w:highlight w:val="none"/>
        </w:rPr>
      </w:pPr>
      <w:r>
        <w:rPr>
          <w:rFonts w:ascii="Arial" w:hAnsi="Arial" w:eastAsia="Arial" w:cs="Arial"/>
          <w:sz w:val="20"/>
          <w:szCs w:val="20"/>
        </w:rPr>
      </w:r>
      <w:r>
        <w:rPr>
          <w:rFonts w:ascii="Arial" w:hAnsi="Arial" w:eastAsia="Arial" w:cs="Arial"/>
          <w:sz w:val="20"/>
          <w:szCs w:val="20"/>
        </w:rPr>
        <w:t xml:space="preserve">Another take:</w:t>
      </w:r>
      <w:r>
        <w:rPr>
          <w:rFonts w:ascii="Arial" w:hAnsi="Arial" w:eastAsia="Arial" w:cs="Arial"/>
          <w:sz w:val="20"/>
          <w:szCs w:val="20"/>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0"/>
          <w:szCs w:val="20"/>
        </w:rPr>
      </w:pPr>
      <w:r>
        <w:rPr>
          <w:rFonts w:ascii="Arial" w:hAnsi="Arial" w:eastAsia="Arial" w:cs="Arial"/>
          <w:color w:val="000000"/>
          <w:sz w:val="20"/>
          <w:szCs w:val="20"/>
        </w:rPr>
        <w:t xml:space="preserve">here is a cleaner redo of the </w:t>
      </w:r>
      <w:r>
        <w:rPr>
          <w:rFonts w:ascii="Arial" w:hAnsi="Arial" w:eastAsia="Arial" w:cs="Arial"/>
          <w:b/>
          <w:color w:val="000000"/>
          <w:sz w:val="20"/>
          <w:szCs w:val="20"/>
        </w:rPr>
        <w:t xml:space="preserve">original analysis</w:t>
      </w:r>
      <w:r>
        <w:rPr>
          <w:rFonts w:ascii="Arial" w:hAnsi="Arial" w:eastAsia="Arial" w:cs="Arial"/>
          <w:color w:val="000000"/>
          <w:sz w:val="20"/>
          <w:szCs w:val="20"/>
        </w:rPr>
        <w:t xml:space="preserve"> for </w:t>
      </w:r>
      <w:r>
        <w:rPr>
          <w:rFonts w:ascii="Arial" w:hAnsi="Arial" w:eastAsia="Arial" w:cs="Arial"/>
          <w:b/>
          <w:color w:val="000000"/>
          <w:sz w:val="20"/>
          <w:szCs w:val="20"/>
        </w:rPr>
        <w:t xml:space="preserve">EU, Finland, and UAE consumer trends in retail, food, and shopping for 2026</w:t>
      </w:r>
      <w:r>
        <w:rPr>
          <w:rFonts w:ascii="Arial" w:hAnsi="Arial" w:eastAsia="Arial" w:cs="Arial"/>
          <w:color w:val="000000"/>
          <w:sz w:val="20"/>
          <w:szCs w:val="20"/>
        </w:rPr>
        <w:t xml:space="preserve">, including </w:t>
      </w:r>
      <w:r>
        <w:rPr>
          <w:rFonts w:ascii="Arial" w:hAnsi="Arial" w:eastAsia="Arial" w:cs="Arial"/>
          <w:b/>
          <w:color w:val="000000"/>
          <w:sz w:val="20"/>
          <w:szCs w:val="20"/>
        </w:rPr>
        <w:t xml:space="preserve">status</w:t>
      </w:r>
      <w:r>
        <w:rPr>
          <w:rFonts w:ascii="Arial" w:hAnsi="Arial" w:eastAsia="Arial" w:cs="Arial"/>
          <w:color w:val="000000"/>
          <w:sz w:val="20"/>
          <w:szCs w:val="20"/>
        </w:rPr>
        <w:t xml:space="preserve">, </w:t>
      </w:r>
      <w:r>
        <w:rPr>
          <w:rFonts w:ascii="Arial" w:hAnsi="Arial" w:eastAsia="Arial" w:cs="Arial"/>
          <w:b/>
          <w:color w:val="000000"/>
          <w:sz w:val="20"/>
          <w:szCs w:val="20"/>
        </w:rPr>
        <w:t xml:space="preserve">why it is happening</w:t>
      </w:r>
      <w:r>
        <w:rPr>
          <w:rFonts w:ascii="Arial" w:hAnsi="Arial" w:eastAsia="Arial" w:cs="Arial"/>
          <w:color w:val="000000"/>
          <w:sz w:val="20"/>
          <w:szCs w:val="20"/>
        </w:rPr>
        <w:t xml:space="preserve">, </w:t>
      </w:r>
      <w:r>
        <w:rPr>
          <w:rFonts w:ascii="Arial" w:hAnsi="Arial" w:eastAsia="Arial" w:cs="Arial"/>
          <w:b/>
          <w:color w:val="000000"/>
          <w:sz w:val="20"/>
          <w:szCs w:val="20"/>
        </w:rPr>
        <w:t xml:space="preserve">impact on shopping malls and grocery stores</w:t>
      </w:r>
      <w:r>
        <w:rPr>
          <w:rFonts w:ascii="Arial" w:hAnsi="Arial" w:eastAsia="Arial" w:cs="Arial"/>
          <w:color w:val="000000"/>
          <w:sz w:val="20"/>
          <w:szCs w:val="20"/>
        </w:rPr>
        <w:t xml:space="preserve">, and </w:t>
      </w:r>
      <w:r>
        <w:rPr>
          <w:rFonts w:ascii="Arial" w:hAnsi="Arial" w:eastAsia="Arial" w:cs="Arial"/>
          <w:b/>
          <w:color w:val="000000"/>
          <w:sz w:val="20"/>
          <w:szCs w:val="20"/>
        </w:rPr>
        <w:t xml:space="preserve">new/surprising signals</w:t>
      </w:r>
      <w:r>
        <w:rPr>
          <w:rFonts w:ascii="Arial" w:hAnsi="Arial" w:eastAsia="Arial" w:cs="Arial"/>
          <w:color w:val="000000"/>
          <w:sz w:val="20"/>
          <w:szCs w:val="20"/>
        </w:rPr>
        <w:t xml:space="preserve">. Europe’s grocery sector in 2026 is recovering only slowly, with fragile consumer spending, continued margin pressure, faster growth in convenience, and accelerating AI investment. Finland reflects cautious recovery with strong grocery concentration and i</w:t>
      </w:r>
      <w:r>
        <w:rPr>
          <w:rFonts w:ascii="Arial" w:hAnsi="Arial" w:eastAsia="Arial" w:cs="Arial"/>
          <w:color w:val="000000"/>
          <w:sz w:val="20"/>
          <w:szCs w:val="20"/>
        </w:rPr>
        <w:t xml:space="preserve">mproving confidence, while the UAE remains a higher-growth market driven by convenience, health, and omnichannel behavior.mckinsey+5</w:t>
      </w:r>
      <w:r>
        <w:rPr>
          <w:rFonts w:ascii="Arial" w:hAnsi="Arial" w:eastAsia="Arial" w:cs="Arial"/>
          <w:sz w:val="20"/>
          <w:szCs w:val="20"/>
        </w:rPr>
      </w:r>
    </w:p>
    <w:p>
      <w:pPr>
        <w:pStyle w:val="139"/>
        <w:pBdr>
          <w:top w:val="none" w:color="000000" w:sz="4" w:space="0"/>
          <w:left w:val="none" w:color="000000" w:sz="4" w:space="0"/>
          <w:bottom w:val="none" w:color="000000" w:sz="4" w:space="0"/>
          <w:right w:val="none" w:color="000000" w:sz="4" w:space="0"/>
        </w:pBdr>
        <w:spacing/>
        <w:ind w:right="0" w:firstLine="0" w:left="0"/>
        <w:rPr>
          <w:rFonts w:ascii="Arial" w:hAnsi="Arial" w:cs="Arial"/>
          <w:sz w:val="20"/>
          <w:szCs w:val="20"/>
        </w:rPr>
      </w:pPr>
      <w:r>
        <w:rPr>
          <w:rFonts w:ascii="Arial" w:hAnsi="Arial" w:eastAsia="Arial" w:cs="Arial"/>
          <w:b/>
          <w:color w:val="000000"/>
          <w:sz w:val="20"/>
          <w:szCs w:val="20"/>
        </w:rPr>
        <w:t xml:space="preserve">Main picture</w:t>
      </w:r>
      <w:r>
        <w:rPr>
          <w:rFonts w:ascii="Arial" w:hAnsi="Arial" w:eastAsia="Arial" w:cs="Arial"/>
          <w:sz w:val="20"/>
          <w:szCs w:val="20"/>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0"/>
          <w:szCs w:val="20"/>
        </w:rPr>
      </w:pPr>
      <w:r>
        <w:rPr>
          <w:rFonts w:ascii="Arial" w:hAnsi="Arial" w:eastAsia="Arial" w:cs="Arial"/>
          <w:color w:val="000000"/>
          <w:sz w:val="20"/>
          <w:szCs w:val="20"/>
        </w:rPr>
        <w:t xml:space="preserve">The most important 2026 pattern is </w:t>
      </w:r>
      <w:r>
        <w:rPr>
          <w:rFonts w:ascii="Arial" w:hAnsi="Arial" w:eastAsia="Arial" w:cs="Arial"/>
          <w:b/>
          <w:color w:val="000000"/>
          <w:sz w:val="20"/>
          <w:szCs w:val="20"/>
        </w:rPr>
        <w:t xml:space="preserve">polarization</w:t>
      </w:r>
      <w:r>
        <w:rPr>
          <w:rFonts w:ascii="Arial" w:hAnsi="Arial" w:eastAsia="Arial" w:cs="Arial"/>
          <w:color w:val="000000"/>
          <w:sz w:val="20"/>
          <w:szCs w:val="20"/>
        </w:rPr>
        <w:t xml:space="preserve">: consumers are still price-sensitive, but they selectively pay more for categories that feel worthwhile, such as quality food, convenience, health, and experience. At the same time, volume growth remains weak in Europe, so much of the spending increase is</w:t>
      </w:r>
      <w:r>
        <w:rPr>
          <w:rFonts w:ascii="Arial" w:hAnsi="Arial" w:eastAsia="Arial" w:cs="Arial"/>
          <w:color w:val="000000"/>
          <w:sz w:val="20"/>
          <w:szCs w:val="20"/>
        </w:rPr>
        <w:t xml:space="preserve"> still price-led rather than basket-led.mckinsey+2</w:t>
      </w:r>
      <w:r>
        <w:rPr>
          <w:rFonts w:ascii="Arial" w:hAnsi="Arial" w:eastAsia="Arial" w:cs="Arial"/>
          <w:sz w:val="20"/>
          <w:szCs w:val="20"/>
        </w:rPr>
      </w:r>
    </w:p>
    <w:p>
      <w:pPr>
        <w:pStyle w:val="139"/>
        <w:pBdr>
          <w:top w:val="none" w:color="000000" w:sz="4" w:space="0"/>
          <w:left w:val="none" w:color="000000" w:sz="4" w:space="0"/>
          <w:bottom w:val="none" w:color="000000" w:sz="4" w:space="0"/>
          <w:right w:val="none" w:color="000000" w:sz="4" w:space="0"/>
        </w:pBdr>
        <w:spacing/>
        <w:ind w:right="0" w:firstLine="0" w:left="0"/>
        <w:rPr>
          <w:rFonts w:ascii="Arial" w:hAnsi="Arial" w:cs="Arial"/>
          <w:sz w:val="20"/>
          <w:szCs w:val="20"/>
        </w:rPr>
      </w:pPr>
      <w:r>
        <w:rPr>
          <w:rFonts w:ascii="Arial" w:hAnsi="Arial" w:eastAsia="Arial" w:cs="Arial"/>
          <w:b/>
          <w:color w:val="000000"/>
          <w:sz w:val="20"/>
          <w:szCs w:val="20"/>
        </w:rPr>
        <w:t xml:space="preserve">Trend map</w:t>
      </w:r>
      <w:r>
        <w:rPr>
          <w:rFonts w:ascii="Arial" w:hAnsi="Arial" w:eastAsia="Arial" w:cs="Arial"/>
          <w:sz w:val="20"/>
          <w:szCs w:val="20"/>
        </w:rPr>
      </w:r>
    </w:p>
    <w:tbl>
      <w:tblPr>
        <w:tblStyle w:val="11"/>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1111"/>
        <w:gridCol w:w="1029"/>
        <w:gridCol w:w="802"/>
        <w:gridCol w:w="1429"/>
        <w:gridCol w:w="1795"/>
        <w:gridCol w:w="1584"/>
        <w:gridCol w:w="1610"/>
      </w:tblGrid>
      <w:tr>
        <w:trPr/>
        <w:tc>
          <w:tcPr>
            <w:tcBorders/>
            <w:tcMar>
              <w:left w:w="15" w:type="dxa"/>
              <w:top w:w="15" w:type="dxa"/>
              <w:right w:w="15" w:type="dxa"/>
              <w:bottom w:w="15" w:type="dxa"/>
            </w:tcMar>
            <w:tcW w:w="1111" w:type="dxa"/>
            <w:vAlign w:val="center"/>
            <w:textDirection w:val="lrTb"/>
            <w:noWrap w:val="false"/>
          </w:tcPr>
          <w:p>
            <w:pPr>
              <w:pBdr/>
              <w:spacing w:after="0" w:before="0" w:line="240"/>
              <w:ind/>
              <w:jc w:val="center"/>
              <w:rPr>
                <w:rFonts w:ascii="Arial" w:hAnsi="Arial" w:cs="Arial"/>
                <w:sz w:val="20"/>
                <w:szCs w:val="20"/>
              </w:rPr>
            </w:pPr>
            <w:r>
              <w:rPr>
                <w:rFonts w:ascii="Arial" w:hAnsi="Arial" w:eastAsia="Arial" w:cs="Arial"/>
                <w:b/>
                <w:color w:val="000000"/>
                <w:sz w:val="20"/>
                <w:szCs w:val="20"/>
              </w:rPr>
              <w:t xml:space="preserve">Trend</w:t>
            </w:r>
            <w:r>
              <w:rPr>
                <w:rFonts w:ascii="Arial" w:hAnsi="Arial" w:eastAsia="Arial" w:cs="Arial"/>
                <w:sz w:val="20"/>
                <w:szCs w:val="20"/>
              </w:rPr>
            </w:r>
          </w:p>
        </w:tc>
        <w:tc>
          <w:tcPr>
            <w:tcBorders/>
            <w:tcMar>
              <w:left w:w="15" w:type="dxa"/>
              <w:top w:w="15" w:type="dxa"/>
              <w:right w:w="15" w:type="dxa"/>
              <w:bottom w:w="15" w:type="dxa"/>
            </w:tcMar>
            <w:tcW w:w="1029" w:type="dxa"/>
            <w:vAlign w:val="center"/>
            <w:textDirection w:val="lrTb"/>
            <w:noWrap w:val="false"/>
          </w:tcPr>
          <w:p>
            <w:pPr>
              <w:pBdr/>
              <w:spacing w:after="0" w:before="0" w:line="240"/>
              <w:ind/>
              <w:jc w:val="center"/>
              <w:rPr>
                <w:rFonts w:ascii="Arial" w:hAnsi="Arial" w:cs="Arial"/>
                <w:sz w:val="20"/>
                <w:szCs w:val="20"/>
              </w:rPr>
            </w:pPr>
            <w:r>
              <w:rPr>
                <w:rFonts w:ascii="Arial" w:hAnsi="Arial" w:eastAsia="Arial" w:cs="Arial"/>
                <w:b/>
                <w:color w:val="000000"/>
                <w:sz w:val="20"/>
                <w:szCs w:val="20"/>
              </w:rPr>
              <w:t xml:space="preserve">EU 2026</w:t>
            </w:r>
            <w:r>
              <w:rPr>
                <w:rFonts w:ascii="Arial" w:hAnsi="Arial" w:eastAsia="Arial" w:cs="Arial"/>
                <w:sz w:val="20"/>
                <w:szCs w:val="20"/>
              </w:rPr>
            </w:r>
          </w:p>
        </w:tc>
        <w:tc>
          <w:tcPr>
            <w:tcBorders/>
            <w:tcMar>
              <w:left w:w="15" w:type="dxa"/>
              <w:top w:w="15" w:type="dxa"/>
              <w:right w:w="15" w:type="dxa"/>
              <w:bottom w:w="15" w:type="dxa"/>
            </w:tcMar>
            <w:tcW w:w="802" w:type="dxa"/>
            <w:vAlign w:val="center"/>
            <w:textDirection w:val="lrTb"/>
            <w:noWrap w:val="false"/>
          </w:tcPr>
          <w:p>
            <w:pPr>
              <w:pBdr/>
              <w:spacing w:after="0" w:before="0" w:line="240"/>
              <w:ind/>
              <w:jc w:val="center"/>
              <w:rPr>
                <w:rFonts w:ascii="Arial" w:hAnsi="Arial" w:cs="Arial"/>
                <w:sz w:val="20"/>
                <w:szCs w:val="20"/>
              </w:rPr>
            </w:pPr>
            <w:r>
              <w:rPr>
                <w:rFonts w:ascii="Arial" w:hAnsi="Arial" w:eastAsia="Arial" w:cs="Arial"/>
                <w:b/>
                <w:color w:val="000000"/>
                <w:sz w:val="20"/>
                <w:szCs w:val="20"/>
              </w:rPr>
              <w:t xml:space="preserve">Finland 2026</w:t>
            </w:r>
            <w:r>
              <w:rPr>
                <w:rFonts w:ascii="Arial" w:hAnsi="Arial" w:eastAsia="Arial" w:cs="Arial"/>
                <w:sz w:val="20"/>
                <w:szCs w:val="20"/>
              </w:rPr>
            </w:r>
          </w:p>
        </w:tc>
        <w:tc>
          <w:tcPr>
            <w:tcBorders/>
            <w:tcMar>
              <w:left w:w="15" w:type="dxa"/>
              <w:top w:w="15" w:type="dxa"/>
              <w:right w:w="15" w:type="dxa"/>
              <w:bottom w:w="15" w:type="dxa"/>
            </w:tcMar>
            <w:tcW w:w="1429" w:type="dxa"/>
            <w:vAlign w:val="center"/>
            <w:textDirection w:val="lrTb"/>
            <w:noWrap w:val="false"/>
          </w:tcPr>
          <w:p>
            <w:pPr>
              <w:pBdr/>
              <w:spacing w:after="0" w:before="0" w:line="240"/>
              <w:ind/>
              <w:jc w:val="center"/>
              <w:rPr>
                <w:rFonts w:ascii="Arial" w:hAnsi="Arial" w:cs="Arial"/>
                <w:sz w:val="20"/>
                <w:szCs w:val="20"/>
              </w:rPr>
            </w:pPr>
            <w:r>
              <w:rPr>
                <w:rFonts w:ascii="Arial" w:hAnsi="Arial" w:eastAsia="Arial" w:cs="Arial"/>
                <w:b/>
                <w:color w:val="000000"/>
                <w:sz w:val="20"/>
                <w:szCs w:val="20"/>
              </w:rPr>
              <w:t xml:space="preserve">UAE 2026</w:t>
            </w:r>
            <w:r>
              <w:rPr>
                <w:rFonts w:ascii="Arial" w:hAnsi="Arial" w:eastAsia="Arial" w:cs="Arial"/>
                <w:sz w:val="20"/>
                <w:szCs w:val="20"/>
              </w:rPr>
            </w:r>
          </w:p>
        </w:tc>
        <w:tc>
          <w:tcPr>
            <w:tcBorders/>
            <w:tcMar>
              <w:left w:w="15" w:type="dxa"/>
              <w:top w:w="15" w:type="dxa"/>
              <w:right w:w="15" w:type="dxa"/>
              <w:bottom w:w="15" w:type="dxa"/>
            </w:tcMar>
            <w:tcW w:w="1795" w:type="dxa"/>
            <w:vAlign w:val="center"/>
            <w:textDirection w:val="lrTb"/>
            <w:noWrap w:val="false"/>
          </w:tcPr>
          <w:p>
            <w:pPr>
              <w:pBdr/>
              <w:spacing w:after="0" w:before="0" w:line="240"/>
              <w:ind/>
              <w:jc w:val="center"/>
              <w:rPr>
                <w:rFonts w:ascii="Arial" w:hAnsi="Arial" w:cs="Arial"/>
                <w:sz w:val="20"/>
                <w:szCs w:val="20"/>
              </w:rPr>
            </w:pPr>
            <w:r>
              <w:rPr>
                <w:rFonts w:ascii="Arial" w:hAnsi="Arial" w:eastAsia="Arial" w:cs="Arial"/>
                <w:b/>
                <w:color w:val="000000"/>
                <w:sz w:val="20"/>
                <w:szCs w:val="20"/>
              </w:rPr>
              <w:t xml:space="preserve">Why now</w:t>
            </w:r>
            <w:r>
              <w:rPr>
                <w:rFonts w:ascii="Arial" w:hAnsi="Arial" w:eastAsia="Arial" w:cs="Arial"/>
                <w:sz w:val="20"/>
                <w:szCs w:val="20"/>
              </w:rPr>
            </w:r>
          </w:p>
        </w:tc>
        <w:tc>
          <w:tcPr>
            <w:tcBorders/>
            <w:tcMar>
              <w:left w:w="15" w:type="dxa"/>
              <w:top w:w="15" w:type="dxa"/>
              <w:right w:w="15" w:type="dxa"/>
              <w:bottom w:w="15" w:type="dxa"/>
            </w:tcMar>
            <w:tcW w:w="1584" w:type="dxa"/>
            <w:vAlign w:val="center"/>
            <w:textDirection w:val="lrTb"/>
            <w:noWrap w:val="false"/>
          </w:tcPr>
          <w:p>
            <w:pPr>
              <w:pBdr/>
              <w:spacing w:after="0" w:before="0" w:line="240"/>
              <w:ind/>
              <w:jc w:val="center"/>
              <w:rPr>
                <w:rFonts w:ascii="Arial" w:hAnsi="Arial" w:cs="Arial"/>
                <w:sz w:val="20"/>
                <w:szCs w:val="20"/>
              </w:rPr>
            </w:pPr>
            <w:r>
              <w:rPr>
                <w:rFonts w:ascii="Arial" w:hAnsi="Arial" w:eastAsia="Arial" w:cs="Arial"/>
                <w:b/>
                <w:color w:val="000000"/>
                <w:sz w:val="20"/>
                <w:szCs w:val="20"/>
              </w:rPr>
              <w:t xml:space="preserve">Mall effect</w:t>
            </w:r>
            <w:r>
              <w:rPr>
                <w:rFonts w:ascii="Arial" w:hAnsi="Arial" w:eastAsia="Arial" w:cs="Arial"/>
                <w:sz w:val="20"/>
                <w:szCs w:val="20"/>
              </w:rPr>
            </w:r>
          </w:p>
        </w:tc>
        <w:tc>
          <w:tcPr>
            <w:tcBorders/>
            <w:tcMar>
              <w:left w:w="15" w:type="dxa"/>
              <w:top w:w="15" w:type="dxa"/>
              <w:right w:w="15" w:type="dxa"/>
              <w:bottom w:w="15" w:type="dxa"/>
            </w:tcMar>
            <w:tcW w:w="1610" w:type="dxa"/>
            <w:vAlign w:val="center"/>
            <w:textDirection w:val="lrTb"/>
            <w:noWrap w:val="false"/>
          </w:tcPr>
          <w:p>
            <w:pPr>
              <w:pBdr/>
              <w:spacing w:after="0" w:before="0" w:line="240"/>
              <w:ind/>
              <w:jc w:val="center"/>
              <w:rPr>
                <w:rFonts w:ascii="Arial" w:hAnsi="Arial" w:cs="Arial"/>
                <w:sz w:val="20"/>
                <w:szCs w:val="20"/>
              </w:rPr>
            </w:pPr>
            <w:r>
              <w:rPr>
                <w:rFonts w:ascii="Arial" w:hAnsi="Arial" w:eastAsia="Arial" w:cs="Arial"/>
                <w:b/>
                <w:color w:val="000000"/>
                <w:sz w:val="20"/>
                <w:szCs w:val="20"/>
              </w:rPr>
              <w:t xml:space="preserve">Grocery effect</w:t>
            </w:r>
            <w:r>
              <w:rPr>
                <w:rFonts w:ascii="Arial" w:hAnsi="Arial" w:eastAsia="Arial" w:cs="Arial"/>
                <w:sz w:val="20"/>
                <w:szCs w:val="20"/>
              </w:rPr>
            </w:r>
          </w:p>
        </w:tc>
      </w:tr>
      <w:tr>
        <w:trPr/>
        <w:tc>
          <w:tcPr>
            <w:tcBorders/>
            <w:tcMar>
              <w:left w:w="15" w:type="dxa"/>
              <w:top w:w="15" w:type="dxa"/>
              <w:right w:w="15" w:type="dxa"/>
              <w:bottom w:w="15" w:type="dxa"/>
            </w:tcMar>
            <w:tcW w:w="1111"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Value polarization</w:t>
            </w:r>
            <w:r>
              <w:rPr>
                <w:rFonts w:ascii="Arial" w:hAnsi="Arial" w:eastAsia="Arial" w:cs="Arial"/>
                <w:sz w:val="20"/>
                <w:szCs w:val="20"/>
              </w:rPr>
            </w:r>
          </w:p>
        </w:tc>
        <w:tc>
          <w:tcPr>
            <w:tcBorders/>
            <w:tcMar>
              <w:left w:w="15" w:type="dxa"/>
              <w:top w:w="15" w:type="dxa"/>
              <w:right w:w="15" w:type="dxa"/>
              <w:bottom w:w="15" w:type="dxa"/>
            </w:tcMar>
            <w:tcW w:w="1029"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Accelerating mckinsey+1</w:t>
            </w:r>
            <w:r>
              <w:rPr>
                <w:rFonts w:ascii="Arial" w:hAnsi="Arial" w:eastAsia="Arial" w:cs="Arial"/>
                <w:sz w:val="20"/>
                <w:szCs w:val="20"/>
              </w:rPr>
            </w:r>
          </w:p>
        </w:tc>
        <w:tc>
          <w:tcPr>
            <w:tcBorders/>
            <w:tcMar>
              <w:left w:w="15" w:type="dxa"/>
              <w:top w:w="15" w:type="dxa"/>
              <w:right w:w="15" w:type="dxa"/>
              <w:bottom w:w="15" w:type="dxa"/>
            </w:tcMar>
            <w:tcW w:w="802"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Rising </w:t>
            </w:r>
            <w:hyperlink r:id="rId52" w:tooltip="https://www.kesko.fi/en/media/news-and-releases/investor-news/2026/keskos-strategy-in-grocery-trade-working--k-group-market-share-takes-an-upturn/" w:history="1">
              <w:r>
                <w:rPr>
                  <w:rStyle w:val="186"/>
                  <w:rFonts w:ascii="Arial" w:hAnsi="Arial" w:eastAsia="Arial" w:cs="Arial"/>
                  <w:color w:val="0000ee"/>
                  <w:sz w:val="20"/>
                  <w:szCs w:val="20"/>
                  <w:u w:val="single"/>
                </w:rPr>
                <w:t xml:space="preserve">kesko</w:t>
              </w:r>
            </w:hyperlink>
            <w:r>
              <w:rPr>
                <w:rFonts w:ascii="Arial" w:hAnsi="Arial" w:eastAsia="Arial" w:cs="Arial"/>
                <w:sz w:val="20"/>
                <w:szCs w:val="20"/>
              </w:rPr>
            </w:r>
          </w:p>
        </w:tc>
        <w:tc>
          <w:tcPr>
            <w:tcBorders/>
            <w:tcMar>
              <w:left w:w="15" w:type="dxa"/>
              <w:top w:w="15" w:type="dxa"/>
              <w:right w:w="15" w:type="dxa"/>
              <w:bottom w:w="15" w:type="dxa"/>
            </w:tcMar>
            <w:tcW w:w="1429"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Stable to rising </w:t>
            </w:r>
            <w:hyperlink r:id="rId53" w:tooltip="https://www.mordorintelligence.com/industry-reports/united-arab-emirates-food-products-market" w:history="1">
              <w:r>
                <w:rPr>
                  <w:rStyle w:val="186"/>
                  <w:rFonts w:ascii="Arial" w:hAnsi="Arial" w:eastAsia="Arial" w:cs="Arial"/>
                  <w:color w:val="0000ee"/>
                  <w:sz w:val="20"/>
                  <w:szCs w:val="20"/>
                  <w:u w:val="single"/>
                </w:rPr>
                <w:t xml:space="preserve">mordorintelligence</w:t>
              </w:r>
            </w:hyperlink>
            <w:r>
              <w:rPr>
                <w:rFonts w:ascii="Arial" w:hAnsi="Arial" w:eastAsia="Arial" w:cs="Arial"/>
                <w:sz w:val="20"/>
                <w:szCs w:val="20"/>
              </w:rPr>
            </w:r>
          </w:p>
        </w:tc>
        <w:tc>
          <w:tcPr>
            <w:tcBorders/>
            <w:tcMar>
              <w:left w:w="15" w:type="dxa"/>
              <w:top w:w="15" w:type="dxa"/>
              <w:right w:w="15" w:type="dxa"/>
              <w:bottom w:w="15" w:type="dxa"/>
            </w:tcMar>
            <w:tcW w:w="1795"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Shoppers still manage budgets but trade up selectively. mckinsey+1</w:t>
            </w:r>
            <w:r>
              <w:rPr>
                <w:rFonts w:ascii="Arial" w:hAnsi="Arial" w:eastAsia="Arial" w:cs="Arial"/>
                <w:sz w:val="20"/>
                <w:szCs w:val="20"/>
              </w:rPr>
            </w:r>
          </w:p>
        </w:tc>
        <w:tc>
          <w:tcPr>
            <w:tcBorders/>
            <w:tcMar>
              <w:left w:w="15" w:type="dxa"/>
              <w:top w:w="15" w:type="dxa"/>
              <w:right w:w="15" w:type="dxa"/>
              <w:bottom w:w="15" w:type="dxa"/>
            </w:tcMar>
            <w:tcW w:w="1584"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Premium and discount tenants do better than mid-market. </w:t>
            </w:r>
            <w:hyperlink r:id="rId54" w:tooltip="https://www.eurocommerce.eu/2026/04/european-grocery-retail-models-are-in-motion-while-margins-remain-under-pressure/" w:history="1">
              <w:r>
                <w:rPr>
                  <w:rStyle w:val="186"/>
                  <w:rFonts w:ascii="Arial" w:hAnsi="Arial" w:eastAsia="Arial" w:cs="Arial"/>
                  <w:color w:val="0000ee"/>
                  <w:sz w:val="20"/>
                  <w:szCs w:val="20"/>
                  <w:u w:val="single"/>
                </w:rPr>
                <w:t xml:space="preserve">eurocommerce</w:t>
              </w:r>
            </w:hyperlink>
            <w:r>
              <w:rPr>
                <w:rFonts w:ascii="Arial" w:hAnsi="Arial" w:eastAsia="Arial" w:cs="Arial"/>
                <w:sz w:val="20"/>
                <w:szCs w:val="20"/>
              </w:rPr>
            </w:r>
          </w:p>
        </w:tc>
        <w:tc>
          <w:tcPr>
            <w:tcBorders/>
            <w:tcMar>
              <w:left w:w="15" w:type="dxa"/>
              <w:top w:w="15" w:type="dxa"/>
              <w:right w:w="15" w:type="dxa"/>
              <w:bottom w:w="15" w:type="dxa"/>
            </w:tcMar>
            <w:tcW w:w="1610"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Stronger private label, good-better-best assortments, sharper promotions. </w:t>
            </w:r>
            <w:hyperlink r:id="rId55" w:tooltip="https://www.mckinsey.com/industries/retail/our-insights/state-of-grocery-europe-report" w:history="1">
              <w:r>
                <w:rPr>
                  <w:rStyle w:val="186"/>
                  <w:rFonts w:ascii="Arial" w:hAnsi="Arial" w:eastAsia="Arial" w:cs="Arial"/>
                  <w:color w:val="0000ee"/>
                  <w:sz w:val="20"/>
                  <w:szCs w:val="20"/>
                  <w:u w:val="single"/>
                </w:rPr>
                <w:t xml:space="preserve">mckinsey</w:t>
              </w:r>
            </w:hyperlink>
            <w:r>
              <w:rPr>
                <w:rFonts w:ascii="Arial" w:hAnsi="Arial" w:eastAsia="Arial" w:cs="Arial"/>
                <w:sz w:val="20"/>
                <w:szCs w:val="20"/>
              </w:rPr>
            </w:r>
          </w:p>
        </w:tc>
      </w:tr>
      <w:tr>
        <w:trPr/>
        <w:tc>
          <w:tcPr>
            <w:tcBorders/>
            <w:tcMar>
              <w:left w:w="15" w:type="dxa"/>
              <w:top w:w="15" w:type="dxa"/>
              <w:right w:w="15" w:type="dxa"/>
              <w:bottom w:w="15" w:type="dxa"/>
            </w:tcMar>
            <w:tcW w:w="1111"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Price hypersensitivity</w:t>
            </w:r>
            <w:r>
              <w:rPr>
                <w:rFonts w:ascii="Arial" w:hAnsi="Arial" w:eastAsia="Arial" w:cs="Arial"/>
                <w:sz w:val="20"/>
                <w:szCs w:val="20"/>
              </w:rPr>
            </w:r>
          </w:p>
        </w:tc>
        <w:tc>
          <w:tcPr>
            <w:tcBorders/>
            <w:tcMar>
              <w:left w:w="15" w:type="dxa"/>
              <w:top w:w="15" w:type="dxa"/>
              <w:right w:w="15" w:type="dxa"/>
              <w:bottom w:w="15" w:type="dxa"/>
            </w:tcMar>
            <w:tcW w:w="1029"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Stable but entrenched </w:t>
            </w:r>
            <w:hyperlink r:id="rId56" w:tooltip="https://www.eurocommerce.eu/2026/04/european-grocery-retail-models-are-in-motion-while-margins-remain-under-pressure/" w:history="1">
              <w:r>
                <w:rPr>
                  <w:rStyle w:val="186"/>
                  <w:rFonts w:ascii="Arial" w:hAnsi="Arial" w:eastAsia="Arial" w:cs="Arial"/>
                  <w:color w:val="0000ee"/>
                  <w:sz w:val="20"/>
                  <w:szCs w:val="20"/>
                  <w:u w:val="single"/>
                </w:rPr>
                <w:t xml:space="preserve">eurocommerce</w:t>
              </w:r>
            </w:hyperlink>
            <w:r>
              <w:rPr>
                <w:rFonts w:ascii="Arial" w:hAnsi="Arial" w:eastAsia="Arial" w:cs="Arial"/>
                <w:sz w:val="20"/>
                <w:szCs w:val="20"/>
              </w:rPr>
            </w:r>
          </w:p>
        </w:tc>
        <w:tc>
          <w:tcPr>
            <w:tcBorders/>
            <w:tcMar>
              <w:left w:w="15" w:type="dxa"/>
              <w:top w:w="15" w:type="dxa"/>
              <w:right w:w="15" w:type="dxa"/>
              <w:bottom w:w="15" w:type="dxa"/>
            </w:tcMar>
            <w:tcW w:w="802"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Rising but easing slightly kesko+1</w:t>
            </w:r>
            <w:r>
              <w:rPr>
                <w:rFonts w:ascii="Arial" w:hAnsi="Arial" w:eastAsia="Arial" w:cs="Arial"/>
                <w:sz w:val="20"/>
                <w:szCs w:val="20"/>
              </w:rPr>
            </w:r>
          </w:p>
        </w:tc>
        <w:tc>
          <w:tcPr>
            <w:tcBorders/>
            <w:tcMar>
              <w:left w:w="15" w:type="dxa"/>
              <w:top w:w="15" w:type="dxa"/>
              <w:right w:w="15" w:type="dxa"/>
              <w:bottom w:w="15" w:type="dxa"/>
            </w:tcMar>
            <w:tcW w:w="1429"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Lower relevance than EU </w:t>
            </w:r>
            <w:hyperlink r:id="rId57" w:tooltip="https://www.mordorintelligence.com/industry-reports/united-arab-emirates-food-products-market" w:history="1">
              <w:r>
                <w:rPr>
                  <w:rStyle w:val="186"/>
                  <w:rFonts w:ascii="Arial" w:hAnsi="Arial" w:eastAsia="Arial" w:cs="Arial"/>
                  <w:color w:val="0000ee"/>
                  <w:sz w:val="20"/>
                  <w:szCs w:val="20"/>
                  <w:u w:val="single"/>
                </w:rPr>
                <w:t xml:space="preserve">mordorintelligence</w:t>
              </w:r>
            </w:hyperlink>
            <w:r>
              <w:rPr>
                <w:rFonts w:ascii="Arial" w:hAnsi="Arial" w:eastAsia="Arial" w:cs="Arial"/>
                <w:sz w:val="20"/>
                <w:szCs w:val="20"/>
              </w:rPr>
            </w:r>
          </w:p>
        </w:tc>
        <w:tc>
          <w:tcPr>
            <w:tcBorders/>
            <w:tcMar>
              <w:left w:w="15" w:type="dxa"/>
              <w:top w:w="15" w:type="dxa"/>
              <w:right w:w="15" w:type="dxa"/>
              <w:bottom w:w="15" w:type="dxa"/>
            </w:tcMar>
            <w:tcW w:w="1795"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Inflation shock changed habits structurally. </w:t>
            </w:r>
            <w:hyperlink r:id="rId58" w:tooltip="https://www.eurocommerce.eu/2026/04/european-grocery-retail-models-are-in-motion-while-margins-remain-under-pressure/" w:history="1">
              <w:r>
                <w:rPr>
                  <w:rStyle w:val="186"/>
                  <w:rFonts w:ascii="Arial" w:hAnsi="Arial" w:eastAsia="Arial" w:cs="Arial"/>
                  <w:color w:val="0000ee"/>
                  <w:sz w:val="20"/>
                  <w:szCs w:val="20"/>
                  <w:u w:val="single"/>
                </w:rPr>
                <w:t xml:space="preserve">eurocommerce</w:t>
              </w:r>
            </w:hyperlink>
            <w:r>
              <w:rPr>
                <w:rFonts w:ascii="Arial" w:hAnsi="Arial" w:eastAsia="Arial" w:cs="Arial"/>
                <w:sz w:val="20"/>
                <w:szCs w:val="20"/>
              </w:rPr>
            </w:r>
          </w:p>
        </w:tc>
        <w:tc>
          <w:tcPr>
            <w:tcBorders/>
            <w:tcMar>
              <w:left w:w="15" w:type="dxa"/>
              <w:top w:w="15" w:type="dxa"/>
              <w:right w:w="15" w:type="dxa"/>
              <w:bottom w:w="15" w:type="dxa"/>
            </w:tcMar>
            <w:tcW w:w="1584"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Value anchors and promo events matter more. </w:t>
            </w:r>
            <w:hyperlink r:id="rId59" w:tooltip="https://www.eurocommerce.eu/2026/04/european-grocery-retail-models-are-in-motion-while-margins-remain-under-pressure/" w:history="1">
              <w:r>
                <w:rPr>
                  <w:rStyle w:val="186"/>
                  <w:rFonts w:ascii="Arial" w:hAnsi="Arial" w:eastAsia="Arial" w:cs="Arial"/>
                  <w:color w:val="0000ee"/>
                  <w:sz w:val="20"/>
                  <w:szCs w:val="20"/>
                  <w:u w:val="single"/>
                </w:rPr>
                <w:t xml:space="preserve">eurocommerce</w:t>
              </w:r>
            </w:hyperlink>
            <w:r>
              <w:rPr>
                <w:rFonts w:ascii="Arial" w:hAnsi="Arial" w:eastAsia="Arial" w:cs="Arial"/>
                <w:sz w:val="20"/>
                <w:szCs w:val="20"/>
              </w:rPr>
            </w:r>
          </w:p>
        </w:tc>
        <w:tc>
          <w:tcPr>
            <w:tcBorders/>
            <w:tcMar>
              <w:left w:w="15" w:type="dxa"/>
              <w:top w:w="15" w:type="dxa"/>
              <w:right w:w="15" w:type="dxa"/>
              <w:bottom w:w="15" w:type="dxa"/>
            </w:tcMar>
            <w:tcW w:w="1610"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Multi-store shopping, loyalty, promo dependence, price comparison. </w:t>
            </w:r>
            <w:hyperlink r:id="rId60" w:tooltip="https://www.eurocommerce.eu/2026/04/european-grocery-retail-models-are-in-motion-while-margins-remain-under-pressure/" w:history="1">
              <w:r>
                <w:rPr>
                  <w:rStyle w:val="186"/>
                  <w:rFonts w:ascii="Arial" w:hAnsi="Arial" w:eastAsia="Arial" w:cs="Arial"/>
                  <w:color w:val="0000ee"/>
                  <w:sz w:val="20"/>
                  <w:szCs w:val="20"/>
                  <w:u w:val="single"/>
                </w:rPr>
                <w:t xml:space="preserve">eurocommerce</w:t>
              </w:r>
            </w:hyperlink>
            <w:r>
              <w:rPr>
                <w:rFonts w:ascii="Arial" w:hAnsi="Arial" w:eastAsia="Arial" w:cs="Arial"/>
                <w:sz w:val="20"/>
                <w:szCs w:val="20"/>
              </w:rPr>
            </w:r>
          </w:p>
        </w:tc>
      </w:tr>
      <w:tr>
        <w:trPr/>
        <w:tc>
          <w:tcPr>
            <w:tcBorders/>
            <w:tcMar>
              <w:left w:w="15" w:type="dxa"/>
              <w:top w:w="15" w:type="dxa"/>
              <w:right w:w="15" w:type="dxa"/>
              <w:bottom w:w="15" w:type="dxa"/>
            </w:tcMar>
            <w:tcW w:w="1111"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Convenience / food-to-go</w:t>
            </w:r>
            <w:r>
              <w:rPr>
                <w:rFonts w:ascii="Arial" w:hAnsi="Arial" w:eastAsia="Arial" w:cs="Arial"/>
                <w:sz w:val="20"/>
                <w:szCs w:val="20"/>
              </w:rPr>
            </w:r>
          </w:p>
        </w:tc>
        <w:tc>
          <w:tcPr>
            <w:tcBorders/>
            <w:tcMar>
              <w:left w:w="15" w:type="dxa"/>
              <w:top w:w="15" w:type="dxa"/>
              <w:right w:w="15" w:type="dxa"/>
              <w:bottom w:w="15" w:type="dxa"/>
            </w:tcMar>
            <w:tcW w:w="1029"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Accelerating mckinsey+1</w:t>
            </w:r>
            <w:r>
              <w:rPr>
                <w:rFonts w:ascii="Arial" w:hAnsi="Arial" w:eastAsia="Arial" w:cs="Arial"/>
                <w:sz w:val="20"/>
                <w:szCs w:val="20"/>
              </w:rPr>
            </w:r>
          </w:p>
        </w:tc>
        <w:tc>
          <w:tcPr>
            <w:tcBorders/>
            <w:tcMar>
              <w:left w:w="15" w:type="dxa"/>
              <w:top w:w="15" w:type="dxa"/>
              <w:right w:w="15" w:type="dxa"/>
              <w:bottom w:w="15" w:type="dxa"/>
            </w:tcMar>
            <w:tcW w:w="802"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Rising </w:t>
            </w:r>
            <w:hyperlink r:id="rId61" w:tooltip="https://www.kesko.fi/en/media/news-and-releases/investor-news/2026/keskos-strategy-in-grocery-trade-working--k-group-market-share-takes-an-upturn/" w:history="1">
              <w:r>
                <w:rPr>
                  <w:rStyle w:val="186"/>
                  <w:rFonts w:ascii="Arial" w:hAnsi="Arial" w:eastAsia="Arial" w:cs="Arial"/>
                  <w:color w:val="0000ee"/>
                  <w:sz w:val="20"/>
                  <w:szCs w:val="20"/>
                  <w:u w:val="single"/>
                </w:rPr>
                <w:t xml:space="preserve">kesko</w:t>
              </w:r>
            </w:hyperlink>
            <w:r>
              <w:rPr>
                <w:rFonts w:ascii="Arial" w:hAnsi="Arial" w:eastAsia="Arial" w:cs="Arial"/>
                <w:sz w:val="20"/>
                <w:szCs w:val="20"/>
              </w:rPr>
            </w:r>
          </w:p>
        </w:tc>
        <w:tc>
          <w:tcPr>
            <w:tcBorders/>
            <w:tcMar>
              <w:left w:w="15" w:type="dxa"/>
              <w:top w:w="15" w:type="dxa"/>
              <w:right w:w="15" w:type="dxa"/>
              <w:bottom w:w="15" w:type="dxa"/>
            </w:tcMar>
            <w:tcW w:w="1429"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Accelerating globalriskcommunity+1</w:t>
            </w:r>
            <w:r>
              <w:rPr>
                <w:rFonts w:ascii="Arial" w:hAnsi="Arial" w:eastAsia="Arial" w:cs="Arial"/>
                <w:sz w:val="20"/>
                <w:szCs w:val="20"/>
              </w:rPr>
            </w:r>
          </w:p>
        </w:tc>
        <w:tc>
          <w:tcPr>
            <w:tcBorders/>
            <w:tcMar>
              <w:left w:w="15" w:type="dxa"/>
              <w:top w:w="15" w:type="dxa"/>
              <w:right w:w="15" w:type="dxa"/>
              <w:bottom w:w="15" w:type="dxa"/>
            </w:tcMar>
            <w:tcW w:w="1795"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Time pressure and foodservice habits keep growing. mckinsey+1</w:t>
            </w:r>
            <w:r>
              <w:rPr>
                <w:rFonts w:ascii="Arial" w:hAnsi="Arial" w:eastAsia="Arial" w:cs="Arial"/>
                <w:sz w:val="20"/>
                <w:szCs w:val="20"/>
              </w:rPr>
            </w:r>
          </w:p>
        </w:tc>
        <w:tc>
          <w:tcPr>
            <w:tcBorders/>
            <w:tcMar>
              <w:left w:w="15" w:type="dxa"/>
              <w:top w:w="15" w:type="dxa"/>
              <w:right w:w="15" w:type="dxa"/>
              <w:bottom w:w="15" w:type="dxa"/>
            </w:tcMar>
            <w:tcW w:w="1584"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F&amp;B becomes a traffic engine, not just support. </w:t>
            </w:r>
            <w:hyperlink r:id="rId62" w:tooltip="https://globalriskcommunity.com/notes/uae-retail-market" w:history="1">
              <w:r>
                <w:rPr>
                  <w:rStyle w:val="186"/>
                  <w:rFonts w:ascii="Arial" w:hAnsi="Arial" w:eastAsia="Arial" w:cs="Arial"/>
                  <w:color w:val="0000ee"/>
                  <w:sz w:val="20"/>
                  <w:szCs w:val="20"/>
                  <w:u w:val="single"/>
                </w:rPr>
                <w:t xml:space="preserve">globalriskcommunity</w:t>
              </w:r>
            </w:hyperlink>
            <w:r>
              <w:rPr>
                <w:rFonts w:ascii="Arial" w:hAnsi="Arial" w:eastAsia="Arial" w:cs="Arial"/>
                <w:sz w:val="20"/>
                <w:szCs w:val="20"/>
              </w:rPr>
            </w:r>
          </w:p>
        </w:tc>
        <w:tc>
          <w:tcPr>
            <w:tcBorders/>
            <w:tcMar>
              <w:left w:w="15" w:type="dxa"/>
              <w:top w:w="15" w:type="dxa"/>
              <w:right w:w="15" w:type="dxa"/>
              <w:bottom w:w="15" w:type="dxa"/>
            </w:tcMar>
            <w:tcW w:w="1610"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Ready-to-eat, deli, meal kits, grab-and-go gain space. mckinsey+1</w:t>
            </w:r>
            <w:r>
              <w:rPr>
                <w:rFonts w:ascii="Arial" w:hAnsi="Arial" w:eastAsia="Arial" w:cs="Arial"/>
                <w:sz w:val="20"/>
                <w:szCs w:val="20"/>
              </w:rPr>
            </w:r>
          </w:p>
        </w:tc>
      </w:tr>
      <w:tr>
        <w:trPr/>
        <w:tc>
          <w:tcPr>
            <w:tcBorders/>
            <w:tcMar>
              <w:left w:w="15" w:type="dxa"/>
              <w:top w:w="15" w:type="dxa"/>
              <w:right w:w="15" w:type="dxa"/>
              <w:bottom w:w="15" w:type="dxa"/>
            </w:tcMar>
            <w:tcW w:w="1111"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AI in shopping</w:t>
            </w:r>
            <w:r>
              <w:rPr>
                <w:rFonts w:ascii="Arial" w:hAnsi="Arial" w:eastAsia="Arial" w:cs="Arial"/>
                <w:sz w:val="20"/>
                <w:szCs w:val="20"/>
              </w:rPr>
            </w:r>
          </w:p>
        </w:tc>
        <w:tc>
          <w:tcPr>
            <w:tcBorders/>
            <w:tcMar>
              <w:left w:w="15" w:type="dxa"/>
              <w:top w:w="15" w:type="dxa"/>
              <w:right w:w="15" w:type="dxa"/>
              <w:bottom w:w="15" w:type="dxa"/>
            </w:tcMar>
            <w:tcW w:w="1029"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Rising </w:t>
            </w:r>
            <w:hyperlink r:id="rId63" w:tooltip="https://www.eurocommerce.eu/2026/04/european-grocery-retail-models-are-in-motion-while-margins-remain-under-pressure/" w:history="1">
              <w:r>
                <w:rPr>
                  <w:rStyle w:val="186"/>
                  <w:rFonts w:ascii="Arial" w:hAnsi="Arial" w:eastAsia="Arial" w:cs="Arial"/>
                  <w:color w:val="0000ee"/>
                  <w:sz w:val="20"/>
                  <w:szCs w:val="20"/>
                  <w:u w:val="single"/>
                </w:rPr>
                <w:t xml:space="preserve">eurocommerce</w:t>
              </w:r>
            </w:hyperlink>
            <w:r>
              <w:rPr>
                <w:rFonts w:ascii="Arial" w:hAnsi="Arial" w:eastAsia="Arial" w:cs="Arial"/>
                <w:sz w:val="20"/>
                <w:szCs w:val="20"/>
              </w:rPr>
            </w:r>
          </w:p>
        </w:tc>
        <w:tc>
          <w:tcPr>
            <w:tcBorders/>
            <w:tcMar>
              <w:left w:w="15" w:type="dxa"/>
              <w:top w:w="15" w:type="dxa"/>
              <w:right w:w="15" w:type="dxa"/>
              <w:bottom w:w="15" w:type="dxa"/>
            </w:tcMar>
            <w:tcW w:w="802"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Early rising </w:t>
            </w:r>
            <w:hyperlink r:id="rId64" w:tooltip="https://www.kesko.fi/en/media/news-and-releases/investor-news/2026/keskos-strategy-in-grocery-trade-working--k-group-market-share-takes-an-upturn/" w:history="1">
              <w:r>
                <w:rPr>
                  <w:rStyle w:val="186"/>
                  <w:rFonts w:ascii="Arial" w:hAnsi="Arial" w:eastAsia="Arial" w:cs="Arial"/>
                  <w:color w:val="0000ee"/>
                  <w:sz w:val="20"/>
                  <w:szCs w:val="20"/>
                  <w:u w:val="single"/>
                </w:rPr>
                <w:t xml:space="preserve">kesko</w:t>
              </w:r>
            </w:hyperlink>
            <w:r>
              <w:rPr>
                <w:rFonts w:ascii="Arial" w:hAnsi="Arial" w:eastAsia="Arial" w:cs="Arial"/>
                <w:sz w:val="20"/>
                <w:szCs w:val="20"/>
              </w:rPr>
            </w:r>
          </w:p>
        </w:tc>
        <w:tc>
          <w:tcPr>
            <w:tcBorders/>
            <w:tcMar>
              <w:left w:w="15" w:type="dxa"/>
              <w:top w:w="15" w:type="dxa"/>
              <w:right w:w="15" w:type="dxa"/>
              <w:bottom w:w="15" w:type="dxa"/>
            </w:tcMar>
            <w:tcW w:w="1429"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Rising </w:t>
            </w:r>
            <w:hyperlink r:id="rId65" w:tooltip="https://globalriskcommunity.com/notes/uae-retail-market" w:history="1">
              <w:r>
                <w:rPr>
                  <w:rStyle w:val="186"/>
                  <w:rFonts w:ascii="Arial" w:hAnsi="Arial" w:eastAsia="Arial" w:cs="Arial"/>
                  <w:color w:val="0000ee"/>
                  <w:sz w:val="20"/>
                  <w:szCs w:val="20"/>
                  <w:u w:val="single"/>
                </w:rPr>
                <w:t xml:space="preserve">globalriskcommunity</w:t>
              </w:r>
            </w:hyperlink>
            <w:r>
              <w:rPr>
                <w:rFonts w:ascii="Arial" w:hAnsi="Arial" w:eastAsia="Arial" w:cs="Arial"/>
                <w:sz w:val="20"/>
                <w:szCs w:val="20"/>
              </w:rPr>
            </w:r>
          </w:p>
        </w:tc>
        <w:tc>
          <w:tcPr>
            <w:tcBorders/>
            <w:tcMar>
              <w:left w:w="15" w:type="dxa"/>
              <w:top w:w="15" w:type="dxa"/>
              <w:right w:w="15" w:type="dxa"/>
              <w:bottom w:w="15" w:type="dxa"/>
            </w:tcMar>
            <w:tcW w:w="1795"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Retailers keep investing in IT and AI despite margin pressure. </w:t>
            </w:r>
            <w:hyperlink r:id="rId66" w:tooltip="https://www.eurocommerce.eu/2026/04/european-grocery-retail-models-are-in-motion-while-margins-remain-under-pressure/" w:history="1">
              <w:r>
                <w:rPr>
                  <w:rStyle w:val="186"/>
                  <w:rFonts w:ascii="Arial" w:hAnsi="Arial" w:eastAsia="Arial" w:cs="Arial"/>
                  <w:color w:val="0000ee"/>
                  <w:sz w:val="20"/>
                  <w:szCs w:val="20"/>
                  <w:u w:val="single"/>
                </w:rPr>
                <w:t xml:space="preserve">eurocommerce</w:t>
              </w:r>
            </w:hyperlink>
            <w:r>
              <w:rPr>
                <w:rFonts w:ascii="Arial" w:hAnsi="Arial" w:eastAsia="Arial" w:cs="Arial"/>
                <w:sz w:val="20"/>
                <w:szCs w:val="20"/>
              </w:rPr>
            </w:r>
          </w:p>
        </w:tc>
        <w:tc>
          <w:tcPr>
            <w:tcBorders/>
            <w:tcMar>
              <w:left w:w="15" w:type="dxa"/>
              <w:top w:w="15" w:type="dxa"/>
              <w:right w:w="15" w:type="dxa"/>
              <w:bottom w:w="15" w:type="dxa"/>
            </w:tcMar>
            <w:tcW w:w="1584"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Better personalization and retail media screens. </w:t>
            </w:r>
            <w:hyperlink r:id="rId67" w:tooltip="https://www.eurocommerce.eu/2026/04/european-grocery-retail-models-are-in-motion-while-margins-remain-under-pressure/" w:history="1">
              <w:r>
                <w:rPr>
                  <w:rStyle w:val="186"/>
                  <w:rFonts w:ascii="Arial" w:hAnsi="Arial" w:eastAsia="Arial" w:cs="Arial"/>
                  <w:color w:val="0000ee"/>
                  <w:sz w:val="20"/>
                  <w:szCs w:val="20"/>
                  <w:u w:val="single"/>
                </w:rPr>
                <w:t xml:space="preserve">eurocommerce</w:t>
              </w:r>
            </w:hyperlink>
            <w:r>
              <w:rPr>
                <w:rFonts w:ascii="Arial" w:hAnsi="Arial" w:eastAsia="Arial" w:cs="Arial"/>
                <w:sz w:val="20"/>
                <w:szCs w:val="20"/>
              </w:rPr>
            </w:r>
          </w:p>
        </w:tc>
        <w:tc>
          <w:tcPr>
            <w:tcBorders/>
            <w:tcMar>
              <w:left w:w="15" w:type="dxa"/>
              <w:top w:w="15" w:type="dxa"/>
              <w:right w:w="15" w:type="dxa"/>
              <w:bottom w:w="15" w:type="dxa"/>
            </w:tcMar>
            <w:tcW w:w="1610"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Better pricing, assortment, replenishment, loyalty targeting. </w:t>
            </w:r>
            <w:hyperlink r:id="rId68" w:tooltip="https://www.eurocommerce.eu/2026/04/european-grocery-retail-models-are-in-motion-while-margins-remain-under-pressure/" w:history="1">
              <w:r>
                <w:rPr>
                  <w:rStyle w:val="186"/>
                  <w:rFonts w:ascii="Arial" w:hAnsi="Arial" w:eastAsia="Arial" w:cs="Arial"/>
                  <w:color w:val="0000ee"/>
                  <w:sz w:val="20"/>
                  <w:szCs w:val="20"/>
                  <w:u w:val="single"/>
                </w:rPr>
                <w:t xml:space="preserve">eurocommerce</w:t>
              </w:r>
            </w:hyperlink>
            <w:r>
              <w:rPr>
                <w:rFonts w:ascii="Arial" w:hAnsi="Arial" w:eastAsia="Arial" w:cs="Arial"/>
                <w:sz w:val="20"/>
                <w:szCs w:val="20"/>
              </w:rPr>
            </w:r>
          </w:p>
        </w:tc>
      </w:tr>
      <w:tr>
        <w:trPr/>
        <w:tc>
          <w:tcPr>
            <w:tcBorders/>
            <w:tcMar>
              <w:left w:w="15" w:type="dxa"/>
              <w:top w:w="15" w:type="dxa"/>
              <w:right w:w="15" w:type="dxa"/>
              <w:bottom w:w="15" w:type="dxa"/>
            </w:tcMar>
            <w:tcW w:w="1111"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Health &amp; functional food</w:t>
            </w:r>
            <w:r>
              <w:rPr>
                <w:rFonts w:ascii="Arial" w:hAnsi="Arial" w:eastAsia="Arial" w:cs="Arial"/>
                <w:sz w:val="20"/>
                <w:szCs w:val="20"/>
              </w:rPr>
            </w:r>
          </w:p>
        </w:tc>
        <w:tc>
          <w:tcPr>
            <w:tcBorders/>
            <w:tcMar>
              <w:left w:w="15" w:type="dxa"/>
              <w:top w:w="15" w:type="dxa"/>
              <w:right w:w="15" w:type="dxa"/>
              <w:bottom w:w="15" w:type="dxa"/>
            </w:tcMar>
            <w:tcW w:w="1029"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Rising mordorintelligence+1</w:t>
            </w:r>
            <w:r>
              <w:rPr>
                <w:rFonts w:ascii="Arial" w:hAnsi="Arial" w:eastAsia="Arial" w:cs="Arial"/>
                <w:sz w:val="20"/>
                <w:szCs w:val="20"/>
              </w:rPr>
            </w:r>
          </w:p>
        </w:tc>
        <w:tc>
          <w:tcPr>
            <w:tcBorders/>
            <w:tcMar>
              <w:left w:w="15" w:type="dxa"/>
              <w:top w:w="15" w:type="dxa"/>
              <w:right w:w="15" w:type="dxa"/>
              <w:bottom w:w="15" w:type="dxa"/>
            </w:tcMar>
            <w:tcW w:w="802"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Rising </w:t>
            </w:r>
            <w:hyperlink r:id="rId69" w:tooltip="https://www.kesko.fi/en/media/news-and-releases/investor-news/2026/keskos-strategy-in-grocery-trade-working--k-group-market-share-takes-an-upturn/" w:history="1">
              <w:r>
                <w:rPr>
                  <w:rStyle w:val="186"/>
                  <w:rFonts w:ascii="Arial" w:hAnsi="Arial" w:eastAsia="Arial" w:cs="Arial"/>
                  <w:color w:val="0000ee"/>
                  <w:sz w:val="20"/>
                  <w:szCs w:val="20"/>
                  <w:u w:val="single"/>
                </w:rPr>
                <w:t xml:space="preserve">kesko</w:t>
              </w:r>
            </w:hyperlink>
            <w:r>
              <w:rPr>
                <w:rFonts w:ascii="Arial" w:hAnsi="Arial" w:eastAsia="Arial" w:cs="Arial"/>
                <w:sz w:val="20"/>
                <w:szCs w:val="20"/>
              </w:rPr>
            </w:r>
          </w:p>
        </w:tc>
        <w:tc>
          <w:tcPr>
            <w:tcBorders/>
            <w:tcMar>
              <w:left w:w="15" w:type="dxa"/>
              <w:top w:w="15" w:type="dxa"/>
              <w:right w:w="15" w:type="dxa"/>
              <w:bottom w:w="15" w:type="dxa"/>
            </w:tcMar>
            <w:tcW w:w="1429"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Accelerating </w:t>
            </w:r>
            <w:hyperlink r:id="rId70" w:tooltip="https://www.mordorintelligence.com/industry-reports/united-arab-emirates-food-products-market" w:history="1">
              <w:r>
                <w:rPr>
                  <w:rStyle w:val="186"/>
                  <w:rFonts w:ascii="Arial" w:hAnsi="Arial" w:eastAsia="Arial" w:cs="Arial"/>
                  <w:color w:val="0000ee"/>
                  <w:sz w:val="20"/>
                  <w:szCs w:val="20"/>
                  <w:u w:val="single"/>
                </w:rPr>
                <w:t xml:space="preserve">mordorintelligence</w:t>
              </w:r>
            </w:hyperlink>
            <w:r>
              <w:rPr>
                <w:rFonts w:ascii="Arial" w:hAnsi="Arial" w:eastAsia="Arial" w:cs="Arial"/>
                <w:sz w:val="20"/>
                <w:szCs w:val="20"/>
              </w:rPr>
            </w:r>
          </w:p>
        </w:tc>
        <w:tc>
          <w:tcPr>
            <w:tcBorders/>
            <w:tcMar>
              <w:left w:w="15" w:type="dxa"/>
              <w:top w:w="15" w:type="dxa"/>
              <w:right w:w="15" w:type="dxa"/>
              <w:bottom w:w="15" w:type="dxa"/>
            </w:tcMar>
            <w:tcW w:w="1795"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Wellness and ingredient transparency keep gaining relevance. </w:t>
            </w:r>
            <w:hyperlink r:id="rId71" w:tooltip="https://www.mordorintelligence.com/industry-reports/united-arab-emirates-food-products-market" w:history="1">
              <w:r>
                <w:rPr>
                  <w:rStyle w:val="186"/>
                  <w:rFonts w:ascii="Arial" w:hAnsi="Arial" w:eastAsia="Arial" w:cs="Arial"/>
                  <w:color w:val="0000ee"/>
                  <w:sz w:val="20"/>
                  <w:szCs w:val="20"/>
                  <w:u w:val="single"/>
                </w:rPr>
                <w:t xml:space="preserve">mordorintelligence</w:t>
              </w:r>
            </w:hyperlink>
            <w:r>
              <w:rPr>
                <w:rFonts w:ascii="Arial" w:hAnsi="Arial" w:eastAsia="Arial" w:cs="Arial"/>
                <w:sz w:val="20"/>
                <w:szCs w:val="20"/>
              </w:rPr>
            </w:r>
          </w:p>
        </w:tc>
        <w:tc>
          <w:tcPr>
            <w:tcBorders/>
            <w:tcMar>
              <w:left w:w="15" w:type="dxa"/>
              <w:top w:w="15" w:type="dxa"/>
              <w:right w:w="15" w:type="dxa"/>
              <w:bottom w:w="15" w:type="dxa"/>
            </w:tcMar>
            <w:tcW w:w="1584"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More health, beauty, wellness tenants. </w:t>
            </w:r>
            <w:hyperlink r:id="rId72" w:tooltip="https://www.mordorintelligence.com/industry-reports/united-arab-emirates-food-products-market" w:history="1">
              <w:r>
                <w:rPr>
                  <w:rStyle w:val="186"/>
                  <w:rFonts w:ascii="Arial" w:hAnsi="Arial" w:eastAsia="Arial" w:cs="Arial"/>
                  <w:color w:val="0000ee"/>
                  <w:sz w:val="20"/>
                  <w:szCs w:val="20"/>
                  <w:u w:val="single"/>
                </w:rPr>
                <w:t xml:space="preserve">mordorintelligence</w:t>
              </w:r>
            </w:hyperlink>
            <w:r>
              <w:rPr>
                <w:rFonts w:ascii="Arial" w:hAnsi="Arial" w:eastAsia="Arial" w:cs="Arial"/>
                <w:sz w:val="20"/>
                <w:szCs w:val="20"/>
              </w:rPr>
            </w:r>
          </w:p>
        </w:tc>
        <w:tc>
          <w:tcPr>
            <w:tcBorders/>
            <w:tcMar>
              <w:left w:w="15" w:type="dxa"/>
              <w:top w:w="15" w:type="dxa"/>
              <w:right w:w="15" w:type="dxa"/>
              <w:bottom w:w="15" w:type="dxa"/>
            </w:tcMar>
            <w:tcW w:w="1610"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Organic, clean label, low-calorie, protein, specialty foods grow. </w:t>
            </w:r>
            <w:hyperlink r:id="rId73" w:tooltip="https://www.mordorintelligence.com/industry-reports/united-arab-emirates-food-products-market" w:history="1">
              <w:r>
                <w:rPr>
                  <w:rStyle w:val="186"/>
                  <w:rFonts w:ascii="Arial" w:hAnsi="Arial" w:eastAsia="Arial" w:cs="Arial"/>
                  <w:color w:val="0000ee"/>
                  <w:sz w:val="20"/>
                  <w:szCs w:val="20"/>
                  <w:u w:val="single"/>
                </w:rPr>
                <w:t xml:space="preserve">mordorintelligence</w:t>
              </w:r>
            </w:hyperlink>
            <w:r>
              <w:rPr>
                <w:rFonts w:ascii="Arial" w:hAnsi="Arial" w:eastAsia="Arial" w:cs="Arial"/>
                <w:sz w:val="20"/>
                <w:szCs w:val="20"/>
              </w:rPr>
            </w:r>
          </w:p>
        </w:tc>
      </w:tr>
      <w:tr>
        <w:trPr/>
        <w:tc>
          <w:tcPr>
            <w:tcBorders/>
            <w:tcMar>
              <w:left w:w="15" w:type="dxa"/>
              <w:top w:w="15" w:type="dxa"/>
              <w:right w:w="15" w:type="dxa"/>
              <w:bottom w:w="15" w:type="dxa"/>
            </w:tcMar>
            <w:tcW w:w="1111"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Hypermarket model</w:t>
            </w:r>
            <w:r>
              <w:rPr>
                <w:rFonts w:ascii="Arial" w:hAnsi="Arial" w:eastAsia="Arial" w:cs="Arial"/>
                <w:sz w:val="20"/>
                <w:szCs w:val="20"/>
              </w:rPr>
            </w:r>
          </w:p>
        </w:tc>
        <w:tc>
          <w:tcPr>
            <w:tcBorders/>
            <w:tcMar>
              <w:left w:w="15" w:type="dxa"/>
              <w:top w:w="15" w:type="dxa"/>
              <w:right w:w="15" w:type="dxa"/>
              <w:bottom w:w="15" w:type="dxa"/>
            </w:tcMar>
            <w:tcW w:w="1029"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Under pressure </w:t>
            </w:r>
            <w:hyperlink r:id="rId74" w:tooltip="https://www.eurocommerce.eu/2026/04/european-grocery-retail-models-are-in-motion-while-margins-remain-under-pressure/" w:history="1">
              <w:r>
                <w:rPr>
                  <w:rStyle w:val="186"/>
                  <w:rFonts w:ascii="Arial" w:hAnsi="Arial" w:eastAsia="Arial" w:cs="Arial"/>
                  <w:color w:val="0000ee"/>
                  <w:sz w:val="20"/>
                  <w:szCs w:val="20"/>
                  <w:u w:val="single"/>
                </w:rPr>
                <w:t xml:space="preserve">eurocommerce</w:t>
              </w:r>
            </w:hyperlink>
            <w:r>
              <w:rPr>
                <w:rFonts w:ascii="Arial" w:hAnsi="Arial" w:eastAsia="Arial" w:cs="Arial"/>
                <w:sz w:val="20"/>
                <w:szCs w:val="20"/>
              </w:rPr>
            </w:r>
          </w:p>
        </w:tc>
        <w:tc>
          <w:tcPr>
            <w:tcBorders/>
            <w:tcMar>
              <w:left w:w="15" w:type="dxa"/>
              <w:top w:w="15" w:type="dxa"/>
              <w:right w:w="15" w:type="dxa"/>
              <w:bottom w:w="15" w:type="dxa"/>
            </w:tcMar>
            <w:tcW w:w="802"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Mixed, but pressure remains </w:t>
            </w:r>
            <w:hyperlink r:id="rId75" w:tooltip="https://www.kesko.fi/en/media/news-and-releases/investor-news/2026/k-group-market-share-in-grocery-trade-took-an-upturn-in-the-latter-half-of-2025--full-year-market-share-33.5/" w:history="1">
              <w:r>
                <w:rPr>
                  <w:rStyle w:val="186"/>
                  <w:rFonts w:ascii="Arial" w:hAnsi="Arial" w:eastAsia="Arial" w:cs="Arial"/>
                  <w:color w:val="0000ee"/>
                  <w:sz w:val="20"/>
                  <w:szCs w:val="20"/>
                  <w:u w:val="single"/>
                </w:rPr>
                <w:t xml:space="preserve">kesko</w:t>
              </w:r>
            </w:hyperlink>
            <w:r>
              <w:rPr>
                <w:rFonts w:ascii="Arial" w:hAnsi="Arial" w:eastAsia="Arial" w:cs="Arial"/>
                <w:sz w:val="20"/>
                <w:szCs w:val="20"/>
              </w:rPr>
            </w:r>
          </w:p>
        </w:tc>
        <w:tc>
          <w:tcPr>
            <w:tcBorders/>
            <w:tcMar>
              <w:left w:w="15" w:type="dxa"/>
              <w:top w:w="15" w:type="dxa"/>
              <w:right w:w="15" w:type="dxa"/>
              <w:bottom w:w="15" w:type="dxa"/>
            </w:tcMar>
            <w:tcW w:w="1429"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More stable than EU </w:t>
            </w:r>
            <w:hyperlink r:id="rId76" w:tooltip="https://globalriskcommunity.com/notes/uae-retail-market" w:history="1">
              <w:r>
                <w:rPr>
                  <w:rStyle w:val="186"/>
                  <w:rFonts w:ascii="Arial" w:hAnsi="Arial" w:eastAsia="Arial" w:cs="Arial"/>
                  <w:color w:val="0000ee"/>
                  <w:sz w:val="20"/>
                  <w:szCs w:val="20"/>
                  <w:u w:val="single"/>
                </w:rPr>
                <w:t xml:space="preserve">globalriskcommunity</w:t>
              </w:r>
            </w:hyperlink>
            <w:r>
              <w:rPr>
                <w:rFonts w:ascii="Arial" w:hAnsi="Arial" w:eastAsia="Arial" w:cs="Arial"/>
                <w:sz w:val="20"/>
                <w:szCs w:val="20"/>
              </w:rPr>
            </w:r>
          </w:p>
        </w:tc>
        <w:tc>
          <w:tcPr>
            <w:tcBorders/>
            <w:tcMar>
              <w:left w:w="15" w:type="dxa"/>
              <w:top w:w="15" w:type="dxa"/>
              <w:right w:w="15" w:type="dxa"/>
              <w:bottom w:w="15" w:type="dxa"/>
            </w:tcMar>
            <w:tcW w:w="1795"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Consumers want convenience and faster missions. </w:t>
            </w:r>
            <w:hyperlink r:id="rId77" w:tooltip="https://www.eurocommerce.eu/2026/04/european-grocery-retail-models-are-in-motion-while-margins-remain-under-pressure/" w:history="1">
              <w:r>
                <w:rPr>
                  <w:rStyle w:val="186"/>
                  <w:rFonts w:ascii="Arial" w:hAnsi="Arial" w:eastAsia="Arial" w:cs="Arial"/>
                  <w:color w:val="0000ee"/>
                  <w:sz w:val="20"/>
                  <w:szCs w:val="20"/>
                  <w:u w:val="single"/>
                </w:rPr>
                <w:t xml:space="preserve">eurocommerce</w:t>
              </w:r>
            </w:hyperlink>
            <w:r>
              <w:rPr>
                <w:rFonts w:ascii="Arial" w:hAnsi="Arial" w:eastAsia="Arial" w:cs="Arial"/>
                <w:sz w:val="20"/>
                <w:szCs w:val="20"/>
              </w:rPr>
            </w:r>
          </w:p>
        </w:tc>
        <w:tc>
          <w:tcPr>
            <w:tcBorders/>
            <w:tcMar>
              <w:left w:w="15" w:type="dxa"/>
              <w:top w:w="15" w:type="dxa"/>
              <w:right w:w="15" w:type="dxa"/>
              <w:bottom w:w="15" w:type="dxa"/>
            </w:tcMar>
            <w:tcW w:w="1584"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Large anchors need more mixed-use support. </w:t>
            </w:r>
            <w:hyperlink r:id="rId78" w:tooltip="https://www.eurocommerce.eu/2026/04/european-grocery-retail-models-are-in-motion-while-margins-remain-under-pressure/" w:history="1">
              <w:r>
                <w:rPr>
                  <w:rStyle w:val="186"/>
                  <w:rFonts w:ascii="Arial" w:hAnsi="Arial" w:eastAsia="Arial" w:cs="Arial"/>
                  <w:color w:val="0000ee"/>
                  <w:sz w:val="20"/>
                  <w:szCs w:val="20"/>
                  <w:u w:val="single"/>
                </w:rPr>
                <w:t xml:space="preserve">eurocommerce</w:t>
              </w:r>
            </w:hyperlink>
            <w:r>
              <w:rPr>
                <w:rFonts w:ascii="Arial" w:hAnsi="Arial" w:eastAsia="Arial" w:cs="Arial"/>
                <w:sz w:val="20"/>
                <w:szCs w:val="20"/>
              </w:rPr>
            </w:r>
          </w:p>
        </w:tc>
        <w:tc>
          <w:tcPr>
            <w:tcBorders/>
            <w:tcMar>
              <w:left w:w="15" w:type="dxa"/>
              <w:top w:w="15" w:type="dxa"/>
              <w:right w:w="15" w:type="dxa"/>
              <w:bottom w:w="15" w:type="dxa"/>
            </w:tcMar>
            <w:tcW w:w="1610"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Big-box trips weaken relative to smaller formats. </w:t>
            </w:r>
            <w:hyperlink r:id="rId79" w:tooltip="https://www.eurocommerce.eu/2026/04/european-grocery-retail-models-are-in-motion-while-margins-remain-under-pressure/" w:history="1">
              <w:r>
                <w:rPr>
                  <w:rStyle w:val="186"/>
                  <w:rFonts w:ascii="Arial" w:hAnsi="Arial" w:eastAsia="Arial" w:cs="Arial"/>
                  <w:color w:val="0000ee"/>
                  <w:sz w:val="20"/>
                  <w:szCs w:val="20"/>
                  <w:u w:val="single"/>
                </w:rPr>
                <w:t xml:space="preserve">eurocommerce</w:t>
              </w:r>
            </w:hyperlink>
            <w:r>
              <w:rPr>
                <w:rFonts w:ascii="Arial" w:hAnsi="Arial" w:eastAsia="Arial" w:cs="Arial"/>
                <w:sz w:val="20"/>
                <w:szCs w:val="20"/>
              </w:rPr>
            </w:r>
          </w:p>
        </w:tc>
      </w:tr>
      <w:tr>
        <w:trPr/>
        <w:tc>
          <w:tcPr>
            <w:tcBorders/>
            <w:tcMar>
              <w:left w:w="15" w:type="dxa"/>
              <w:top w:w="15" w:type="dxa"/>
              <w:right w:w="15" w:type="dxa"/>
              <w:bottom w:w="15" w:type="dxa"/>
            </w:tcMar>
            <w:tcW w:w="1111"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Proximity / small formats</w:t>
            </w:r>
            <w:r>
              <w:rPr>
                <w:rFonts w:ascii="Arial" w:hAnsi="Arial" w:eastAsia="Arial" w:cs="Arial"/>
                <w:sz w:val="20"/>
                <w:szCs w:val="20"/>
              </w:rPr>
            </w:r>
          </w:p>
        </w:tc>
        <w:tc>
          <w:tcPr>
            <w:tcBorders/>
            <w:tcMar>
              <w:left w:w="15" w:type="dxa"/>
              <w:top w:w="15" w:type="dxa"/>
              <w:right w:w="15" w:type="dxa"/>
              <w:bottom w:w="15" w:type="dxa"/>
            </w:tcMar>
            <w:tcW w:w="1029"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Rising </w:t>
            </w:r>
            <w:hyperlink r:id="rId80" w:tooltip="https://www.eurocommerce.eu/2026/04/european-grocery-retail-models-are-in-motion-while-margins-remain-under-pressure/" w:history="1">
              <w:r>
                <w:rPr>
                  <w:rStyle w:val="186"/>
                  <w:rFonts w:ascii="Arial" w:hAnsi="Arial" w:eastAsia="Arial" w:cs="Arial"/>
                  <w:color w:val="0000ee"/>
                  <w:sz w:val="20"/>
                  <w:szCs w:val="20"/>
                  <w:u w:val="single"/>
                </w:rPr>
                <w:t xml:space="preserve">eurocommerce</w:t>
              </w:r>
            </w:hyperlink>
            <w:r>
              <w:rPr>
                <w:rFonts w:ascii="Arial" w:hAnsi="Arial" w:eastAsia="Arial" w:cs="Arial"/>
                <w:sz w:val="20"/>
                <w:szCs w:val="20"/>
              </w:rPr>
            </w:r>
          </w:p>
        </w:tc>
        <w:tc>
          <w:tcPr>
            <w:tcBorders/>
            <w:tcMar>
              <w:left w:w="15" w:type="dxa"/>
              <w:top w:w="15" w:type="dxa"/>
              <w:right w:w="15" w:type="dxa"/>
              <w:bottom w:w="15" w:type="dxa"/>
            </w:tcMar>
            <w:tcW w:w="802"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Rising </w:t>
            </w:r>
            <w:hyperlink r:id="rId81" w:tooltip="https://www.kesko.fi/en/media/news-and-releases/investor-news/2026/keskos-strategy-in-grocery-trade-working--k-group-market-share-takes-an-upturn/" w:history="1">
              <w:r>
                <w:rPr>
                  <w:rStyle w:val="186"/>
                  <w:rFonts w:ascii="Arial" w:hAnsi="Arial" w:eastAsia="Arial" w:cs="Arial"/>
                  <w:color w:val="0000ee"/>
                  <w:sz w:val="20"/>
                  <w:szCs w:val="20"/>
                  <w:u w:val="single"/>
                </w:rPr>
                <w:t xml:space="preserve">kesko</w:t>
              </w:r>
            </w:hyperlink>
            <w:r>
              <w:rPr>
                <w:rFonts w:ascii="Arial" w:hAnsi="Arial" w:eastAsia="Arial" w:cs="Arial"/>
                <w:sz w:val="20"/>
                <w:szCs w:val="20"/>
              </w:rPr>
            </w:r>
          </w:p>
        </w:tc>
        <w:tc>
          <w:tcPr>
            <w:tcBorders/>
            <w:tcMar>
              <w:left w:w="15" w:type="dxa"/>
              <w:top w:w="15" w:type="dxa"/>
              <w:right w:w="15" w:type="dxa"/>
              <w:bottom w:w="15" w:type="dxa"/>
            </w:tcMar>
            <w:tcW w:w="1429"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Rising </w:t>
            </w:r>
            <w:hyperlink r:id="rId82" w:tooltip="https://globalriskcommunity.com/notes/uae-retail-market" w:history="1">
              <w:r>
                <w:rPr>
                  <w:rStyle w:val="186"/>
                  <w:rFonts w:ascii="Arial" w:hAnsi="Arial" w:eastAsia="Arial" w:cs="Arial"/>
                  <w:color w:val="0000ee"/>
                  <w:sz w:val="20"/>
                  <w:szCs w:val="20"/>
                  <w:u w:val="single"/>
                </w:rPr>
                <w:t xml:space="preserve">globalriskcommunity</w:t>
              </w:r>
            </w:hyperlink>
            <w:r>
              <w:rPr>
                <w:rFonts w:ascii="Arial" w:hAnsi="Arial" w:eastAsia="Arial" w:cs="Arial"/>
                <w:sz w:val="20"/>
                <w:szCs w:val="20"/>
              </w:rPr>
            </w:r>
          </w:p>
        </w:tc>
        <w:tc>
          <w:tcPr>
            <w:tcBorders/>
            <w:tcMar>
              <w:left w:w="15" w:type="dxa"/>
              <w:top w:w="15" w:type="dxa"/>
              <w:right w:w="15" w:type="dxa"/>
              <w:bottom w:w="15" w:type="dxa"/>
            </w:tcMar>
            <w:tcW w:w="1795"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Consumers favor speed, location, and top-up trips. eurocommerce+1</w:t>
            </w:r>
            <w:r>
              <w:rPr>
                <w:rFonts w:ascii="Arial" w:hAnsi="Arial" w:eastAsia="Arial" w:cs="Arial"/>
                <w:sz w:val="20"/>
                <w:szCs w:val="20"/>
              </w:rPr>
            </w:r>
          </w:p>
        </w:tc>
        <w:tc>
          <w:tcPr>
            <w:tcBorders/>
            <w:tcMar>
              <w:left w:w="15" w:type="dxa"/>
              <w:top w:w="15" w:type="dxa"/>
              <w:right w:w="15" w:type="dxa"/>
              <w:bottom w:w="15" w:type="dxa"/>
            </w:tcMar>
            <w:tcW w:w="1584"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Neighborhood and transit retail gain value. </w:t>
            </w:r>
            <w:hyperlink r:id="rId83" w:tooltip="https://www.eurocommerce.eu/2026/04/european-grocery-retail-models-are-in-motion-while-margins-remain-under-pressure/" w:history="1">
              <w:r>
                <w:rPr>
                  <w:rStyle w:val="186"/>
                  <w:rFonts w:ascii="Arial" w:hAnsi="Arial" w:eastAsia="Arial" w:cs="Arial"/>
                  <w:color w:val="0000ee"/>
                  <w:sz w:val="20"/>
                  <w:szCs w:val="20"/>
                  <w:u w:val="single"/>
                </w:rPr>
                <w:t xml:space="preserve">eurocommerce</w:t>
              </w:r>
            </w:hyperlink>
            <w:r>
              <w:rPr>
                <w:rFonts w:ascii="Arial" w:hAnsi="Arial" w:eastAsia="Arial" w:cs="Arial"/>
                <w:sz w:val="20"/>
                <w:szCs w:val="20"/>
              </w:rPr>
            </w:r>
          </w:p>
        </w:tc>
        <w:tc>
          <w:tcPr>
            <w:tcBorders/>
            <w:tcMar>
              <w:left w:w="15" w:type="dxa"/>
              <w:top w:w="15" w:type="dxa"/>
              <w:right w:w="15" w:type="dxa"/>
              <w:bottom w:w="15" w:type="dxa"/>
            </w:tcMar>
            <w:tcW w:w="1610"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Smaller stores, faster trips, curated ranges gain share. </w:t>
            </w:r>
            <w:hyperlink r:id="rId84" w:tooltip="https://www.eurocommerce.eu/2026/04/european-grocery-retail-models-are-in-motion-while-margins-remain-under-pressure/" w:history="1">
              <w:r>
                <w:rPr>
                  <w:rStyle w:val="186"/>
                  <w:rFonts w:ascii="Arial" w:hAnsi="Arial" w:eastAsia="Arial" w:cs="Arial"/>
                  <w:color w:val="0000ee"/>
                  <w:sz w:val="20"/>
                  <w:szCs w:val="20"/>
                  <w:u w:val="single"/>
                </w:rPr>
                <w:t xml:space="preserve">eurocommerce</w:t>
              </w:r>
            </w:hyperlink>
            <w:r>
              <w:rPr>
                <w:rFonts w:ascii="Arial" w:hAnsi="Arial" w:eastAsia="Arial" w:cs="Arial"/>
                <w:sz w:val="20"/>
                <w:szCs w:val="20"/>
              </w:rPr>
            </w:r>
          </w:p>
        </w:tc>
      </w:tr>
      <w:tr>
        <w:trPr/>
        <w:tc>
          <w:tcPr>
            <w:tcBorders/>
            <w:tcMar>
              <w:left w:w="15" w:type="dxa"/>
              <w:top w:w="15" w:type="dxa"/>
              <w:right w:w="15" w:type="dxa"/>
              <w:bottom w:w="15" w:type="dxa"/>
            </w:tcMar>
            <w:tcW w:w="1111"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E-commerce grocery</w:t>
            </w:r>
            <w:r>
              <w:rPr>
                <w:rFonts w:ascii="Arial" w:hAnsi="Arial" w:eastAsia="Arial" w:cs="Arial"/>
                <w:sz w:val="20"/>
                <w:szCs w:val="20"/>
              </w:rPr>
            </w:r>
          </w:p>
        </w:tc>
        <w:tc>
          <w:tcPr>
            <w:tcBorders/>
            <w:tcMar>
              <w:left w:w="15" w:type="dxa"/>
              <w:top w:w="15" w:type="dxa"/>
              <w:right w:w="15" w:type="dxa"/>
              <w:bottom w:w="15" w:type="dxa"/>
            </w:tcMar>
            <w:tcW w:w="1029"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Rising but uneven </w:t>
            </w:r>
            <w:hyperlink r:id="rId85" w:tooltip="https://www.eurocommerce.eu/2026/04/european-grocery-retail-models-are-in-motion-while-margins-remain-under-pressure/" w:history="1">
              <w:r>
                <w:rPr>
                  <w:rStyle w:val="186"/>
                  <w:rFonts w:ascii="Arial" w:hAnsi="Arial" w:eastAsia="Arial" w:cs="Arial"/>
                  <w:color w:val="0000ee"/>
                  <w:sz w:val="20"/>
                  <w:szCs w:val="20"/>
                  <w:u w:val="single"/>
                </w:rPr>
                <w:t xml:space="preserve">eurocommerce</w:t>
              </w:r>
            </w:hyperlink>
            <w:r>
              <w:rPr>
                <w:rFonts w:ascii="Arial" w:hAnsi="Arial" w:eastAsia="Arial" w:cs="Arial"/>
                <w:sz w:val="20"/>
                <w:szCs w:val="20"/>
              </w:rPr>
            </w:r>
          </w:p>
        </w:tc>
        <w:tc>
          <w:tcPr>
            <w:tcBorders/>
            <w:tcMar>
              <w:left w:w="15" w:type="dxa"/>
              <w:top w:w="15" w:type="dxa"/>
              <w:right w:w="15" w:type="dxa"/>
              <w:bottom w:w="15" w:type="dxa"/>
            </w:tcMar>
            <w:tcW w:w="802"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Rising </w:t>
            </w:r>
            <w:hyperlink r:id="rId86" w:tooltip="https://www.kesko.fi/en/media/news-and-releases/investor-news/2026/keskos-strategy-in-grocery-trade-working--k-group-market-share-takes-an-upturn/" w:history="1">
              <w:r>
                <w:rPr>
                  <w:rStyle w:val="186"/>
                  <w:rFonts w:ascii="Arial" w:hAnsi="Arial" w:eastAsia="Arial" w:cs="Arial"/>
                  <w:color w:val="0000ee"/>
                  <w:sz w:val="20"/>
                  <w:szCs w:val="20"/>
                  <w:u w:val="single"/>
                </w:rPr>
                <w:t xml:space="preserve">kesko</w:t>
              </w:r>
            </w:hyperlink>
            <w:r>
              <w:rPr>
                <w:rFonts w:ascii="Arial" w:hAnsi="Arial" w:eastAsia="Arial" w:cs="Arial"/>
                <w:sz w:val="20"/>
                <w:szCs w:val="20"/>
              </w:rPr>
            </w:r>
          </w:p>
        </w:tc>
        <w:tc>
          <w:tcPr>
            <w:tcBorders/>
            <w:tcMar>
              <w:left w:w="15" w:type="dxa"/>
              <w:top w:w="15" w:type="dxa"/>
              <w:right w:w="15" w:type="dxa"/>
              <w:bottom w:w="15" w:type="dxa"/>
            </w:tcMar>
            <w:tcW w:w="1429"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Accelerating globalriskcommunity+1</w:t>
            </w:r>
            <w:r>
              <w:rPr>
                <w:rFonts w:ascii="Arial" w:hAnsi="Arial" w:eastAsia="Arial" w:cs="Arial"/>
                <w:sz w:val="20"/>
                <w:szCs w:val="20"/>
              </w:rPr>
            </w:r>
          </w:p>
        </w:tc>
        <w:tc>
          <w:tcPr>
            <w:tcBorders/>
            <w:tcMar>
              <w:left w:w="15" w:type="dxa"/>
              <w:top w:w="15" w:type="dxa"/>
              <w:right w:w="15" w:type="dxa"/>
              <w:bottom w:w="15" w:type="dxa"/>
            </w:tcMar>
            <w:tcW w:w="1795"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Convenience and delivery expectations keep increasing. eurocommerce+1</w:t>
            </w:r>
            <w:r>
              <w:rPr>
                <w:rFonts w:ascii="Arial" w:hAnsi="Arial" w:eastAsia="Arial" w:cs="Arial"/>
                <w:sz w:val="20"/>
                <w:szCs w:val="20"/>
              </w:rPr>
            </w:r>
          </w:p>
        </w:tc>
        <w:tc>
          <w:tcPr>
            <w:tcBorders/>
            <w:tcMar>
              <w:left w:w="15" w:type="dxa"/>
              <w:top w:w="15" w:type="dxa"/>
              <w:right w:w="15" w:type="dxa"/>
              <w:bottom w:w="15" w:type="dxa"/>
            </w:tcMar>
            <w:tcW w:w="1584"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Malls need omnichannel pickup and service integration. </w:t>
            </w:r>
            <w:hyperlink r:id="rId87" w:tooltip="https://globalriskcommunity.com/notes/uae-retail-market" w:history="1">
              <w:r>
                <w:rPr>
                  <w:rStyle w:val="186"/>
                  <w:rFonts w:ascii="Arial" w:hAnsi="Arial" w:eastAsia="Arial" w:cs="Arial"/>
                  <w:color w:val="0000ee"/>
                  <w:sz w:val="20"/>
                  <w:szCs w:val="20"/>
                  <w:u w:val="single"/>
                </w:rPr>
                <w:t xml:space="preserve">globalriskcommunity</w:t>
              </w:r>
            </w:hyperlink>
            <w:r>
              <w:rPr>
                <w:rFonts w:ascii="Arial" w:hAnsi="Arial" w:eastAsia="Arial" w:cs="Arial"/>
                <w:sz w:val="20"/>
                <w:szCs w:val="20"/>
              </w:rPr>
            </w:r>
          </w:p>
        </w:tc>
        <w:tc>
          <w:tcPr>
            <w:tcBorders/>
            <w:tcMar>
              <w:left w:w="15" w:type="dxa"/>
              <w:top w:w="15" w:type="dxa"/>
              <w:right w:w="15" w:type="dxa"/>
              <w:bottom w:w="15" w:type="dxa"/>
            </w:tcMar>
            <w:tcW w:w="1610"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Delivery, click-and-collect, app-based ordering become standard. adat+1</w:t>
            </w:r>
            <w:r>
              <w:rPr>
                <w:rFonts w:ascii="Arial" w:hAnsi="Arial" w:eastAsia="Arial" w:cs="Arial"/>
                <w:sz w:val="20"/>
                <w:szCs w:val="20"/>
              </w:rPr>
            </w:r>
          </w:p>
        </w:tc>
      </w:tr>
      <w:tr>
        <w:trPr/>
        <w:tc>
          <w:tcPr>
            <w:tcBorders/>
            <w:tcMar>
              <w:left w:w="15" w:type="dxa"/>
              <w:top w:w="15" w:type="dxa"/>
              <w:right w:w="15" w:type="dxa"/>
              <w:bottom w:w="15" w:type="dxa"/>
            </w:tcMar>
            <w:tcW w:w="1111"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Sustainability</w:t>
            </w:r>
            <w:r>
              <w:rPr>
                <w:rFonts w:ascii="Arial" w:hAnsi="Arial" w:eastAsia="Arial" w:cs="Arial"/>
                <w:sz w:val="20"/>
                <w:szCs w:val="20"/>
              </w:rPr>
            </w:r>
          </w:p>
        </w:tc>
        <w:tc>
          <w:tcPr>
            <w:tcBorders/>
            <w:tcMar>
              <w:left w:w="15" w:type="dxa"/>
              <w:top w:w="15" w:type="dxa"/>
              <w:right w:w="15" w:type="dxa"/>
              <w:bottom w:w="15" w:type="dxa"/>
            </w:tcMar>
            <w:tcW w:w="1029"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Stable, price-limited </w:t>
            </w:r>
            <w:hyperlink r:id="rId88" w:tooltip="https://www.eurocommerce.eu/2026/04/european-grocery-retail-models-are-in-motion-while-margins-remain-under-pressure/" w:history="1">
              <w:r>
                <w:rPr>
                  <w:rStyle w:val="186"/>
                  <w:rFonts w:ascii="Arial" w:hAnsi="Arial" w:eastAsia="Arial" w:cs="Arial"/>
                  <w:color w:val="0000ee"/>
                  <w:sz w:val="20"/>
                  <w:szCs w:val="20"/>
                  <w:u w:val="single"/>
                </w:rPr>
                <w:t xml:space="preserve">eurocommerce</w:t>
              </w:r>
            </w:hyperlink>
            <w:r>
              <w:rPr>
                <w:rFonts w:ascii="Arial" w:hAnsi="Arial" w:eastAsia="Arial" w:cs="Arial"/>
                <w:sz w:val="20"/>
                <w:szCs w:val="20"/>
              </w:rPr>
            </w:r>
          </w:p>
        </w:tc>
        <w:tc>
          <w:tcPr>
            <w:tcBorders/>
            <w:tcMar>
              <w:left w:w="15" w:type="dxa"/>
              <w:top w:w="15" w:type="dxa"/>
              <w:right w:w="15" w:type="dxa"/>
              <w:bottom w:w="15" w:type="dxa"/>
            </w:tcMar>
            <w:tcW w:w="802"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Stable, practical not premium-led </w:t>
            </w:r>
            <w:hyperlink r:id="rId89" w:tooltip="https://www.kesko.fi/en/media/news-and-releases/investor-news/2026/keskos-strategy-in-grocery-trade-working--k-group-market-share-takes-an-upturn/" w:history="1">
              <w:r>
                <w:rPr>
                  <w:rStyle w:val="186"/>
                  <w:rFonts w:ascii="Arial" w:hAnsi="Arial" w:eastAsia="Arial" w:cs="Arial"/>
                  <w:color w:val="0000ee"/>
                  <w:sz w:val="20"/>
                  <w:szCs w:val="20"/>
                  <w:u w:val="single"/>
                </w:rPr>
                <w:t xml:space="preserve">kesko</w:t>
              </w:r>
            </w:hyperlink>
            <w:r>
              <w:rPr>
                <w:rFonts w:ascii="Arial" w:hAnsi="Arial" w:eastAsia="Arial" w:cs="Arial"/>
                <w:sz w:val="20"/>
                <w:szCs w:val="20"/>
              </w:rPr>
            </w:r>
          </w:p>
        </w:tc>
        <w:tc>
          <w:tcPr>
            <w:tcBorders/>
            <w:tcMar>
              <w:left w:w="15" w:type="dxa"/>
              <w:top w:w="15" w:type="dxa"/>
              <w:right w:w="15" w:type="dxa"/>
              <w:bottom w:w="15" w:type="dxa"/>
            </w:tcMar>
            <w:tcW w:w="1429"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Rising through trust and labeling </w:t>
            </w:r>
            <w:hyperlink r:id="rId90" w:tooltip="https://www.mordorintelligence.com/industry-reports/united-arab-emirates-food-products-market" w:history="1">
              <w:r>
                <w:rPr>
                  <w:rStyle w:val="186"/>
                  <w:rFonts w:ascii="Arial" w:hAnsi="Arial" w:eastAsia="Arial" w:cs="Arial"/>
                  <w:color w:val="0000ee"/>
                  <w:sz w:val="20"/>
                  <w:szCs w:val="20"/>
                  <w:u w:val="single"/>
                </w:rPr>
                <w:t xml:space="preserve">mordorintelligence</w:t>
              </w:r>
            </w:hyperlink>
            <w:r>
              <w:rPr>
                <w:rFonts w:ascii="Arial" w:hAnsi="Arial" w:eastAsia="Arial" w:cs="Arial"/>
                <w:sz w:val="20"/>
                <w:szCs w:val="20"/>
              </w:rPr>
            </w:r>
          </w:p>
        </w:tc>
        <w:tc>
          <w:tcPr>
            <w:tcBorders/>
            <w:tcMar>
              <w:left w:w="15" w:type="dxa"/>
              <w:top w:w="15" w:type="dxa"/>
              <w:right w:w="15" w:type="dxa"/>
              <w:bottom w:w="15" w:type="dxa"/>
            </w:tcMar>
            <w:tcW w:w="1795"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Consumers like it, but price still limits uptake. mordorintelligence+1</w:t>
            </w:r>
            <w:r>
              <w:rPr>
                <w:rFonts w:ascii="Arial" w:hAnsi="Arial" w:eastAsia="Arial" w:cs="Arial"/>
                <w:sz w:val="20"/>
                <w:szCs w:val="20"/>
              </w:rPr>
            </w:r>
          </w:p>
        </w:tc>
        <w:tc>
          <w:tcPr>
            <w:tcBorders/>
            <w:tcMar>
              <w:left w:w="15" w:type="dxa"/>
              <w:top w:w="15" w:type="dxa"/>
              <w:right w:w="15" w:type="dxa"/>
              <w:bottom w:w="15" w:type="dxa"/>
            </w:tcMar>
            <w:tcW w:w="1584"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ESG matters more to landlords and brands than to impulse traffic. </w:t>
            </w:r>
            <w:hyperlink r:id="rId91" w:tooltip="https://www.eurocommerce.eu/2026/04/european-grocery-retail-models-are-in-motion-while-margins-remain-under-pressure/" w:history="1">
              <w:r>
                <w:rPr>
                  <w:rStyle w:val="186"/>
                  <w:rFonts w:ascii="Arial" w:hAnsi="Arial" w:eastAsia="Arial" w:cs="Arial"/>
                  <w:color w:val="0000ee"/>
                  <w:sz w:val="20"/>
                  <w:szCs w:val="20"/>
                  <w:u w:val="single"/>
                </w:rPr>
                <w:t xml:space="preserve">eurocommerce</w:t>
              </w:r>
            </w:hyperlink>
            <w:r>
              <w:rPr>
                <w:rFonts w:ascii="Arial" w:hAnsi="Arial" w:eastAsia="Arial" w:cs="Arial"/>
                <w:sz w:val="20"/>
                <w:szCs w:val="20"/>
              </w:rPr>
            </w:r>
          </w:p>
        </w:tc>
        <w:tc>
          <w:tcPr>
            <w:tcBorders/>
            <w:tcMar>
              <w:left w:w="15" w:type="dxa"/>
              <w:top w:w="15" w:type="dxa"/>
              <w:right w:w="15" w:type="dxa"/>
              <w:bottom w:w="15" w:type="dxa"/>
            </w:tcMar>
            <w:tcW w:w="1610"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Works best when tied to trust, localism, or value. </w:t>
            </w:r>
            <w:hyperlink r:id="rId92" w:tooltip="https://www.mordorintelligence.com/industry-reports/united-arab-emirates-food-products-market" w:history="1">
              <w:r>
                <w:rPr>
                  <w:rStyle w:val="186"/>
                  <w:rFonts w:ascii="Arial" w:hAnsi="Arial" w:eastAsia="Arial" w:cs="Arial"/>
                  <w:color w:val="0000ee"/>
                  <w:sz w:val="20"/>
                  <w:szCs w:val="20"/>
                  <w:u w:val="single"/>
                </w:rPr>
                <w:t xml:space="preserve">mordorintelligence</w:t>
              </w:r>
            </w:hyperlink>
            <w:r>
              <w:rPr>
                <w:rFonts w:ascii="Arial" w:hAnsi="Arial" w:eastAsia="Arial" w:cs="Arial"/>
                <w:sz w:val="20"/>
                <w:szCs w:val="20"/>
              </w:rPr>
            </w:r>
          </w:p>
        </w:tc>
      </w:tr>
      <w:tr>
        <w:trPr/>
        <w:tc>
          <w:tcPr>
            <w:tcBorders/>
            <w:tcMar>
              <w:left w:w="15" w:type="dxa"/>
              <w:top w:w="15" w:type="dxa"/>
              <w:right w:w="15" w:type="dxa"/>
              <w:bottom w:w="15" w:type="dxa"/>
            </w:tcMar>
            <w:tcW w:w="1111"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Experiential retail</w:t>
            </w:r>
            <w:r>
              <w:rPr>
                <w:rFonts w:ascii="Arial" w:hAnsi="Arial" w:eastAsia="Arial" w:cs="Arial"/>
                <w:sz w:val="20"/>
                <w:szCs w:val="20"/>
              </w:rPr>
            </w:r>
          </w:p>
        </w:tc>
        <w:tc>
          <w:tcPr>
            <w:tcBorders/>
            <w:tcMar>
              <w:left w:w="15" w:type="dxa"/>
              <w:top w:w="15" w:type="dxa"/>
              <w:right w:w="15" w:type="dxa"/>
              <w:bottom w:w="15" w:type="dxa"/>
            </w:tcMar>
            <w:tcW w:w="1029"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Rising </w:t>
            </w:r>
            <w:hyperlink r:id="rId93" w:tooltip="https://www.eurocommerce.eu/2026/04/european-grocery-retail-models-are-in-motion-while-margins-remain-under-pressure/" w:history="1">
              <w:r>
                <w:rPr>
                  <w:rStyle w:val="186"/>
                  <w:rFonts w:ascii="Arial" w:hAnsi="Arial" w:eastAsia="Arial" w:cs="Arial"/>
                  <w:color w:val="0000ee"/>
                  <w:sz w:val="20"/>
                  <w:szCs w:val="20"/>
                  <w:u w:val="single"/>
                </w:rPr>
                <w:t xml:space="preserve">eurocommerce</w:t>
              </w:r>
            </w:hyperlink>
            <w:r>
              <w:rPr>
                <w:rFonts w:ascii="Arial" w:hAnsi="Arial" w:eastAsia="Arial" w:cs="Arial"/>
                <w:sz w:val="20"/>
                <w:szCs w:val="20"/>
              </w:rPr>
            </w:r>
          </w:p>
        </w:tc>
        <w:tc>
          <w:tcPr>
            <w:tcBorders/>
            <w:tcMar>
              <w:left w:w="15" w:type="dxa"/>
              <w:top w:w="15" w:type="dxa"/>
              <w:right w:w="15" w:type="dxa"/>
              <w:bottom w:w="15" w:type="dxa"/>
            </w:tcMar>
            <w:tcW w:w="802"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Early stage </w:t>
            </w:r>
            <w:hyperlink r:id="rId94" w:tooltip="https://www.kesko.fi/en/media/news-and-releases/investor-news/2026/keskos-strategy-in-grocery-trade-working--k-group-market-share-takes-an-upturn/" w:history="1">
              <w:r>
                <w:rPr>
                  <w:rStyle w:val="186"/>
                  <w:rFonts w:ascii="Arial" w:hAnsi="Arial" w:eastAsia="Arial" w:cs="Arial"/>
                  <w:color w:val="0000ee"/>
                  <w:sz w:val="20"/>
                  <w:szCs w:val="20"/>
                  <w:u w:val="single"/>
                </w:rPr>
                <w:t xml:space="preserve">kesko</w:t>
              </w:r>
            </w:hyperlink>
            <w:r>
              <w:rPr>
                <w:rFonts w:ascii="Arial" w:hAnsi="Arial" w:eastAsia="Arial" w:cs="Arial"/>
                <w:sz w:val="20"/>
                <w:szCs w:val="20"/>
              </w:rPr>
            </w:r>
          </w:p>
        </w:tc>
        <w:tc>
          <w:tcPr>
            <w:tcBorders/>
            <w:tcMar>
              <w:left w:w="15" w:type="dxa"/>
              <w:top w:w="15" w:type="dxa"/>
              <w:right w:w="15" w:type="dxa"/>
              <w:bottom w:w="15" w:type="dxa"/>
            </w:tcMar>
            <w:tcW w:w="1429"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Accelerating </w:t>
            </w:r>
            <w:hyperlink r:id="rId95" w:tooltip="https://globalriskcommunity.com/notes/uae-retail-market" w:history="1">
              <w:r>
                <w:rPr>
                  <w:rStyle w:val="186"/>
                  <w:rFonts w:ascii="Arial" w:hAnsi="Arial" w:eastAsia="Arial" w:cs="Arial"/>
                  <w:color w:val="0000ee"/>
                  <w:sz w:val="20"/>
                  <w:szCs w:val="20"/>
                  <w:u w:val="single"/>
                </w:rPr>
                <w:t xml:space="preserve">globalriskcommunity</w:t>
              </w:r>
            </w:hyperlink>
            <w:r>
              <w:rPr>
                <w:rFonts w:ascii="Arial" w:hAnsi="Arial" w:eastAsia="Arial" w:cs="Arial"/>
                <w:sz w:val="20"/>
                <w:szCs w:val="20"/>
              </w:rPr>
            </w:r>
          </w:p>
        </w:tc>
        <w:tc>
          <w:tcPr>
            <w:tcBorders/>
            <w:tcMar>
              <w:left w:w="15" w:type="dxa"/>
              <w:top w:w="15" w:type="dxa"/>
              <w:right w:w="15" w:type="dxa"/>
              <w:bottom w:w="15" w:type="dxa"/>
            </w:tcMar>
            <w:tcW w:w="1795"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Physical retail needs reasons beyond transactions. eurocommerce+1</w:t>
            </w:r>
            <w:r>
              <w:rPr>
                <w:rFonts w:ascii="Arial" w:hAnsi="Arial" w:eastAsia="Arial" w:cs="Arial"/>
                <w:sz w:val="20"/>
                <w:szCs w:val="20"/>
              </w:rPr>
            </w:r>
          </w:p>
        </w:tc>
        <w:tc>
          <w:tcPr>
            <w:tcBorders/>
            <w:tcMar>
              <w:left w:w="15" w:type="dxa"/>
              <w:top w:w="15" w:type="dxa"/>
              <w:right w:w="15" w:type="dxa"/>
              <w:bottom w:w="15" w:type="dxa"/>
            </w:tcMar>
            <w:tcW w:w="1584"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Events, dining, family leisure, and seasonal campaigns drive visits. </w:t>
            </w:r>
            <w:hyperlink r:id="rId96" w:tooltip="https://globalriskcommunity.com/notes/uae-retail-market" w:history="1">
              <w:r>
                <w:rPr>
                  <w:rStyle w:val="186"/>
                  <w:rFonts w:ascii="Arial" w:hAnsi="Arial" w:eastAsia="Arial" w:cs="Arial"/>
                  <w:color w:val="0000ee"/>
                  <w:sz w:val="20"/>
                  <w:szCs w:val="20"/>
                  <w:u w:val="single"/>
                </w:rPr>
                <w:t xml:space="preserve">globalriskcommunity</w:t>
              </w:r>
            </w:hyperlink>
            <w:r>
              <w:rPr>
                <w:rFonts w:ascii="Arial" w:hAnsi="Arial" w:eastAsia="Arial" w:cs="Arial"/>
                <w:sz w:val="20"/>
                <w:szCs w:val="20"/>
              </w:rPr>
            </w:r>
          </w:p>
        </w:tc>
        <w:tc>
          <w:tcPr>
            <w:tcBorders/>
            <w:tcMar>
              <w:left w:w="15" w:type="dxa"/>
              <w:top w:w="15" w:type="dxa"/>
              <w:right w:w="15" w:type="dxa"/>
              <w:bottom w:w="15" w:type="dxa"/>
            </w:tcMar>
            <w:tcW w:w="1610"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Grocery benefits when attached to lifestyle, foodservice, and convenience ecosystems. </w:t>
            </w:r>
            <w:hyperlink r:id="rId97" w:tooltip="https://globalriskcommunity.com/notes/uae-retail-market" w:history="1">
              <w:r>
                <w:rPr>
                  <w:rStyle w:val="186"/>
                  <w:rFonts w:ascii="Arial" w:hAnsi="Arial" w:eastAsia="Arial" w:cs="Arial"/>
                  <w:color w:val="0000ee"/>
                  <w:sz w:val="20"/>
                  <w:szCs w:val="20"/>
                  <w:u w:val="single"/>
                </w:rPr>
                <w:t xml:space="preserve">globalriskcommunity</w:t>
              </w:r>
            </w:hyperlink>
            <w:r>
              <w:rPr>
                <w:rFonts w:ascii="Arial" w:hAnsi="Arial" w:eastAsia="Arial" w:cs="Arial"/>
                <w:sz w:val="20"/>
                <w:szCs w:val="20"/>
              </w:rPr>
            </w:r>
          </w:p>
        </w:tc>
      </w:tr>
    </w:tbl>
    <w:p>
      <w:pPr>
        <w:pStyle w:val="139"/>
        <w:pBdr>
          <w:top w:val="none" w:color="000000" w:sz="4" w:space="0"/>
          <w:left w:val="none" w:color="000000" w:sz="4" w:space="0"/>
          <w:bottom w:val="none" w:color="000000" w:sz="4" w:space="0"/>
          <w:right w:val="none" w:color="000000" w:sz="4" w:space="0"/>
        </w:pBdr>
        <w:spacing/>
        <w:ind w:right="0" w:firstLine="0" w:left="0"/>
        <w:rPr>
          <w:rFonts w:ascii="Arial" w:hAnsi="Arial" w:cs="Arial"/>
          <w:sz w:val="20"/>
          <w:szCs w:val="20"/>
        </w:rPr>
      </w:pPr>
      <w:r>
        <w:rPr>
          <w:rFonts w:ascii="Arial" w:hAnsi="Arial" w:eastAsia="Arial" w:cs="Arial"/>
          <w:b/>
          <w:color w:val="000000"/>
          <w:sz w:val="20"/>
          <w:szCs w:val="20"/>
        </w:rPr>
        <w:t xml:space="preserve">EU trends</w:t>
      </w:r>
      <w:r>
        <w:rPr>
          <w:rFonts w:ascii="Arial" w:hAnsi="Arial" w:eastAsia="Arial" w:cs="Arial"/>
          <w:sz w:val="20"/>
          <w:szCs w:val="20"/>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0"/>
          <w:szCs w:val="20"/>
        </w:rPr>
      </w:pPr>
      <w:r>
        <w:rPr>
          <w:rFonts w:ascii="Arial" w:hAnsi="Arial" w:eastAsia="Arial" w:cs="Arial"/>
          <w:color w:val="000000"/>
          <w:sz w:val="20"/>
          <w:szCs w:val="20"/>
        </w:rPr>
        <w:t xml:space="preserve">In Europe, the biggest story is a </w:t>
      </w:r>
      <w:r>
        <w:rPr>
          <w:rFonts w:ascii="Arial" w:hAnsi="Arial" w:eastAsia="Arial" w:cs="Arial"/>
          <w:b/>
          <w:color w:val="000000"/>
          <w:sz w:val="20"/>
          <w:szCs w:val="20"/>
        </w:rPr>
        <w:t xml:space="preserve">fragile recovery</w:t>
      </w:r>
      <w:r>
        <w:rPr>
          <w:rFonts w:ascii="Arial" w:hAnsi="Arial" w:eastAsia="Arial" w:cs="Arial"/>
          <w:color w:val="000000"/>
          <w:sz w:val="20"/>
          <w:szCs w:val="20"/>
        </w:rPr>
        <w:t xml:space="preserve"> rather than a return to easy growth. Consumer spending is improving, but it remains vulnerable, and grocery CEOs still see margin pressure and muted medium-term growth. That is why the winners are retailers that can serve both bargain-seeking and selectiv</w:t>
      </w:r>
      <w:r>
        <w:rPr>
          <w:rFonts w:ascii="Arial" w:hAnsi="Arial" w:eastAsia="Arial" w:cs="Arial"/>
          <w:color w:val="000000"/>
          <w:sz w:val="20"/>
          <w:szCs w:val="20"/>
        </w:rPr>
        <w:t xml:space="preserve">e premium demand at the same time.eurocommerce+2</w:t>
      </w:r>
      <w:r>
        <w:rPr>
          <w:rFonts w:ascii="Arial" w:hAnsi="Arial" w:eastAsia="Arial" w:cs="Arial"/>
          <w:sz w:val="20"/>
          <w:szCs w:val="20"/>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0"/>
          <w:szCs w:val="20"/>
        </w:rPr>
      </w:pPr>
      <w:r>
        <w:rPr>
          <w:rFonts w:ascii="Arial" w:hAnsi="Arial" w:eastAsia="Arial" w:cs="Arial"/>
          <w:color w:val="000000"/>
          <w:sz w:val="20"/>
          <w:szCs w:val="20"/>
        </w:rPr>
        <w:t xml:space="preserve">Convenience is one of the clearest growth pockets. Products for immediate consumption are growing around 7 percent, and foodservice is growing faster than grocery, which means grocers must compete on ready-to-eat missions rather than only pantry stock-up m</w:t>
      </w:r>
      <w:r>
        <w:rPr>
          <w:rFonts w:ascii="Arial" w:hAnsi="Arial" w:eastAsia="Arial" w:cs="Arial"/>
          <w:color w:val="000000"/>
          <w:sz w:val="20"/>
          <w:szCs w:val="20"/>
        </w:rPr>
        <w:t xml:space="preserve">issions. For malls, this shifts value toward dining, social, and service-heavy tenant mixes.mckinsey+1</w:t>
      </w:r>
      <w:r>
        <w:rPr>
          <w:rFonts w:ascii="Arial" w:hAnsi="Arial" w:eastAsia="Arial" w:cs="Arial"/>
          <w:sz w:val="20"/>
          <w:szCs w:val="20"/>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0"/>
          <w:szCs w:val="20"/>
        </w:rPr>
      </w:pPr>
      <w:r>
        <w:rPr>
          <w:rFonts w:ascii="Arial" w:hAnsi="Arial" w:eastAsia="Arial" w:cs="Arial"/>
          <w:color w:val="000000"/>
          <w:sz w:val="20"/>
          <w:szCs w:val="20"/>
        </w:rPr>
        <w:t xml:space="preserve">Online is still growing, but its role is becoming more fragmented. EuroCommerce notes 6.8 percent online sales growth in 2025, slower than 7.8 percent in 2024, which suggests online remains important but not uniformly explosive. That favors omnichannel mod</w:t>
      </w:r>
      <w:r>
        <w:rPr>
          <w:rFonts w:ascii="Arial" w:hAnsi="Arial" w:eastAsia="Arial" w:cs="Arial"/>
          <w:color w:val="000000"/>
          <w:sz w:val="20"/>
          <w:szCs w:val="20"/>
        </w:rPr>
        <w:t xml:space="preserve">els, loyalty ecosystems, and location-specific convenience.</w:t>
      </w:r>
      <w:hyperlink r:id="rId98" w:tooltip="https://www.eurocommerce.eu/2026/04/european-grocery-retail-models-are-in-motion-while-margins-remain-under-pressure/" w:history="1">
        <w:r>
          <w:rPr>
            <w:rStyle w:val="186"/>
            <w:rFonts w:ascii="Arial" w:hAnsi="Arial" w:eastAsia="Arial" w:cs="Arial"/>
            <w:color w:val="0000ee"/>
            <w:sz w:val="20"/>
            <w:szCs w:val="20"/>
            <w:u w:val="single"/>
          </w:rPr>
          <w:t xml:space="preserve">eurocommerce</w:t>
        </w:r>
      </w:hyperlink>
      <w:r>
        <w:rPr>
          <w:rFonts w:ascii="Arial" w:hAnsi="Arial" w:eastAsia="Arial" w:cs="Arial"/>
          <w:sz w:val="20"/>
          <w:szCs w:val="20"/>
        </w:rPr>
      </w:r>
      <w:r>
        <w:rPr>
          <w:rFonts w:ascii="Arial" w:hAnsi="Arial" w:eastAsia="Arial" w:cs="Arial"/>
          <w:sz w:val="20"/>
          <w:szCs w:val="20"/>
        </w:rPr>
      </w:r>
    </w:p>
    <w:p>
      <w:pPr>
        <w:pStyle w:val="139"/>
        <w:pBdr>
          <w:top w:val="none" w:color="000000" w:sz="4" w:space="0"/>
          <w:left w:val="none" w:color="000000" w:sz="4" w:space="0"/>
          <w:bottom w:val="none" w:color="000000" w:sz="4" w:space="0"/>
          <w:right w:val="none" w:color="000000" w:sz="4" w:space="0"/>
        </w:pBdr>
        <w:spacing/>
        <w:ind w:right="0" w:firstLine="0" w:left="0"/>
        <w:rPr>
          <w:rFonts w:ascii="Arial" w:hAnsi="Arial" w:cs="Arial"/>
          <w:sz w:val="20"/>
          <w:szCs w:val="20"/>
        </w:rPr>
      </w:pPr>
      <w:r>
        <w:rPr>
          <w:rFonts w:ascii="Arial" w:hAnsi="Arial" w:eastAsia="Arial" w:cs="Arial"/>
          <w:b/>
          <w:color w:val="000000"/>
          <w:sz w:val="20"/>
          <w:szCs w:val="20"/>
        </w:rPr>
        <w:t xml:space="preserve">Finland</w:t>
      </w:r>
      <w:r>
        <w:rPr>
          <w:rFonts w:ascii="Arial" w:hAnsi="Arial" w:eastAsia="Arial" w:cs="Arial"/>
          <w:sz w:val="20"/>
          <w:szCs w:val="20"/>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0"/>
          <w:szCs w:val="20"/>
        </w:rPr>
      </w:pPr>
      <w:r>
        <w:rPr>
          <w:rFonts w:ascii="Arial" w:hAnsi="Arial" w:eastAsia="Arial" w:cs="Arial"/>
          <w:color w:val="000000"/>
          <w:sz w:val="20"/>
          <w:szCs w:val="20"/>
        </w:rPr>
        <w:t xml:space="preserve">Finland’s grocery market remains highly concentrated, and that concentration shapes trend behavior. K Group reported a 33.5 percent full-year grocery market share for 2025 and said its share improved in the second half of the year, while management linked </w:t>
      </w:r>
      <w:r>
        <w:rPr>
          <w:rFonts w:ascii="Arial" w:hAnsi="Arial" w:eastAsia="Arial" w:cs="Arial"/>
          <w:color w:val="000000"/>
          <w:sz w:val="20"/>
          <w:szCs w:val="20"/>
        </w:rPr>
        <w:t xml:space="preserve">this to investments in store network, quality, and price positioning. That suggests Finnish consumers are still price-aware, but they are responding when retailers combine value with quality instead of competing on price alone.kesko+1</w:t>
      </w:r>
      <w:r>
        <w:rPr>
          <w:rFonts w:ascii="Arial" w:hAnsi="Arial" w:eastAsia="Arial" w:cs="Arial"/>
          <w:sz w:val="20"/>
          <w:szCs w:val="20"/>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0"/>
          <w:szCs w:val="20"/>
        </w:rPr>
      </w:pPr>
      <w:r>
        <w:rPr>
          <w:rFonts w:ascii="Arial" w:hAnsi="Arial" w:eastAsia="Arial" w:cs="Arial"/>
          <w:color w:val="000000"/>
          <w:sz w:val="20"/>
          <w:szCs w:val="20"/>
        </w:rPr>
        <w:t xml:space="preserve">The Finnish signal for 2026 is therefore </w:t>
      </w:r>
      <w:r>
        <w:rPr>
          <w:rFonts w:ascii="Arial" w:hAnsi="Arial" w:eastAsia="Arial" w:cs="Arial"/>
          <w:b/>
          <w:color w:val="000000"/>
          <w:sz w:val="20"/>
          <w:szCs w:val="20"/>
        </w:rPr>
        <w:t xml:space="preserve">cautious normalization</w:t>
      </w:r>
      <w:r>
        <w:rPr>
          <w:rFonts w:ascii="Arial" w:hAnsi="Arial" w:eastAsia="Arial" w:cs="Arial"/>
          <w:color w:val="000000"/>
          <w:sz w:val="20"/>
          <w:szCs w:val="20"/>
        </w:rPr>
        <w:t xml:space="preserve">. Consumer confidence appears to be improving gradually, total grocery market growth is returning, and larger formats such as K-Citymarket still have room when they deliver clear value. For malls, however, Finland is unlikely to see a dramatic experiential</w:t>
      </w:r>
      <w:r>
        <w:rPr>
          <w:rFonts w:ascii="Arial" w:hAnsi="Arial" w:eastAsia="Arial" w:cs="Arial"/>
          <w:color w:val="000000"/>
          <w:sz w:val="20"/>
          <w:szCs w:val="20"/>
        </w:rPr>
        <w:t xml:space="preserve"> boom as fast as the Gulf; the stronger near-term effect is practical omnichannel retail, grocery-linked service trips, and necessity-led visitation.inderes+1</w:t>
      </w:r>
      <w:r>
        <w:rPr>
          <w:rFonts w:ascii="Arial" w:hAnsi="Arial" w:eastAsia="Arial" w:cs="Arial"/>
          <w:sz w:val="20"/>
          <w:szCs w:val="20"/>
        </w:rPr>
      </w:r>
    </w:p>
    <w:p>
      <w:pPr>
        <w:pStyle w:val="139"/>
        <w:pBdr>
          <w:top w:val="none" w:color="000000" w:sz="4" w:space="0"/>
          <w:left w:val="none" w:color="000000" w:sz="4" w:space="0"/>
          <w:bottom w:val="none" w:color="000000" w:sz="4" w:space="0"/>
          <w:right w:val="none" w:color="000000" w:sz="4" w:space="0"/>
        </w:pBdr>
        <w:spacing/>
        <w:ind w:right="0" w:firstLine="0" w:left="0"/>
        <w:rPr>
          <w:rFonts w:ascii="Arial" w:hAnsi="Arial" w:cs="Arial"/>
          <w:sz w:val="20"/>
          <w:szCs w:val="20"/>
        </w:rPr>
      </w:pPr>
      <w:r>
        <w:rPr>
          <w:rFonts w:ascii="Arial" w:hAnsi="Arial" w:eastAsia="Arial" w:cs="Arial"/>
          <w:b/>
          <w:color w:val="000000"/>
          <w:sz w:val="20"/>
          <w:szCs w:val="20"/>
        </w:rPr>
        <w:t xml:space="preserve">UAE</w:t>
      </w:r>
      <w:r>
        <w:rPr>
          <w:rFonts w:ascii="Arial" w:hAnsi="Arial" w:eastAsia="Arial" w:cs="Arial"/>
          <w:sz w:val="20"/>
          <w:szCs w:val="20"/>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0"/>
          <w:szCs w:val="20"/>
        </w:rPr>
      </w:pPr>
      <w:r>
        <w:rPr>
          <w:rFonts w:ascii="Arial" w:hAnsi="Arial" w:eastAsia="Arial" w:cs="Arial"/>
          <w:color w:val="000000"/>
          <w:sz w:val="20"/>
          <w:szCs w:val="20"/>
        </w:rPr>
        <w:t xml:space="preserve">The UAE is structurally different from the EU because growth is stronger and consumer behavior is shaped by urban convenience, younger expatriate-heavy demographics, and digitally enabled lifestyles. The food retail segment is identified as the fastest-gro</w:t>
      </w:r>
      <w:r>
        <w:rPr>
          <w:rFonts w:ascii="Arial" w:hAnsi="Arial" w:eastAsia="Arial" w:cs="Arial"/>
          <w:color w:val="000000"/>
          <w:sz w:val="20"/>
          <w:szCs w:val="20"/>
        </w:rPr>
        <w:t xml:space="preserve">wing part of the UAE retail market, with demand rising for fresh, packaged, organic, convenience, and ready-to-eat food. The food products market is estimated at USD 16.3 billion in 2026, with growth supported by convenience, eating-out frequency, and clea</w:t>
      </w:r>
      <w:r>
        <w:rPr>
          <w:rFonts w:ascii="Arial" w:hAnsi="Arial" w:eastAsia="Arial" w:cs="Arial"/>
          <w:color w:val="000000"/>
          <w:sz w:val="20"/>
          <w:szCs w:val="20"/>
        </w:rPr>
        <w:t xml:space="preserve">n-label demand.globalriskcommunity+1</w:t>
      </w:r>
      <w:r>
        <w:rPr>
          <w:rFonts w:ascii="Arial" w:hAnsi="Arial" w:eastAsia="Arial" w:cs="Arial"/>
          <w:sz w:val="20"/>
          <w:szCs w:val="20"/>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0"/>
          <w:szCs w:val="20"/>
        </w:rPr>
      </w:pPr>
      <w:r>
        <w:rPr>
          <w:rFonts w:ascii="Arial" w:hAnsi="Arial" w:eastAsia="Arial" w:cs="Arial"/>
          <w:color w:val="000000"/>
          <w:sz w:val="20"/>
          <w:szCs w:val="20"/>
        </w:rPr>
        <w:t xml:space="preserve">Ready-to-eat and ready-to-cook meals are among the fastest-growing segments, and Dubai residents are reported to eat outside the home about three times per week. That means malls in the UAE benefit disproportionately from foodservice, entertainment, and in</w:t>
      </w:r>
      <w:r>
        <w:rPr>
          <w:rFonts w:ascii="Arial" w:hAnsi="Arial" w:eastAsia="Arial" w:cs="Arial"/>
          <w:color w:val="000000"/>
          <w:sz w:val="20"/>
          <w:szCs w:val="20"/>
        </w:rPr>
        <w:t xml:space="preserve">door social activity, while grocery stores benefit from blended missions: premium fresh food, convenience, app-based reordering, and delivery integration.mordorintelligence+1</w:t>
      </w:r>
      <w:r>
        <w:rPr>
          <w:rFonts w:ascii="Arial" w:hAnsi="Arial" w:eastAsia="Arial" w:cs="Arial"/>
          <w:sz w:val="20"/>
          <w:szCs w:val="20"/>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0"/>
          <w:szCs w:val="20"/>
        </w:rPr>
      </w:pPr>
      <w:r>
        <w:rPr>
          <w:rFonts w:ascii="Arial" w:hAnsi="Arial" w:eastAsia="Arial" w:cs="Arial"/>
          <w:color w:val="000000"/>
          <w:sz w:val="20"/>
          <w:szCs w:val="20"/>
        </w:rPr>
        <w:t xml:space="preserve">Health is also more commercially active in the UAE than in many European markets. Retailers report demand for organic and clean-label products, especially among higher-income expatriates, and halal certification reinforces trust and transparency rather tha</w:t>
      </w:r>
      <w:r>
        <w:rPr>
          <w:rFonts w:ascii="Arial" w:hAnsi="Arial" w:eastAsia="Arial" w:cs="Arial"/>
          <w:color w:val="000000"/>
          <w:sz w:val="20"/>
          <w:szCs w:val="20"/>
        </w:rPr>
        <w:t xml:space="preserve">n only religious compliance. This makes wellness retail more monetizable in the UAE across both grocery and mall ecosystems.</w:t>
      </w:r>
      <w:hyperlink r:id="rId99" w:tooltip="https://www.mordorintelligence.com/industry-reports/united-arab-emirates-food-products-market" w:history="1">
        <w:r>
          <w:rPr>
            <w:rStyle w:val="186"/>
            <w:rFonts w:ascii="Arial" w:hAnsi="Arial" w:eastAsia="Arial" w:cs="Arial"/>
            <w:color w:val="0000ee"/>
            <w:sz w:val="20"/>
            <w:szCs w:val="20"/>
            <w:u w:val="single"/>
          </w:rPr>
          <w:t xml:space="preserve">mordorintelligence</w:t>
        </w:r>
      </w:hyperlink>
      <w:r>
        <w:rPr>
          <w:rFonts w:ascii="Arial" w:hAnsi="Arial" w:eastAsia="Arial" w:cs="Arial"/>
          <w:sz w:val="20"/>
          <w:szCs w:val="20"/>
        </w:rPr>
      </w:r>
      <w:r>
        <w:rPr>
          <w:rFonts w:ascii="Arial" w:hAnsi="Arial" w:eastAsia="Arial" w:cs="Arial"/>
          <w:sz w:val="20"/>
          <w:szCs w:val="20"/>
        </w:rPr>
      </w:r>
    </w:p>
    <w:p>
      <w:pPr>
        <w:pStyle w:val="139"/>
        <w:pBdr>
          <w:top w:val="none" w:color="000000" w:sz="4" w:space="0"/>
          <w:left w:val="none" w:color="000000" w:sz="4" w:space="0"/>
          <w:bottom w:val="none" w:color="000000" w:sz="4" w:space="0"/>
          <w:right w:val="none" w:color="000000" w:sz="4" w:space="0"/>
        </w:pBdr>
        <w:spacing/>
        <w:ind w:right="0" w:firstLine="0" w:left="0"/>
        <w:rPr>
          <w:rFonts w:ascii="Arial" w:hAnsi="Arial" w:cs="Arial"/>
          <w:sz w:val="20"/>
          <w:szCs w:val="20"/>
        </w:rPr>
      </w:pPr>
      <w:r>
        <w:rPr>
          <w:rFonts w:ascii="Arial" w:hAnsi="Arial" w:eastAsia="Arial" w:cs="Arial"/>
          <w:b/>
          <w:color w:val="000000"/>
          <w:sz w:val="20"/>
          <w:szCs w:val="20"/>
        </w:rPr>
        <w:t xml:space="preserve">New signals</w:t>
      </w:r>
      <w:r>
        <w:rPr>
          <w:rFonts w:ascii="Arial" w:hAnsi="Arial" w:eastAsia="Arial" w:cs="Arial"/>
          <w:sz w:val="20"/>
          <w:szCs w:val="20"/>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0"/>
          <w:szCs w:val="20"/>
        </w:rPr>
      </w:pPr>
      <w:r>
        <w:rPr>
          <w:rFonts w:ascii="Arial" w:hAnsi="Arial" w:eastAsia="Arial" w:cs="Arial"/>
          <w:color w:val="000000"/>
          <w:sz w:val="20"/>
          <w:szCs w:val="20"/>
        </w:rPr>
        <w:t xml:space="preserve">One important newer signal is that </w:t>
      </w:r>
      <w:r>
        <w:rPr>
          <w:rFonts w:ascii="Arial" w:hAnsi="Arial" w:eastAsia="Arial" w:cs="Arial"/>
          <w:b/>
          <w:color w:val="000000"/>
          <w:sz w:val="20"/>
          <w:szCs w:val="20"/>
        </w:rPr>
        <w:t xml:space="preserve">premium is back, but only selectively</w:t>
      </w:r>
      <w:r>
        <w:rPr>
          <w:rFonts w:ascii="Arial" w:hAnsi="Arial" w:eastAsia="Arial" w:cs="Arial"/>
          <w:color w:val="000000"/>
          <w:sz w:val="20"/>
          <w:szCs w:val="20"/>
        </w:rPr>
        <w:t xml:space="preserve">. McKinsey reports that net intent to buy premium or high-quality food in Europe rebounded from negative 5 percent in 2023 to positive 3 percent in 2026, with millennials showing the strongest uplift. That means premium is not dead; it is simply becoming m</w:t>
      </w:r>
      <w:r>
        <w:rPr>
          <w:rFonts w:ascii="Arial" w:hAnsi="Arial" w:eastAsia="Arial" w:cs="Arial"/>
          <w:color w:val="000000"/>
          <w:sz w:val="20"/>
          <w:szCs w:val="20"/>
        </w:rPr>
        <w:t xml:space="preserve">ore intentional and category-specific.</w:t>
      </w:r>
      <w:hyperlink r:id="rId100" w:tooltip="https://www.mckinsey.com/industries/retail/our-insights/state-of-grocery-europe-report" w:history="1">
        <w:r>
          <w:rPr>
            <w:rStyle w:val="186"/>
            <w:rFonts w:ascii="Arial" w:hAnsi="Arial" w:eastAsia="Arial" w:cs="Arial"/>
            <w:color w:val="0000ee"/>
            <w:sz w:val="20"/>
            <w:szCs w:val="20"/>
            <w:u w:val="single"/>
          </w:rPr>
          <w:t xml:space="preserve">mckinsey</w:t>
        </w:r>
      </w:hyperlink>
      <w:r>
        <w:rPr>
          <w:rFonts w:ascii="Arial" w:hAnsi="Arial" w:eastAsia="Arial" w:cs="Arial"/>
          <w:sz w:val="20"/>
          <w:szCs w:val="20"/>
        </w:rPr>
      </w:r>
      <w:r>
        <w:rPr>
          <w:rFonts w:ascii="Arial" w:hAnsi="Arial" w:eastAsia="Arial" w:cs="Arial"/>
          <w:sz w:val="20"/>
          <w:szCs w:val="20"/>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0"/>
          <w:szCs w:val="20"/>
        </w:rPr>
      </w:pPr>
      <w:r>
        <w:rPr>
          <w:rFonts w:ascii="Arial" w:hAnsi="Arial" w:eastAsia="Arial" w:cs="Arial"/>
          <w:color w:val="000000"/>
          <w:sz w:val="20"/>
          <w:szCs w:val="20"/>
        </w:rPr>
        <w:t xml:space="preserve">Another signal is that </w:t>
      </w:r>
      <w:r>
        <w:rPr>
          <w:rFonts w:ascii="Arial" w:hAnsi="Arial" w:eastAsia="Arial" w:cs="Arial"/>
          <w:b/>
          <w:color w:val="000000"/>
          <w:sz w:val="20"/>
          <w:szCs w:val="20"/>
        </w:rPr>
        <w:t xml:space="preserve">mall value is shifting from merchandise to mission</w:t>
      </w:r>
      <w:r>
        <w:rPr>
          <w:rFonts w:ascii="Arial" w:hAnsi="Arial" w:eastAsia="Arial" w:cs="Arial"/>
          <w:color w:val="000000"/>
          <w:sz w:val="20"/>
          <w:szCs w:val="20"/>
        </w:rPr>
        <w:t xml:space="preserve">. In both Europe and the UAE, the stronger categories are the ones linked to eating, gathering, convenience, and services rather than pure browsing retail. This is especially important for anyone modeling footfall or tenant mix, because the future mall beh</w:t>
      </w:r>
      <w:r>
        <w:rPr>
          <w:rFonts w:ascii="Arial" w:hAnsi="Arial" w:eastAsia="Arial" w:cs="Arial"/>
          <w:color w:val="000000"/>
          <w:sz w:val="20"/>
          <w:szCs w:val="20"/>
        </w:rPr>
        <w:t xml:space="preserve">aves more like a mixed-use consumer platform than a traditional retail box.globalriskcommunity+1</w:t>
      </w:r>
      <w:r>
        <w:rPr>
          <w:rFonts w:ascii="Arial" w:hAnsi="Arial" w:eastAsia="Arial" w:cs="Arial"/>
          <w:sz w:val="20"/>
          <w:szCs w:val="20"/>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0"/>
          <w:szCs w:val="20"/>
        </w:rPr>
      </w:pPr>
      <w:r>
        <w:rPr>
          <w:rFonts w:ascii="Arial" w:hAnsi="Arial" w:eastAsia="Arial" w:cs="Arial"/>
          <w:color w:val="000000"/>
          <w:sz w:val="20"/>
          <w:szCs w:val="20"/>
        </w:rPr>
        <w:t xml:space="preserve">A third signal is that </w:t>
      </w:r>
      <w:r>
        <w:rPr>
          <w:rFonts w:ascii="Arial" w:hAnsi="Arial" w:eastAsia="Arial" w:cs="Arial"/>
          <w:b/>
          <w:color w:val="000000"/>
          <w:sz w:val="20"/>
          <w:szCs w:val="20"/>
        </w:rPr>
        <w:t xml:space="preserve">AI investment is rising even while margins are tight</w:t>
      </w:r>
      <w:r>
        <w:rPr>
          <w:rFonts w:ascii="Arial" w:hAnsi="Arial" w:eastAsia="Arial" w:cs="Arial"/>
          <w:color w:val="000000"/>
          <w:sz w:val="20"/>
          <w:szCs w:val="20"/>
        </w:rPr>
        <w:t xml:space="preserve">, which means retailers increasingly see AI as a survival tool, not a luxury project. EuroCommerce explicitly notes that IT and AI investment continue to accelerate despite the pressure environment. That creates openings in forecasting, pricing, localized </w:t>
      </w:r>
      <w:r>
        <w:rPr>
          <w:rFonts w:ascii="Arial" w:hAnsi="Arial" w:eastAsia="Arial" w:cs="Arial"/>
          <w:color w:val="000000"/>
          <w:sz w:val="20"/>
          <w:szCs w:val="20"/>
        </w:rPr>
        <w:t xml:space="preserve">assortment, and promotion optimization for both grocery chains and mall operators.</w:t>
      </w:r>
      <w:hyperlink r:id="rId101" w:tooltip="https://www.eurocommerce.eu/2026/04/european-grocery-retail-models-are-in-motion-while-margins-remain-under-pressure/" w:history="1">
        <w:r>
          <w:rPr>
            <w:rStyle w:val="186"/>
            <w:rFonts w:ascii="Arial" w:hAnsi="Arial" w:eastAsia="Arial" w:cs="Arial"/>
            <w:color w:val="0000ee"/>
            <w:sz w:val="20"/>
            <w:szCs w:val="20"/>
            <w:u w:val="single"/>
          </w:rPr>
          <w:t xml:space="preserve">eurocommerce</w:t>
        </w:r>
      </w:hyperlink>
      <w:r>
        <w:rPr>
          <w:rFonts w:ascii="Arial" w:hAnsi="Arial" w:eastAsia="Arial" w:cs="Arial"/>
          <w:sz w:val="20"/>
          <w:szCs w:val="20"/>
        </w:rPr>
      </w:r>
      <w:r>
        <w:rPr>
          <w:rFonts w:ascii="Arial" w:hAnsi="Arial" w:eastAsia="Arial" w:cs="Arial"/>
          <w:sz w:val="20"/>
          <w:szCs w:val="20"/>
        </w:rPr>
      </w:r>
    </w:p>
    <w:p>
      <w:pPr>
        <w:pStyle w:val="139"/>
        <w:pBdr>
          <w:top w:val="none" w:color="000000" w:sz="4" w:space="0"/>
          <w:left w:val="none" w:color="000000" w:sz="4" w:space="0"/>
          <w:bottom w:val="none" w:color="000000" w:sz="4" w:space="0"/>
          <w:right w:val="none" w:color="000000" w:sz="4" w:space="0"/>
        </w:pBdr>
        <w:spacing/>
        <w:ind w:right="0" w:firstLine="0" w:left="0"/>
        <w:rPr>
          <w:rFonts w:ascii="Arial" w:hAnsi="Arial" w:cs="Arial"/>
          <w:sz w:val="20"/>
          <w:szCs w:val="20"/>
        </w:rPr>
      </w:pPr>
      <w:r>
        <w:rPr>
          <w:rFonts w:ascii="Arial" w:hAnsi="Arial" w:eastAsia="Arial" w:cs="Arial"/>
          <w:b/>
          <w:color w:val="000000"/>
          <w:sz w:val="20"/>
          <w:szCs w:val="20"/>
        </w:rPr>
        <w:t xml:space="preserve">What it means operationally</w:t>
      </w:r>
      <w:r>
        <w:rPr>
          <w:rFonts w:ascii="Arial" w:hAnsi="Arial" w:eastAsia="Arial" w:cs="Arial"/>
          <w:sz w:val="20"/>
          <w:szCs w:val="20"/>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0"/>
          <w:szCs w:val="20"/>
        </w:rPr>
      </w:pPr>
      <w:r>
        <w:rPr>
          <w:rFonts w:ascii="Arial" w:hAnsi="Arial" w:eastAsia="Arial" w:cs="Arial"/>
          <w:color w:val="000000"/>
          <w:sz w:val="20"/>
          <w:szCs w:val="20"/>
        </w:rPr>
        <w:t xml:space="preserve">For </w:t>
      </w:r>
      <w:r>
        <w:rPr>
          <w:rFonts w:ascii="Arial" w:hAnsi="Arial" w:eastAsia="Arial" w:cs="Arial"/>
          <w:b/>
          <w:color w:val="000000"/>
          <w:sz w:val="20"/>
          <w:szCs w:val="20"/>
        </w:rPr>
        <w:t xml:space="preserve">shopping malls</w:t>
      </w:r>
      <w:r>
        <w:rPr>
          <w:rFonts w:ascii="Arial" w:hAnsi="Arial" w:eastAsia="Arial" w:cs="Arial"/>
          <w:color w:val="000000"/>
          <w:sz w:val="20"/>
          <w:szCs w:val="20"/>
        </w:rPr>
        <w:t xml:space="preserve">, the strongest 2026 responses are:</w:t>
      </w:r>
      <w:r>
        <w:rPr>
          <w:rFonts w:ascii="Arial" w:hAnsi="Arial" w:eastAsia="Arial" w:cs="Arial"/>
          <w:sz w:val="20"/>
          <w:szCs w:val="20"/>
        </w:rPr>
      </w:r>
    </w:p>
    <w:p>
      <w:pPr>
        <w:pStyle w:val="664"/>
        <w:numPr>
          <w:ilvl w:val="0"/>
          <w:numId w:val="10"/>
        </w:numPr>
        <w:pBdr>
          <w:top w:val="none" w:color="000000" w:sz="4" w:space="0"/>
          <w:left w:val="none" w:color="000000" w:sz="4" w:space="0"/>
          <w:bottom w:val="none" w:color="000000" w:sz="4" w:space="0"/>
          <w:right w:val="none" w:color="000000" w:sz="4" w:space="0"/>
        </w:pBdr>
        <w:spacing/>
        <w:ind w:right="0"/>
        <w:rPr>
          <w:rFonts w:ascii="Arial" w:hAnsi="Arial" w:cs="Arial"/>
          <w:sz w:val="20"/>
          <w:szCs w:val="20"/>
        </w:rPr>
      </w:pPr>
      <w:r>
        <w:rPr>
          <w:rFonts w:ascii="Arial" w:hAnsi="Arial" w:eastAsia="Arial" w:cs="Arial"/>
          <w:color w:val="000000"/>
          <w:sz w:val="20"/>
          <w:szCs w:val="20"/>
        </w:rPr>
        <w:t xml:space="preserve">Shift tenant mix toward F&amp;B, health, family leisure, and service-led retail.globalriskcommunity+1</w:t>
      </w:r>
      <w:r>
        <w:rPr>
          <w:rFonts w:ascii="Arial" w:hAnsi="Arial" w:eastAsia="Arial" w:cs="Arial"/>
          <w:sz w:val="20"/>
          <w:szCs w:val="20"/>
        </w:rPr>
      </w:r>
    </w:p>
    <w:p>
      <w:pPr>
        <w:pStyle w:val="664"/>
        <w:numPr>
          <w:ilvl w:val="0"/>
          <w:numId w:val="10"/>
        </w:numPr>
        <w:pBdr>
          <w:top w:val="none" w:color="000000" w:sz="4" w:space="0"/>
          <w:left w:val="none" w:color="000000" w:sz="4" w:space="0"/>
          <w:bottom w:val="none" w:color="000000" w:sz="4" w:space="0"/>
          <w:right w:val="none" w:color="000000" w:sz="4" w:space="0"/>
        </w:pBdr>
        <w:spacing/>
        <w:ind w:right="0"/>
        <w:rPr>
          <w:rFonts w:ascii="Arial" w:hAnsi="Arial" w:cs="Arial"/>
          <w:sz w:val="20"/>
          <w:szCs w:val="20"/>
        </w:rPr>
      </w:pPr>
      <w:r>
        <w:rPr>
          <w:rFonts w:ascii="Arial" w:hAnsi="Arial" w:eastAsia="Arial" w:cs="Arial"/>
          <w:color w:val="000000"/>
          <w:sz w:val="20"/>
          <w:szCs w:val="20"/>
        </w:rPr>
        <w:t xml:space="preserve">Support premium-plus-value coexistence instead of relying on a broad mid-market center.mckinsey+1</w:t>
      </w:r>
      <w:r>
        <w:rPr>
          <w:rFonts w:ascii="Arial" w:hAnsi="Arial" w:eastAsia="Arial" w:cs="Arial"/>
          <w:sz w:val="20"/>
          <w:szCs w:val="20"/>
        </w:rPr>
      </w:r>
    </w:p>
    <w:p>
      <w:pPr>
        <w:pStyle w:val="664"/>
        <w:numPr>
          <w:ilvl w:val="0"/>
          <w:numId w:val="10"/>
        </w:numPr>
        <w:pBdr>
          <w:top w:val="none" w:color="000000" w:sz="4" w:space="0"/>
          <w:left w:val="none" w:color="000000" w:sz="4" w:space="0"/>
          <w:bottom w:val="none" w:color="000000" w:sz="4" w:space="0"/>
          <w:right w:val="none" w:color="000000" w:sz="4" w:space="0"/>
        </w:pBdr>
        <w:spacing/>
        <w:ind w:right="0"/>
        <w:rPr>
          <w:rFonts w:ascii="Arial" w:hAnsi="Arial" w:cs="Arial"/>
          <w:sz w:val="20"/>
          <w:szCs w:val="20"/>
        </w:rPr>
      </w:pPr>
      <w:r>
        <w:rPr>
          <w:rFonts w:ascii="Arial" w:hAnsi="Arial" w:eastAsia="Arial" w:cs="Arial"/>
          <w:color w:val="000000"/>
          <w:sz w:val="20"/>
          <w:szCs w:val="20"/>
        </w:rPr>
        <w:t xml:space="preserve">Build stronger event calendars and omnichannel touchpoints, especially in UAE-style high-frequency environments.</w:t>
      </w:r>
      <w:hyperlink r:id="rId102" w:tooltip="https://globalriskcommunity.com/notes/uae-retail-market" w:history="1">
        <w:r>
          <w:rPr>
            <w:rStyle w:val="186"/>
            <w:rFonts w:ascii="Arial" w:hAnsi="Arial" w:eastAsia="Arial" w:cs="Arial"/>
            <w:color w:val="0000ee"/>
            <w:sz w:val="20"/>
            <w:szCs w:val="20"/>
            <w:u w:val="single"/>
          </w:rPr>
          <w:t xml:space="preserve">globalriskcommunity</w:t>
        </w:r>
      </w:hyperlink>
      <w:r>
        <w:rPr>
          <w:rFonts w:ascii="Arial" w:hAnsi="Arial" w:eastAsia="Arial" w:cs="Arial"/>
          <w:sz w:val="20"/>
          <w:szCs w:val="20"/>
        </w:rPr>
      </w:r>
      <w:r>
        <w:rPr>
          <w:rFonts w:ascii="Arial" w:hAnsi="Arial" w:eastAsia="Arial" w:cs="Arial"/>
          <w:sz w:val="20"/>
          <w:szCs w:val="20"/>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0"/>
          <w:szCs w:val="20"/>
        </w:rPr>
      </w:pPr>
      <w:r>
        <w:rPr>
          <w:rFonts w:ascii="Arial" w:hAnsi="Arial" w:eastAsia="Arial" w:cs="Arial"/>
          <w:color w:val="000000"/>
          <w:sz w:val="20"/>
          <w:szCs w:val="20"/>
        </w:rPr>
        <w:t xml:space="preserve">For </w:t>
      </w:r>
      <w:r>
        <w:rPr>
          <w:rFonts w:ascii="Arial" w:hAnsi="Arial" w:eastAsia="Arial" w:cs="Arial"/>
          <w:b/>
          <w:color w:val="000000"/>
          <w:sz w:val="20"/>
          <w:szCs w:val="20"/>
        </w:rPr>
        <w:t xml:space="preserve">grocery stores</w:t>
      </w:r>
      <w:r>
        <w:rPr>
          <w:rFonts w:ascii="Arial" w:hAnsi="Arial" w:eastAsia="Arial" w:cs="Arial"/>
          <w:color w:val="000000"/>
          <w:sz w:val="20"/>
          <w:szCs w:val="20"/>
        </w:rPr>
        <w:t xml:space="preserve">, the strongest 2026 responses are:</w:t>
      </w:r>
      <w:r>
        <w:rPr>
          <w:rFonts w:ascii="Arial" w:hAnsi="Arial" w:eastAsia="Arial" w:cs="Arial"/>
          <w:sz w:val="20"/>
          <w:szCs w:val="20"/>
        </w:rPr>
      </w:r>
    </w:p>
    <w:p>
      <w:pPr>
        <w:pStyle w:val="664"/>
        <w:numPr>
          <w:ilvl w:val="0"/>
          <w:numId w:val="11"/>
        </w:numPr>
        <w:pBdr>
          <w:top w:val="none" w:color="000000" w:sz="4" w:space="0"/>
          <w:left w:val="none" w:color="000000" w:sz="4" w:space="0"/>
          <w:bottom w:val="none" w:color="000000" w:sz="4" w:space="0"/>
          <w:right w:val="none" w:color="000000" w:sz="4" w:space="0"/>
        </w:pBdr>
        <w:spacing/>
        <w:ind w:right="0"/>
        <w:rPr>
          <w:rFonts w:ascii="Arial" w:hAnsi="Arial" w:cs="Arial"/>
          <w:sz w:val="20"/>
          <w:szCs w:val="20"/>
        </w:rPr>
      </w:pPr>
      <w:r>
        <w:rPr>
          <w:rFonts w:ascii="Arial" w:hAnsi="Arial" w:eastAsia="Arial" w:cs="Arial"/>
          <w:color w:val="000000"/>
          <w:sz w:val="20"/>
          <w:szCs w:val="20"/>
        </w:rPr>
        <w:t xml:space="preserve">Expand food-to-go, deli, ready-to-cook, and convenience-led missions.mordorintelligence+1</w:t>
      </w:r>
      <w:r>
        <w:rPr>
          <w:rFonts w:ascii="Arial" w:hAnsi="Arial" w:eastAsia="Arial" w:cs="Arial"/>
          <w:sz w:val="20"/>
          <w:szCs w:val="20"/>
        </w:rPr>
      </w:r>
    </w:p>
    <w:p>
      <w:pPr>
        <w:pStyle w:val="664"/>
        <w:numPr>
          <w:ilvl w:val="0"/>
          <w:numId w:val="11"/>
        </w:numPr>
        <w:pBdr>
          <w:top w:val="none" w:color="000000" w:sz="4" w:space="0"/>
          <w:left w:val="none" w:color="000000" w:sz="4" w:space="0"/>
          <w:bottom w:val="none" w:color="000000" w:sz="4" w:space="0"/>
          <w:right w:val="none" w:color="000000" w:sz="4" w:space="0"/>
        </w:pBdr>
        <w:spacing/>
        <w:ind w:right="0"/>
        <w:rPr>
          <w:rFonts w:ascii="Arial" w:hAnsi="Arial" w:cs="Arial"/>
          <w:sz w:val="20"/>
          <w:szCs w:val="20"/>
        </w:rPr>
      </w:pPr>
      <w:r>
        <w:rPr>
          <w:rFonts w:ascii="Arial" w:hAnsi="Arial" w:eastAsia="Arial" w:cs="Arial"/>
          <w:color w:val="000000"/>
          <w:sz w:val="20"/>
          <w:szCs w:val="20"/>
        </w:rPr>
        <w:t xml:space="preserve">Improve price perception while preserving selective premium ladders.kesko+1</w:t>
      </w:r>
      <w:r>
        <w:rPr>
          <w:rFonts w:ascii="Arial" w:hAnsi="Arial" w:eastAsia="Arial" w:cs="Arial"/>
          <w:sz w:val="20"/>
          <w:szCs w:val="20"/>
        </w:rPr>
      </w:r>
    </w:p>
    <w:p>
      <w:pPr>
        <w:pStyle w:val="664"/>
        <w:numPr>
          <w:ilvl w:val="0"/>
          <w:numId w:val="11"/>
        </w:numPr>
        <w:pBdr>
          <w:top w:val="none" w:color="000000" w:sz="4" w:space="0"/>
          <w:left w:val="none" w:color="000000" w:sz="4" w:space="0"/>
          <w:bottom w:val="none" w:color="000000" w:sz="4" w:space="0"/>
          <w:right w:val="none" w:color="000000" w:sz="4" w:space="0"/>
        </w:pBdr>
        <w:spacing/>
        <w:ind w:right="0"/>
        <w:rPr>
          <w:rFonts w:ascii="Arial" w:hAnsi="Arial" w:cs="Arial"/>
          <w:sz w:val="20"/>
          <w:szCs w:val="20"/>
        </w:rPr>
      </w:pPr>
      <w:r>
        <w:rPr>
          <w:rFonts w:ascii="Arial" w:hAnsi="Arial" w:eastAsia="Arial" w:cs="Arial"/>
          <w:color w:val="000000"/>
          <w:sz w:val="20"/>
          <w:szCs w:val="20"/>
        </w:rPr>
        <w:t xml:space="preserve">Invest in AI-enabled assortment, loyalty, and replenishment rather than treating digital only as e-commerce.</w:t>
      </w:r>
      <w:hyperlink r:id="rId103" w:tooltip="https://www.eurocommerce.eu/2026/04/european-grocery-retail-models-are-in-motion-while-margins-remain-under-pressure/" w:history="1">
        <w:r>
          <w:rPr>
            <w:rStyle w:val="186"/>
            <w:rFonts w:ascii="Arial" w:hAnsi="Arial" w:eastAsia="Arial" w:cs="Arial"/>
            <w:color w:val="0000ee"/>
            <w:sz w:val="20"/>
            <w:szCs w:val="20"/>
            <w:u w:val="single"/>
          </w:rPr>
          <w:t xml:space="preserve">eurocommerce</w:t>
        </w:r>
      </w:hyperlink>
      <w:r>
        <w:rPr>
          <w:rFonts w:ascii="Arial" w:hAnsi="Arial" w:eastAsia="Arial" w:cs="Arial"/>
          <w:sz w:val="20"/>
          <w:szCs w:val="20"/>
        </w:rPr>
      </w:r>
      <w:r>
        <w:rPr>
          <w:rFonts w:ascii="Arial" w:hAnsi="Arial" w:eastAsia="Arial" w:cs="Arial"/>
          <w:sz w:val="20"/>
          <w:szCs w:val="20"/>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0"/>
          <w:szCs w:val="20"/>
        </w:rPr>
      </w:pPr>
      <w:r>
        <w:rPr>
          <w:rFonts w:ascii="Arial" w:hAnsi="Arial" w:eastAsia="Arial" w:cs="Arial"/>
          <w:color w:val="000000"/>
          <w:sz w:val="20"/>
          <w:szCs w:val="20"/>
        </w:rPr>
        <w:t xml:space="preserve">In the U.S. for 2026, the dominant themes are </w:t>
      </w:r>
      <w:r>
        <w:rPr>
          <w:rFonts w:ascii="Arial" w:hAnsi="Arial" w:eastAsia="Arial" w:cs="Arial"/>
          <w:b/>
          <w:color w:val="000000"/>
          <w:sz w:val="20"/>
          <w:szCs w:val="20"/>
        </w:rPr>
        <w:t xml:space="preserve">value-seeking, selective premium spending, convenience, health-led basket shifts, and experience-led physical retail</w:t>
      </w:r>
      <w:r>
        <w:rPr>
          <w:rFonts w:ascii="Arial" w:hAnsi="Arial" w:eastAsia="Arial" w:cs="Arial"/>
          <w:color w:val="000000"/>
          <w:sz w:val="20"/>
          <w:szCs w:val="20"/>
        </w:rPr>
        <w:t xml:space="preserve">. The market is also more visibly </w:t>
      </w:r>
      <w:r>
        <w:rPr>
          <w:rFonts w:ascii="Arial" w:hAnsi="Arial" w:eastAsia="Arial" w:cs="Arial"/>
          <w:b/>
          <w:color w:val="000000"/>
          <w:sz w:val="20"/>
          <w:szCs w:val="20"/>
        </w:rPr>
        <w:t xml:space="preserve">K-shaped</w:t>
      </w:r>
      <w:r>
        <w:rPr>
          <w:rFonts w:ascii="Arial" w:hAnsi="Arial" w:eastAsia="Arial" w:cs="Arial"/>
          <w:color w:val="000000"/>
          <w:sz w:val="20"/>
          <w:szCs w:val="20"/>
        </w:rPr>
        <w:t xml:space="preserve"> than Europe, meaning higher-income households remain relatively resilient while lower- and middle-income consumers stay much more price-sensitive.kaizen+4</w:t>
      </w:r>
      <w:r>
        <w:rPr>
          <w:rFonts w:ascii="Arial" w:hAnsi="Arial" w:eastAsia="Arial" w:cs="Arial"/>
          <w:sz w:val="20"/>
          <w:szCs w:val="20"/>
        </w:rPr>
      </w:r>
    </w:p>
    <w:p>
      <w:pPr>
        <w:pStyle w:val="139"/>
        <w:pBdr>
          <w:top w:val="none" w:color="000000" w:sz="4" w:space="0"/>
          <w:left w:val="none" w:color="000000" w:sz="4" w:space="0"/>
          <w:bottom w:val="none" w:color="000000" w:sz="4" w:space="0"/>
          <w:right w:val="none" w:color="000000" w:sz="4" w:space="0"/>
        </w:pBdr>
        <w:spacing/>
        <w:ind w:right="0" w:firstLine="0" w:left="0"/>
        <w:rPr>
          <w:rFonts w:ascii="Arial" w:hAnsi="Arial" w:cs="Arial"/>
          <w:sz w:val="20"/>
          <w:szCs w:val="20"/>
        </w:rPr>
      </w:pPr>
      <w:r>
        <w:rPr>
          <w:rFonts w:ascii="Arial" w:hAnsi="Arial" w:eastAsia="Arial" w:cs="Arial"/>
          <w:b/>
          <w:color w:val="000000"/>
          <w:sz w:val="20"/>
          <w:szCs w:val="20"/>
        </w:rPr>
        <w:t xml:space="preserve">Main picture</w:t>
      </w:r>
      <w:r>
        <w:rPr>
          <w:rFonts w:ascii="Arial" w:hAnsi="Arial" w:eastAsia="Arial" w:cs="Arial"/>
          <w:sz w:val="20"/>
          <w:szCs w:val="20"/>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0"/>
          <w:szCs w:val="20"/>
        </w:rPr>
      </w:pPr>
      <w:r>
        <w:rPr>
          <w:rFonts w:ascii="Arial" w:hAnsi="Arial" w:eastAsia="Arial" w:cs="Arial"/>
          <w:color w:val="000000"/>
          <w:sz w:val="20"/>
          <w:szCs w:val="20"/>
        </w:rPr>
        <w:t xml:space="preserve">American consumers are still budgeting tightly even as inflation pressure eases somewhat. A slim majority, 53%, have set a budget for 2026, up from 46% in 2025, and financial outlook strongly shapes where people plan to cut back or spend more. At the same </w:t>
      </w:r>
      <w:r>
        <w:rPr>
          <w:rFonts w:ascii="Arial" w:hAnsi="Arial" w:eastAsia="Arial" w:cs="Arial"/>
          <w:color w:val="000000"/>
          <w:sz w:val="20"/>
          <w:szCs w:val="20"/>
        </w:rPr>
        <w:t xml:space="preserve">time, higher-income households continue to account for a disproportionate share of consumer spending, reinforcing a two-speed retail market rather than a broad-based recovery.yougov+2</w:t>
      </w:r>
      <w:r>
        <w:rPr>
          <w:rFonts w:ascii="Arial" w:hAnsi="Arial" w:eastAsia="Arial" w:cs="Arial"/>
          <w:sz w:val="20"/>
          <w:szCs w:val="20"/>
        </w:rPr>
      </w:r>
    </w:p>
    <w:p>
      <w:pPr>
        <w:pStyle w:val="139"/>
        <w:pBdr>
          <w:top w:val="none" w:color="000000" w:sz="4" w:space="0"/>
          <w:left w:val="none" w:color="000000" w:sz="4" w:space="0"/>
          <w:bottom w:val="none" w:color="000000" w:sz="4" w:space="0"/>
          <w:right w:val="none" w:color="000000" w:sz="4" w:space="0"/>
        </w:pBdr>
        <w:spacing/>
        <w:ind w:right="0" w:firstLine="0" w:left="0"/>
        <w:rPr>
          <w:rFonts w:ascii="Arial" w:hAnsi="Arial" w:cs="Arial"/>
          <w:sz w:val="20"/>
          <w:szCs w:val="20"/>
        </w:rPr>
      </w:pPr>
      <w:r>
        <w:rPr>
          <w:rFonts w:ascii="Arial" w:hAnsi="Arial" w:eastAsia="Arial" w:cs="Arial"/>
          <w:b/>
          <w:color w:val="000000"/>
          <w:sz w:val="20"/>
          <w:szCs w:val="20"/>
        </w:rPr>
        <w:t xml:space="preserve">Trend map</w:t>
      </w:r>
      <w:r>
        <w:rPr>
          <w:rFonts w:ascii="Arial" w:hAnsi="Arial" w:eastAsia="Arial" w:cs="Arial"/>
          <w:sz w:val="20"/>
          <w:szCs w:val="20"/>
        </w:rPr>
      </w:r>
    </w:p>
    <w:tbl>
      <w:tblPr>
        <w:tblStyle w:val="11"/>
        <w:tblW w:w="0" w:type="auto"/>
        <w:tblInd w:w="-411"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1395"/>
        <w:gridCol w:w="1883"/>
        <w:gridCol w:w="1860"/>
        <w:gridCol w:w="2097"/>
        <w:gridCol w:w="2820"/>
      </w:tblGrid>
      <w:tr>
        <w:trPr/>
        <w:tc>
          <w:tcPr>
            <w:tcBorders/>
            <w:tcMar>
              <w:left w:w="15" w:type="dxa"/>
              <w:top w:w="15" w:type="dxa"/>
              <w:right w:w="15" w:type="dxa"/>
              <w:bottom w:w="15" w:type="dxa"/>
            </w:tcMar>
            <w:tcW w:w="1395" w:type="dxa"/>
            <w:vAlign w:val="center"/>
            <w:textDirection w:val="lrTb"/>
            <w:noWrap w:val="false"/>
          </w:tcPr>
          <w:p>
            <w:pPr>
              <w:pBdr/>
              <w:spacing w:after="0" w:before="0" w:line="240"/>
              <w:ind/>
              <w:jc w:val="center"/>
              <w:rPr>
                <w:rFonts w:ascii="Arial" w:hAnsi="Arial" w:cs="Arial"/>
                <w:sz w:val="20"/>
                <w:szCs w:val="20"/>
              </w:rPr>
            </w:pPr>
            <w:r>
              <w:rPr>
                <w:rFonts w:ascii="Arial" w:hAnsi="Arial" w:eastAsia="Arial" w:cs="Arial"/>
                <w:b/>
                <w:color w:val="000000"/>
                <w:sz w:val="20"/>
                <w:szCs w:val="20"/>
              </w:rPr>
              <w:t xml:space="preserve">Trend</w:t>
            </w:r>
            <w:r>
              <w:rPr>
                <w:rFonts w:ascii="Arial" w:hAnsi="Arial" w:eastAsia="Arial" w:cs="Arial"/>
                <w:sz w:val="20"/>
                <w:szCs w:val="20"/>
              </w:rPr>
            </w:r>
          </w:p>
        </w:tc>
        <w:tc>
          <w:tcPr>
            <w:tcBorders/>
            <w:tcMar>
              <w:left w:w="15" w:type="dxa"/>
              <w:top w:w="15" w:type="dxa"/>
              <w:right w:w="15" w:type="dxa"/>
              <w:bottom w:w="15" w:type="dxa"/>
            </w:tcMar>
            <w:tcW w:w="1883" w:type="dxa"/>
            <w:vAlign w:val="center"/>
            <w:textDirection w:val="lrTb"/>
            <w:noWrap w:val="false"/>
          </w:tcPr>
          <w:p>
            <w:pPr>
              <w:pBdr/>
              <w:spacing w:after="0" w:before="0" w:line="240"/>
              <w:ind/>
              <w:jc w:val="center"/>
              <w:rPr>
                <w:rFonts w:ascii="Arial" w:hAnsi="Arial" w:cs="Arial"/>
                <w:sz w:val="20"/>
                <w:szCs w:val="20"/>
              </w:rPr>
            </w:pPr>
            <w:r>
              <w:rPr>
                <w:rFonts w:ascii="Arial" w:hAnsi="Arial" w:eastAsia="Arial" w:cs="Arial"/>
                <w:b/>
                <w:color w:val="000000"/>
                <w:sz w:val="20"/>
                <w:szCs w:val="20"/>
              </w:rPr>
              <w:t xml:space="preserve">USA 2026 status</w:t>
            </w:r>
            <w:r>
              <w:rPr>
                <w:rFonts w:ascii="Arial" w:hAnsi="Arial" w:eastAsia="Arial" w:cs="Arial"/>
                <w:sz w:val="20"/>
                <w:szCs w:val="20"/>
              </w:rPr>
            </w:r>
          </w:p>
        </w:tc>
        <w:tc>
          <w:tcPr>
            <w:tcBorders/>
            <w:tcMar>
              <w:left w:w="15" w:type="dxa"/>
              <w:top w:w="15" w:type="dxa"/>
              <w:right w:w="15" w:type="dxa"/>
              <w:bottom w:w="15" w:type="dxa"/>
            </w:tcMar>
            <w:tcW w:w="1860" w:type="dxa"/>
            <w:vAlign w:val="center"/>
            <w:textDirection w:val="lrTb"/>
            <w:noWrap w:val="false"/>
          </w:tcPr>
          <w:p>
            <w:pPr>
              <w:pBdr/>
              <w:spacing w:after="0" w:before="0" w:line="240"/>
              <w:ind/>
              <w:jc w:val="center"/>
              <w:rPr>
                <w:rFonts w:ascii="Arial" w:hAnsi="Arial" w:cs="Arial"/>
                <w:sz w:val="20"/>
                <w:szCs w:val="20"/>
              </w:rPr>
            </w:pPr>
            <w:r>
              <w:rPr>
                <w:rFonts w:ascii="Arial" w:hAnsi="Arial" w:eastAsia="Arial" w:cs="Arial"/>
                <w:b/>
                <w:color w:val="000000"/>
                <w:sz w:val="20"/>
                <w:szCs w:val="20"/>
              </w:rPr>
              <w:t xml:space="preserve">Why now</w:t>
            </w:r>
            <w:r>
              <w:rPr>
                <w:rFonts w:ascii="Arial" w:hAnsi="Arial" w:eastAsia="Arial" w:cs="Arial"/>
                <w:sz w:val="20"/>
                <w:szCs w:val="20"/>
              </w:rPr>
            </w:r>
          </w:p>
        </w:tc>
        <w:tc>
          <w:tcPr>
            <w:tcBorders/>
            <w:tcMar>
              <w:left w:w="15" w:type="dxa"/>
              <w:top w:w="15" w:type="dxa"/>
              <w:right w:w="15" w:type="dxa"/>
              <w:bottom w:w="15" w:type="dxa"/>
            </w:tcMar>
            <w:tcW w:w="2097" w:type="dxa"/>
            <w:vAlign w:val="center"/>
            <w:textDirection w:val="lrTb"/>
            <w:noWrap w:val="false"/>
          </w:tcPr>
          <w:p>
            <w:pPr>
              <w:pBdr/>
              <w:spacing w:after="0" w:before="0" w:line="240"/>
              <w:ind/>
              <w:jc w:val="center"/>
              <w:rPr>
                <w:rFonts w:ascii="Arial" w:hAnsi="Arial" w:cs="Arial"/>
                <w:sz w:val="20"/>
                <w:szCs w:val="20"/>
              </w:rPr>
            </w:pPr>
            <w:r>
              <w:rPr>
                <w:rFonts w:ascii="Arial" w:hAnsi="Arial" w:eastAsia="Arial" w:cs="Arial"/>
                <w:b/>
                <w:color w:val="000000"/>
                <w:sz w:val="20"/>
                <w:szCs w:val="20"/>
              </w:rPr>
              <w:t xml:space="preserve">Mall effect</w:t>
            </w:r>
            <w:r>
              <w:rPr>
                <w:rFonts w:ascii="Arial" w:hAnsi="Arial" w:eastAsia="Arial" w:cs="Arial"/>
                <w:sz w:val="20"/>
                <w:szCs w:val="20"/>
              </w:rPr>
            </w:r>
          </w:p>
        </w:tc>
        <w:tc>
          <w:tcPr>
            <w:tcBorders/>
            <w:tcMar>
              <w:left w:w="15" w:type="dxa"/>
              <w:top w:w="15" w:type="dxa"/>
              <w:right w:w="15" w:type="dxa"/>
              <w:bottom w:w="15" w:type="dxa"/>
            </w:tcMar>
            <w:tcW w:w="2820" w:type="dxa"/>
            <w:vAlign w:val="center"/>
            <w:textDirection w:val="lrTb"/>
            <w:noWrap w:val="false"/>
          </w:tcPr>
          <w:p>
            <w:pPr>
              <w:pBdr/>
              <w:spacing w:after="0" w:before="0" w:line="240"/>
              <w:ind/>
              <w:jc w:val="center"/>
              <w:rPr>
                <w:rFonts w:ascii="Arial" w:hAnsi="Arial" w:cs="Arial"/>
                <w:sz w:val="20"/>
                <w:szCs w:val="20"/>
              </w:rPr>
            </w:pPr>
            <w:r>
              <w:rPr>
                <w:rFonts w:ascii="Arial" w:hAnsi="Arial" w:eastAsia="Arial" w:cs="Arial"/>
                <w:b/>
                <w:color w:val="000000"/>
                <w:sz w:val="20"/>
                <w:szCs w:val="20"/>
              </w:rPr>
              <w:t xml:space="preserve">Grocery effect</w:t>
            </w:r>
            <w:r>
              <w:rPr>
                <w:rFonts w:ascii="Arial" w:hAnsi="Arial" w:eastAsia="Arial" w:cs="Arial"/>
                <w:sz w:val="20"/>
                <w:szCs w:val="20"/>
              </w:rPr>
            </w:r>
          </w:p>
        </w:tc>
      </w:tr>
      <w:tr>
        <w:trPr/>
        <w:tc>
          <w:tcPr>
            <w:tcBorders/>
            <w:tcMar>
              <w:left w:w="15" w:type="dxa"/>
              <w:top w:w="15" w:type="dxa"/>
              <w:right w:w="15" w:type="dxa"/>
              <w:bottom w:w="15" w:type="dxa"/>
            </w:tcMar>
            <w:tcW w:w="1395"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Value polarization</w:t>
            </w:r>
            <w:r>
              <w:rPr>
                <w:rFonts w:ascii="Arial" w:hAnsi="Arial" w:eastAsia="Arial" w:cs="Arial"/>
                <w:sz w:val="20"/>
                <w:szCs w:val="20"/>
              </w:rPr>
            </w:r>
          </w:p>
        </w:tc>
        <w:tc>
          <w:tcPr>
            <w:tcBorders/>
            <w:tcMar>
              <w:left w:w="15" w:type="dxa"/>
              <w:top w:w="15" w:type="dxa"/>
              <w:right w:w="15" w:type="dxa"/>
              <w:bottom w:w="15" w:type="dxa"/>
            </w:tcMar>
            <w:tcW w:w="1883" w:type="dxa"/>
            <w:vAlign w:val="center"/>
            <w:textDirection w:val="lrTb"/>
            <w:noWrap w:val="false"/>
          </w:tcPr>
          <w:p>
            <w:pPr>
              <w:pBdr/>
              <w:spacing w:after="0" w:before="0" w:line="240"/>
              <w:ind/>
              <w:rPr>
                <w:rFonts w:ascii="Arial" w:hAnsi="Arial" w:eastAsia="Arial" w:cs="Arial"/>
                <w:color w:val="000000"/>
                <w:sz w:val="20"/>
                <w:szCs w:val="20"/>
              </w:rPr>
            </w:pPr>
            <w:r>
              <w:rPr>
                <w:rFonts w:ascii="Arial" w:hAnsi="Arial" w:eastAsia="Arial" w:cs="Arial"/>
                <w:color w:val="000000"/>
                <w:sz w:val="20"/>
                <w:szCs w:val="20"/>
              </w:rPr>
              <w:t xml:space="preserve">Accelerating </w:t>
            </w:r>
            <w:r>
              <w:rPr>
                <w:rFonts w:ascii="Arial" w:hAnsi="Arial" w:cs="Arial"/>
                <w:sz w:val="20"/>
                <w:szCs w:val="20"/>
              </w:rPr>
            </w:r>
          </w:p>
          <w:p>
            <w:pPr>
              <w:pBdr/>
              <w:spacing w:after="0" w:before="0" w:line="240"/>
              <w:ind/>
              <w:rPr>
                <w:rFonts w:ascii="Arial" w:hAnsi="Arial" w:cs="Arial"/>
                <w:sz w:val="20"/>
                <w:szCs w:val="20"/>
              </w:rPr>
            </w:pPr>
            <w:r>
              <w:rPr>
                <w:rFonts w:ascii="Arial" w:hAnsi="Arial" w:eastAsia="Arial" w:cs="Arial"/>
                <w:color w:val="000000"/>
                <w:sz w:val="20"/>
                <w:szCs w:val="20"/>
              </w:rPr>
              <w:t xml:space="preserve">economics.</w:t>
            </w:r>
            <w:r/>
          </w:p>
        </w:tc>
        <w:tc>
          <w:tcPr>
            <w:tcBorders/>
            <w:tcMar>
              <w:left w:w="15" w:type="dxa"/>
              <w:top w:w="15" w:type="dxa"/>
              <w:right w:w="15" w:type="dxa"/>
              <w:bottom w:w="15" w:type="dxa"/>
            </w:tcMar>
            <w:tcW w:w="1860"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K-shaped spending keeps premium demand alive at the top while most households stay price-focused. economics.td+1</w:t>
            </w:r>
            <w:r>
              <w:rPr>
                <w:rFonts w:ascii="Arial" w:hAnsi="Arial" w:eastAsia="Arial" w:cs="Arial"/>
                <w:sz w:val="20"/>
                <w:szCs w:val="20"/>
              </w:rPr>
            </w:r>
          </w:p>
        </w:tc>
        <w:tc>
          <w:tcPr>
            <w:tcBorders/>
            <w:tcMar>
              <w:left w:w="15" w:type="dxa"/>
              <w:top w:w="15" w:type="dxa"/>
              <w:right w:w="15" w:type="dxa"/>
              <w:bottom w:w="15" w:type="dxa"/>
            </w:tcMar>
            <w:tcW w:w="2097"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Luxury, off-price, and value-focused tenants outperform the middle. placer+1</w:t>
            </w:r>
            <w:r>
              <w:rPr>
                <w:rFonts w:ascii="Arial" w:hAnsi="Arial" w:eastAsia="Arial" w:cs="Arial"/>
                <w:sz w:val="20"/>
                <w:szCs w:val="20"/>
              </w:rPr>
            </w:r>
          </w:p>
        </w:tc>
        <w:tc>
          <w:tcPr>
            <w:tcBorders/>
            <w:tcMar>
              <w:left w:w="15" w:type="dxa"/>
              <w:top w:w="15" w:type="dxa"/>
              <w:right w:w="15" w:type="dxa"/>
              <w:bottom w:w="15" w:type="dxa"/>
            </w:tcMar>
            <w:tcW w:w="2820"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More store switching, more promo sensitivity, stronger private label adoption. kaizen+1</w:t>
            </w:r>
            <w:r>
              <w:rPr>
                <w:rFonts w:ascii="Arial" w:hAnsi="Arial" w:eastAsia="Arial" w:cs="Arial"/>
                <w:sz w:val="20"/>
                <w:szCs w:val="20"/>
              </w:rPr>
            </w:r>
          </w:p>
        </w:tc>
      </w:tr>
      <w:tr>
        <w:trPr/>
        <w:tc>
          <w:tcPr>
            <w:tcBorders/>
            <w:tcMar>
              <w:left w:w="15" w:type="dxa"/>
              <w:top w:w="15" w:type="dxa"/>
              <w:right w:w="15" w:type="dxa"/>
              <w:bottom w:w="15" w:type="dxa"/>
            </w:tcMar>
            <w:tcW w:w="1395"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Price hypersensitivity</w:t>
            </w:r>
            <w:r>
              <w:rPr>
                <w:rFonts w:ascii="Arial" w:hAnsi="Arial" w:eastAsia="Arial" w:cs="Arial"/>
                <w:sz w:val="20"/>
                <w:szCs w:val="20"/>
              </w:rPr>
            </w:r>
          </w:p>
        </w:tc>
        <w:tc>
          <w:tcPr>
            <w:tcBorders/>
            <w:tcMar>
              <w:left w:w="15" w:type="dxa"/>
              <w:top w:w="15" w:type="dxa"/>
              <w:right w:w="15" w:type="dxa"/>
              <w:bottom w:w="15" w:type="dxa"/>
            </w:tcMar>
            <w:tcW w:w="1883"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Stable but strong kaizen</w:t>
            </w:r>
            <w:r>
              <w:rPr>
                <w:rFonts w:ascii="Arial" w:hAnsi="Arial" w:eastAsia="Arial" w:cs="Arial"/>
                <w:sz w:val="20"/>
                <w:szCs w:val="20"/>
              </w:rPr>
            </w:r>
          </w:p>
        </w:tc>
        <w:tc>
          <w:tcPr>
            <w:tcBorders/>
            <w:tcMar>
              <w:left w:w="15" w:type="dxa"/>
              <w:top w:w="15" w:type="dxa"/>
              <w:right w:w="15" w:type="dxa"/>
              <w:bottom w:w="15" w:type="dxa"/>
            </w:tcMar>
            <w:tcW w:w="1860"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Around 70% of shoppers remain very concerned about grocery prices. </w:t>
            </w:r>
            <w:hyperlink r:id="rId104" w:tooltip="https://kaizen.com/us/insights-us/supermarket-trends-united-states-2026/" w:history="1">
              <w:r>
                <w:rPr>
                  <w:rStyle w:val="186"/>
                  <w:rFonts w:ascii="Arial" w:hAnsi="Arial" w:eastAsia="Arial" w:cs="Arial"/>
                  <w:color w:val="0000ee"/>
                  <w:sz w:val="20"/>
                  <w:szCs w:val="20"/>
                  <w:u w:val="single"/>
                </w:rPr>
                <w:t xml:space="preserve">kaizen</w:t>
              </w:r>
            </w:hyperlink>
            <w:r>
              <w:rPr>
                <w:rFonts w:ascii="Arial" w:hAnsi="Arial" w:eastAsia="Arial" w:cs="Arial"/>
                <w:sz w:val="20"/>
                <w:szCs w:val="20"/>
              </w:rPr>
            </w:r>
          </w:p>
        </w:tc>
        <w:tc>
          <w:tcPr>
            <w:tcBorders/>
            <w:tcMar>
              <w:left w:w="15" w:type="dxa"/>
              <w:top w:w="15" w:type="dxa"/>
              <w:right w:w="15" w:type="dxa"/>
              <w:bottom w:w="15" w:type="dxa"/>
            </w:tcMar>
            <w:tcW w:w="2097"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Discount and value positioning matters more than generic lifestyle messaging. </w:t>
            </w:r>
            <w:hyperlink r:id="rId105" w:tooltip="https://www.accio.com/business/new-trends-in-shopping-malls" w:history="1">
              <w:r>
                <w:rPr>
                  <w:rStyle w:val="186"/>
                  <w:rFonts w:ascii="Arial" w:hAnsi="Arial" w:eastAsia="Arial" w:cs="Arial"/>
                  <w:color w:val="0000ee"/>
                  <w:sz w:val="20"/>
                  <w:szCs w:val="20"/>
                  <w:u w:val="single"/>
                </w:rPr>
                <w:t xml:space="preserve">accio</w:t>
              </w:r>
            </w:hyperlink>
            <w:r>
              <w:rPr>
                <w:rFonts w:ascii="Arial" w:hAnsi="Arial" w:eastAsia="Arial" w:cs="Arial"/>
                <w:sz w:val="20"/>
                <w:szCs w:val="20"/>
              </w:rPr>
            </w:r>
          </w:p>
        </w:tc>
        <w:tc>
          <w:tcPr>
            <w:tcBorders/>
            <w:tcMar>
              <w:left w:w="15" w:type="dxa"/>
              <w:top w:w="15" w:type="dxa"/>
              <w:right w:w="15" w:type="dxa"/>
              <w:bottom w:w="15" w:type="dxa"/>
            </w:tcMar>
            <w:tcW w:w="2820"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Basket defense behavior persists: comparing stores, fewer impulse buys, lower brand loyalty. kaizen+1</w:t>
            </w:r>
            <w:r>
              <w:rPr>
                <w:rFonts w:ascii="Arial" w:hAnsi="Arial" w:eastAsia="Arial" w:cs="Arial"/>
                <w:sz w:val="20"/>
                <w:szCs w:val="20"/>
              </w:rPr>
            </w:r>
          </w:p>
        </w:tc>
      </w:tr>
      <w:tr>
        <w:trPr/>
        <w:tc>
          <w:tcPr>
            <w:tcBorders/>
            <w:tcMar>
              <w:left w:w="15" w:type="dxa"/>
              <w:top w:w="15" w:type="dxa"/>
              <w:right w:w="15" w:type="dxa"/>
              <w:bottom w:w="15" w:type="dxa"/>
            </w:tcMar>
            <w:tcW w:w="1395"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Private label</w:t>
            </w:r>
            <w:r>
              <w:rPr>
                <w:rFonts w:ascii="Arial" w:hAnsi="Arial" w:eastAsia="Arial" w:cs="Arial"/>
                <w:sz w:val="20"/>
                <w:szCs w:val="20"/>
              </w:rPr>
            </w:r>
          </w:p>
        </w:tc>
        <w:tc>
          <w:tcPr>
            <w:tcBorders/>
            <w:tcMar>
              <w:left w:w="15" w:type="dxa"/>
              <w:top w:w="15" w:type="dxa"/>
              <w:right w:w="15" w:type="dxa"/>
              <w:bottom w:w="15" w:type="dxa"/>
            </w:tcMar>
            <w:tcW w:w="1883" w:type="dxa"/>
            <w:vAlign w:val="center"/>
            <w:textDirection w:val="lrTb"/>
            <w:noWrap w:val="false"/>
          </w:tcPr>
          <w:p>
            <w:pPr>
              <w:pBdr/>
              <w:spacing w:after="0" w:before="0" w:line="240"/>
              <w:ind/>
              <w:rPr>
                <w:rFonts w:ascii="Arial" w:hAnsi="Arial" w:eastAsia="Arial" w:cs="Arial"/>
                <w:color w:val="000000"/>
                <w:sz w:val="20"/>
                <w:szCs w:val="20"/>
              </w:rPr>
            </w:pPr>
            <w:r>
              <w:rPr>
                <w:rFonts w:ascii="Arial" w:hAnsi="Arial" w:eastAsia="Arial" w:cs="Arial"/>
                <w:color w:val="000000"/>
                <w:sz w:val="20"/>
                <w:szCs w:val="20"/>
              </w:rPr>
              <w:t xml:space="preserve">Accelerating </w:t>
            </w:r>
            <w:r>
              <w:rPr>
                <w:rFonts w:ascii="Arial" w:hAnsi="Arial" w:cs="Arial"/>
                <w:sz w:val="20"/>
                <w:szCs w:val="20"/>
              </w:rPr>
            </w:r>
          </w:p>
          <w:p>
            <w:pPr>
              <w:pBdr/>
              <w:spacing w:after="0" w:before="0" w:line="240"/>
              <w:ind/>
              <w:rPr>
                <w:rFonts w:ascii="Arial" w:hAnsi="Arial" w:cs="Arial"/>
                <w:sz w:val="20"/>
                <w:szCs w:val="20"/>
              </w:rPr>
            </w:pPr>
            <w:r>
              <w:rPr>
                <w:rFonts w:ascii="Arial" w:hAnsi="Arial" w:eastAsia="Arial" w:cs="Arial"/>
                <w:color w:val="000000"/>
                <w:sz w:val="20"/>
                <w:szCs w:val="20"/>
              </w:rPr>
            </w:r>
            <w:r>
              <w:rPr>
                <w:rFonts w:ascii="Arial" w:hAnsi="Arial" w:eastAsia="Arial" w:cs="Arial"/>
                <w:sz w:val="20"/>
                <w:szCs w:val="20"/>
              </w:rPr>
              <w:t xml:space="preserve">supermarket</w:t>
            </w:r>
            <w:r/>
          </w:p>
        </w:tc>
        <w:tc>
          <w:tcPr>
            <w:tcBorders/>
            <w:tcMar>
              <w:left w:w="15" w:type="dxa"/>
              <w:top w:w="15" w:type="dxa"/>
              <w:right w:w="15" w:type="dxa"/>
              <w:bottom w:w="15" w:type="dxa"/>
            </w:tcMar>
            <w:tcW w:w="1860"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44% of shoppers say they are buying more store brands, and 88% plan to maintain or increase private-label purchases in 2026. </w:t>
            </w:r>
            <w:hyperlink r:id="rId106" w:tooltip="https://www.supermarketnews.com/grocery-trends-data/report-grocery-shoppers-predicted-to-spend-more-on-food-in-2026-as-buying-behavior-evolves" w:history="1">
              <w:r>
                <w:rPr>
                  <w:rStyle w:val="186"/>
                  <w:rFonts w:ascii="Arial" w:hAnsi="Arial" w:eastAsia="Arial" w:cs="Arial"/>
                  <w:color w:val="0000ee"/>
                  <w:sz w:val="20"/>
                  <w:szCs w:val="20"/>
                  <w:u w:val="single"/>
                </w:rPr>
              </w:r>
            </w:hyperlink>
            <w:r>
              <w:rPr>
                <w:rFonts w:ascii="Arial" w:hAnsi="Arial" w:eastAsia="Arial" w:cs="Arial"/>
                <w:sz w:val="20"/>
                <w:szCs w:val="20"/>
              </w:rPr>
            </w:r>
          </w:p>
        </w:tc>
        <w:tc>
          <w:tcPr>
            <w:tcBorders/>
            <w:tcMar>
              <w:left w:w="15" w:type="dxa"/>
              <w:top w:w="15" w:type="dxa"/>
              <w:right w:w="15" w:type="dxa"/>
              <w:bottom w:w="15" w:type="dxa"/>
            </w:tcMar>
            <w:tcW w:w="2097"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Indirect effect through value retailers and warehouse-style concepts. </w:t>
            </w:r>
            <w:hyperlink r:id="rId107" w:tooltip="https://www.eatthis.com/supermarket-trends-reshaping-the-grocery-aisle-2026/" w:history="1">
              <w:r>
                <w:rPr>
                  <w:rStyle w:val="186"/>
                  <w:rFonts w:ascii="Arial" w:hAnsi="Arial" w:eastAsia="Arial" w:cs="Arial"/>
                  <w:color w:val="0000ee"/>
                  <w:sz w:val="20"/>
                  <w:szCs w:val="20"/>
                  <w:u w:val="single"/>
                </w:rPr>
                <w:t xml:space="preserve">eatthis</w:t>
              </w:r>
            </w:hyperlink>
            <w:r>
              <w:rPr>
                <w:rFonts w:ascii="Arial" w:hAnsi="Arial" w:eastAsia="Arial" w:cs="Arial"/>
                <w:sz w:val="20"/>
                <w:szCs w:val="20"/>
              </w:rPr>
            </w:r>
          </w:p>
        </w:tc>
        <w:tc>
          <w:tcPr>
            <w:tcBorders/>
            <w:tcMar>
              <w:left w:w="15" w:type="dxa"/>
              <w:top w:w="15" w:type="dxa"/>
              <w:right w:w="15" w:type="dxa"/>
              <w:bottom w:w="15" w:type="dxa"/>
            </w:tcMar>
            <w:tcW w:w="2820"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Store brands gain trust, especially in food, where 61% trust private-label quality. </w:t>
            </w:r>
            <w:hyperlink r:id="rId108" w:tooltip="https://www.supermarketnews.com/grocery-trends-data/report-grocery-shoppers-predicted-to-spend-more-on-food-in-2026-as-buying-behavior-evolves" w:history="1">
              <w:r>
                <w:rPr>
                  <w:rStyle w:val="186"/>
                  <w:rFonts w:ascii="Arial" w:hAnsi="Arial" w:eastAsia="Arial" w:cs="Arial"/>
                  <w:color w:val="0000ee"/>
                  <w:sz w:val="20"/>
                  <w:szCs w:val="20"/>
                  <w:u w:val="single"/>
                </w:rPr>
                <w:t xml:space="preserve">supermarketnews</w:t>
              </w:r>
            </w:hyperlink>
            <w:r>
              <w:rPr>
                <w:rFonts w:ascii="Arial" w:hAnsi="Arial" w:eastAsia="Arial" w:cs="Arial"/>
                <w:sz w:val="20"/>
                <w:szCs w:val="20"/>
              </w:rPr>
            </w:r>
          </w:p>
        </w:tc>
      </w:tr>
      <w:tr>
        <w:trPr/>
        <w:tc>
          <w:tcPr>
            <w:tcBorders/>
            <w:tcMar>
              <w:left w:w="15" w:type="dxa"/>
              <w:top w:w="15" w:type="dxa"/>
              <w:right w:w="15" w:type="dxa"/>
              <w:bottom w:w="15" w:type="dxa"/>
            </w:tcMar>
            <w:tcW w:w="1395"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Convenience / food-to-go</w:t>
            </w:r>
            <w:r>
              <w:rPr>
                <w:rFonts w:ascii="Arial" w:hAnsi="Arial" w:eastAsia="Arial" w:cs="Arial"/>
                <w:sz w:val="20"/>
                <w:szCs w:val="20"/>
              </w:rPr>
            </w:r>
          </w:p>
        </w:tc>
        <w:tc>
          <w:tcPr>
            <w:tcBorders/>
            <w:tcMar>
              <w:left w:w="15" w:type="dxa"/>
              <w:top w:w="15" w:type="dxa"/>
              <w:right w:w="15" w:type="dxa"/>
              <w:bottom w:w="15" w:type="dxa"/>
            </w:tcMar>
            <w:tcW w:w="1883" w:type="dxa"/>
            <w:vAlign w:val="center"/>
            <w:textDirection w:val="lrTb"/>
            <w:noWrap w:val="false"/>
          </w:tcPr>
          <w:p>
            <w:pPr>
              <w:pBdr/>
              <w:spacing w:after="0" w:before="0" w:line="240"/>
              <w:ind/>
              <w:rPr>
                <w:rFonts w:ascii="Arial" w:hAnsi="Arial" w:eastAsia="Arial" w:cs="Arial"/>
                <w:color w:val="000000"/>
                <w:sz w:val="20"/>
                <w:szCs w:val="20"/>
              </w:rPr>
            </w:pPr>
            <w:r>
              <w:rPr>
                <w:rFonts w:ascii="Arial" w:hAnsi="Arial" w:eastAsia="Arial" w:cs="Arial"/>
                <w:color w:val="000000"/>
                <w:sz w:val="20"/>
                <w:szCs w:val="20"/>
              </w:rPr>
              <w:t xml:space="preserve">Accelerating </w:t>
            </w:r>
            <w:r>
              <w:rPr>
                <w:rFonts w:ascii="Arial" w:hAnsi="Arial" w:cs="Arial"/>
                <w:sz w:val="20"/>
                <w:szCs w:val="20"/>
              </w:rPr>
            </w:r>
          </w:p>
          <w:p>
            <w:pPr>
              <w:pBdr/>
              <w:spacing w:after="0" w:before="0" w:line="240"/>
              <w:ind/>
              <w:rPr>
                <w:rFonts w:ascii="Arial" w:hAnsi="Arial" w:cs="Arial"/>
                <w:sz w:val="20"/>
                <w:szCs w:val="20"/>
              </w:rPr>
            </w:pPr>
            <w:r>
              <w:rPr>
                <w:rFonts w:ascii="Arial" w:hAnsi="Arial" w:eastAsia="Arial" w:cs="Arial"/>
                <w:color w:val="000000"/>
                <w:sz w:val="20"/>
                <w:szCs w:val="20"/>
              </w:rPr>
              <w:t xml:space="preserve">restaurant</w:t>
            </w:r>
            <w:r>
              <w:rPr>
                <w:rFonts w:ascii="Arial" w:hAnsi="Arial" w:eastAsia="Arial" w:cs="Arial"/>
                <w:sz w:val="20"/>
                <w:szCs w:val="20"/>
              </w:rPr>
            </w:r>
            <w:r/>
          </w:p>
        </w:tc>
        <w:tc>
          <w:tcPr>
            <w:tcBorders/>
            <w:tcMar>
              <w:left w:w="15" w:type="dxa"/>
              <w:top w:w="15" w:type="dxa"/>
              <w:right w:w="15" w:type="dxa"/>
              <w:bottom w:w="15" w:type="dxa"/>
            </w:tcMar>
            <w:tcW w:w="1860"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Consumers want value, speed, and lower-effort eating, while c-stores are evolving into real foodservice competitors. restaurant+1</w:t>
            </w:r>
            <w:r>
              <w:rPr>
                <w:rFonts w:ascii="Arial" w:hAnsi="Arial" w:eastAsia="Arial" w:cs="Arial"/>
                <w:sz w:val="20"/>
                <w:szCs w:val="20"/>
              </w:rPr>
            </w:r>
          </w:p>
        </w:tc>
        <w:tc>
          <w:tcPr>
            <w:tcBorders/>
            <w:tcMar>
              <w:left w:w="15" w:type="dxa"/>
              <w:top w:w="15" w:type="dxa"/>
              <w:right w:w="15" w:type="dxa"/>
              <w:bottom w:w="15" w:type="dxa"/>
            </w:tcMar>
            <w:tcW w:w="2097"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Food courts are no longer enough; centers need strong quick-service and social dining offers. naiop+1</w:t>
            </w:r>
            <w:r>
              <w:rPr>
                <w:rFonts w:ascii="Arial" w:hAnsi="Arial" w:eastAsia="Arial" w:cs="Arial"/>
                <w:sz w:val="20"/>
                <w:szCs w:val="20"/>
              </w:rPr>
            </w:r>
          </w:p>
        </w:tc>
        <w:tc>
          <w:tcPr>
            <w:tcBorders/>
            <w:tcMar>
              <w:left w:w="15" w:type="dxa"/>
              <w:top w:w="15" w:type="dxa"/>
              <w:right w:w="15" w:type="dxa"/>
              <w:bottom w:w="15" w:type="dxa"/>
            </w:tcMar>
            <w:tcW w:w="2820"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Prepared meals, single-serve, c-store foodservice, and hybrid grocery missions grow. foodnavigator-usa+1</w:t>
            </w:r>
            <w:r>
              <w:rPr>
                <w:rFonts w:ascii="Arial" w:hAnsi="Arial" w:eastAsia="Arial" w:cs="Arial"/>
                <w:sz w:val="20"/>
                <w:szCs w:val="20"/>
              </w:rPr>
            </w:r>
          </w:p>
        </w:tc>
      </w:tr>
      <w:tr>
        <w:trPr/>
        <w:tc>
          <w:tcPr>
            <w:tcBorders/>
            <w:tcMar>
              <w:left w:w="15" w:type="dxa"/>
              <w:top w:w="15" w:type="dxa"/>
              <w:right w:w="15" w:type="dxa"/>
              <w:bottom w:w="15" w:type="dxa"/>
            </w:tcMar>
            <w:tcW w:w="1395"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AI in shopping</w:t>
            </w:r>
            <w:r>
              <w:rPr>
                <w:rFonts w:ascii="Arial" w:hAnsi="Arial" w:eastAsia="Arial" w:cs="Arial"/>
                <w:sz w:val="20"/>
                <w:szCs w:val="20"/>
              </w:rPr>
            </w:r>
          </w:p>
        </w:tc>
        <w:tc>
          <w:tcPr>
            <w:tcBorders/>
            <w:tcMar>
              <w:left w:w="15" w:type="dxa"/>
              <w:top w:w="15" w:type="dxa"/>
              <w:right w:w="15" w:type="dxa"/>
              <w:bottom w:w="15" w:type="dxa"/>
            </w:tcMar>
            <w:tcW w:w="1883"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Rising kaizen+1</w:t>
            </w:r>
            <w:r>
              <w:rPr>
                <w:rFonts w:ascii="Arial" w:hAnsi="Arial" w:eastAsia="Arial" w:cs="Arial"/>
                <w:sz w:val="20"/>
                <w:szCs w:val="20"/>
              </w:rPr>
            </w:r>
          </w:p>
        </w:tc>
        <w:tc>
          <w:tcPr>
            <w:tcBorders/>
            <w:tcMar>
              <w:left w:w="15" w:type="dxa"/>
              <w:top w:w="15" w:type="dxa"/>
              <w:right w:w="15" w:type="dxa"/>
              <w:bottom w:w="15" w:type="dxa"/>
            </w:tcMar>
            <w:tcW w:w="1860"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Retailers are using AI for pricing, personalization, and operations as competition intensifies. kaizen+1</w:t>
            </w:r>
            <w:r>
              <w:rPr>
                <w:rFonts w:ascii="Arial" w:hAnsi="Arial" w:eastAsia="Arial" w:cs="Arial"/>
                <w:sz w:val="20"/>
                <w:szCs w:val="20"/>
              </w:rPr>
            </w:r>
          </w:p>
        </w:tc>
        <w:tc>
          <w:tcPr>
            <w:tcBorders/>
            <w:tcMar>
              <w:left w:w="15" w:type="dxa"/>
              <w:top w:w="15" w:type="dxa"/>
              <w:right w:w="15" w:type="dxa"/>
              <w:bottom w:w="15" w:type="dxa"/>
            </w:tcMar>
            <w:tcW w:w="2097"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Better targeting, digital signage, loyalty personalization, and “phygital” features. </w:t>
            </w:r>
            <w:hyperlink r:id="rId109" w:tooltip="https://netchoice.org/why-experiential-retail-is-the-new-standard-for-2026/" w:history="1">
              <w:r>
                <w:rPr>
                  <w:rStyle w:val="186"/>
                  <w:rFonts w:ascii="Arial" w:hAnsi="Arial" w:eastAsia="Arial" w:cs="Arial"/>
                  <w:color w:val="0000ee"/>
                  <w:sz w:val="20"/>
                  <w:szCs w:val="20"/>
                  <w:u w:val="single"/>
                </w:rPr>
                <w:t xml:space="preserve">netchoice</w:t>
              </w:r>
            </w:hyperlink>
            <w:r>
              <w:rPr>
                <w:rFonts w:ascii="Arial" w:hAnsi="Arial" w:eastAsia="Arial" w:cs="Arial"/>
                <w:sz w:val="20"/>
                <w:szCs w:val="20"/>
              </w:rPr>
            </w:r>
          </w:p>
        </w:tc>
        <w:tc>
          <w:tcPr>
            <w:tcBorders/>
            <w:tcMar>
              <w:left w:w="15" w:type="dxa"/>
              <w:top w:w="15" w:type="dxa"/>
              <w:right w:w="15" w:type="dxa"/>
              <w:bottom w:w="15" w:type="dxa"/>
            </w:tcMar>
            <w:tcW w:w="2820"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Assortment, replenishment, pricing, and digital commerce optimization improve. </w:t>
            </w:r>
            <w:hyperlink r:id="rId110" w:tooltip="https://kaizen.com/us/insights-us/supermarket-trends-united-states-2026/" w:history="1">
              <w:r>
                <w:rPr>
                  <w:rStyle w:val="186"/>
                  <w:rFonts w:ascii="Arial" w:hAnsi="Arial" w:eastAsia="Arial" w:cs="Arial"/>
                  <w:color w:val="0000ee"/>
                  <w:sz w:val="20"/>
                  <w:szCs w:val="20"/>
                  <w:u w:val="single"/>
                </w:rPr>
                <w:t xml:space="preserve">kaizen</w:t>
              </w:r>
            </w:hyperlink>
            <w:r>
              <w:rPr>
                <w:rFonts w:ascii="Arial" w:hAnsi="Arial" w:eastAsia="Arial" w:cs="Arial"/>
                <w:sz w:val="20"/>
                <w:szCs w:val="20"/>
              </w:rPr>
            </w:r>
          </w:p>
        </w:tc>
      </w:tr>
      <w:tr>
        <w:trPr/>
        <w:tc>
          <w:tcPr>
            <w:tcBorders/>
            <w:tcMar>
              <w:left w:w="15" w:type="dxa"/>
              <w:top w:w="15" w:type="dxa"/>
              <w:right w:w="15" w:type="dxa"/>
              <w:bottom w:w="15" w:type="dxa"/>
            </w:tcMar>
            <w:tcW w:w="1395"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Health &amp; functional food</w:t>
            </w:r>
            <w:r>
              <w:rPr>
                <w:rFonts w:ascii="Arial" w:hAnsi="Arial" w:eastAsia="Arial" w:cs="Arial"/>
                <w:sz w:val="20"/>
                <w:szCs w:val="20"/>
              </w:rPr>
            </w:r>
          </w:p>
        </w:tc>
        <w:tc>
          <w:tcPr>
            <w:tcBorders/>
            <w:tcMar>
              <w:left w:w="15" w:type="dxa"/>
              <w:top w:w="15" w:type="dxa"/>
              <w:right w:w="15" w:type="dxa"/>
              <w:bottom w:w="15" w:type="dxa"/>
            </w:tcMar>
            <w:tcW w:w="1883" w:type="dxa"/>
            <w:vAlign w:val="center"/>
            <w:textDirection w:val="lrTb"/>
            <w:noWrap w:val="false"/>
          </w:tcPr>
          <w:p>
            <w:pPr>
              <w:pBdr/>
              <w:spacing w:after="0" w:before="0" w:line="240"/>
              <w:ind/>
              <w:rPr>
                <w:rFonts w:ascii="Arial" w:hAnsi="Arial" w:eastAsia="Arial" w:cs="Arial"/>
                <w:color w:val="000000"/>
                <w:sz w:val="20"/>
                <w:szCs w:val="20"/>
              </w:rPr>
            </w:pPr>
            <w:r>
              <w:rPr>
                <w:rFonts w:ascii="Arial" w:hAnsi="Arial" w:eastAsia="Arial" w:cs="Arial"/>
                <w:color w:val="000000"/>
                <w:sz w:val="20"/>
                <w:szCs w:val="20"/>
              </w:rPr>
              <w:t xml:space="preserve">Rising </w:t>
            </w:r>
            <w:r>
              <w:rPr>
                <w:rFonts w:ascii="Arial" w:hAnsi="Arial" w:cs="Arial"/>
                <w:sz w:val="20"/>
                <w:szCs w:val="20"/>
              </w:rPr>
            </w:r>
          </w:p>
          <w:p>
            <w:pPr>
              <w:pBdr/>
              <w:spacing w:after="0" w:before="0" w:line="240"/>
              <w:ind/>
              <w:rPr>
                <w:rFonts w:ascii="Arial" w:hAnsi="Arial" w:cs="Arial"/>
                <w:sz w:val="20"/>
                <w:szCs w:val="20"/>
              </w:rPr>
            </w:pPr>
            <w:r>
              <w:rPr>
                <w:rFonts w:ascii="Arial" w:hAnsi="Arial" w:eastAsia="Arial" w:cs="Arial"/>
                <w:color w:val="000000"/>
                <w:sz w:val="20"/>
                <w:szCs w:val="20"/>
              </w:rPr>
              <w:t xml:space="preserve">supermarketnews+1</w:t>
            </w:r>
            <w:r>
              <w:rPr>
                <w:rFonts w:ascii="Arial" w:hAnsi="Arial" w:eastAsia="Arial" w:cs="Arial"/>
                <w:sz w:val="20"/>
                <w:szCs w:val="20"/>
              </w:rPr>
            </w:r>
            <w:r/>
          </w:p>
        </w:tc>
        <w:tc>
          <w:tcPr>
            <w:tcBorders/>
            <w:tcMar>
              <w:left w:w="15" w:type="dxa"/>
              <w:top w:w="15" w:type="dxa"/>
              <w:right w:w="15" w:type="dxa"/>
              <w:bottom w:w="15" w:type="dxa"/>
            </w:tcMar>
            <w:tcW w:w="1860"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51% of food shoppers plan to buy more better-for-you products in 2026, even at higher prices. </w:t>
            </w:r>
            <w:hyperlink r:id="rId111" w:tooltip="https://www.supermarketnews.com/grocery-trends-data/report-grocery-shoppers-predicted-to-spend-more-on-food-in-2026-as-buying-behavior-evolves" w:history="1">
              <w:r>
                <w:rPr>
                  <w:rStyle w:val="186"/>
                  <w:rFonts w:ascii="Arial" w:hAnsi="Arial" w:eastAsia="Arial" w:cs="Arial"/>
                  <w:color w:val="0000ee"/>
                  <w:sz w:val="20"/>
                  <w:szCs w:val="20"/>
                  <w:u w:val="single"/>
                </w:rPr>
                <w:t xml:space="preserve">supermarketnews</w:t>
              </w:r>
            </w:hyperlink>
            <w:r>
              <w:rPr>
                <w:rFonts w:ascii="Arial" w:hAnsi="Arial" w:eastAsia="Arial" w:cs="Arial"/>
                <w:sz w:val="20"/>
                <w:szCs w:val="20"/>
              </w:rPr>
            </w:r>
          </w:p>
        </w:tc>
        <w:tc>
          <w:tcPr>
            <w:tcBorders/>
            <w:tcMar>
              <w:left w:w="15" w:type="dxa"/>
              <w:top w:w="15" w:type="dxa"/>
              <w:right w:w="15" w:type="dxa"/>
              <w:bottom w:w="15" w:type="dxa"/>
            </w:tcMar>
            <w:tcW w:w="2097"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More wellness, beauty, and health-adjacent traffic drivers. </w:t>
            </w:r>
            <w:hyperlink r:id="rId112" w:tooltip="https://www.accio.com/business/new-trends-in-shopping-malls" w:history="1">
              <w:r>
                <w:rPr>
                  <w:rStyle w:val="186"/>
                  <w:rFonts w:ascii="Arial" w:hAnsi="Arial" w:eastAsia="Arial" w:cs="Arial"/>
                  <w:color w:val="0000ee"/>
                  <w:sz w:val="20"/>
                  <w:szCs w:val="20"/>
                  <w:u w:val="single"/>
                </w:rPr>
                <w:t xml:space="preserve">accio</w:t>
              </w:r>
            </w:hyperlink>
            <w:r>
              <w:rPr>
                <w:rFonts w:ascii="Arial" w:hAnsi="Arial" w:eastAsia="Arial" w:cs="Arial"/>
                <w:sz w:val="20"/>
                <w:szCs w:val="20"/>
              </w:rPr>
            </w:r>
          </w:p>
        </w:tc>
        <w:tc>
          <w:tcPr>
            <w:tcBorders/>
            <w:tcMar>
              <w:left w:w="15" w:type="dxa"/>
              <w:top w:w="15" w:type="dxa"/>
              <w:right w:w="15" w:type="dxa"/>
              <w:bottom w:w="15" w:type="dxa"/>
            </w:tcMar>
            <w:tcW w:w="2820"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Protein, functional beverages, cleaner recipes, and portion-smart products gain share. restaurant+1</w:t>
            </w:r>
            <w:r>
              <w:rPr>
                <w:rFonts w:ascii="Arial" w:hAnsi="Arial" w:eastAsia="Arial" w:cs="Arial"/>
                <w:sz w:val="20"/>
                <w:szCs w:val="20"/>
              </w:rPr>
            </w:r>
          </w:p>
        </w:tc>
      </w:tr>
      <w:tr>
        <w:trPr/>
        <w:tc>
          <w:tcPr>
            <w:tcBorders/>
            <w:tcMar>
              <w:left w:w="15" w:type="dxa"/>
              <w:top w:w="15" w:type="dxa"/>
              <w:right w:w="15" w:type="dxa"/>
              <w:bottom w:w="15" w:type="dxa"/>
            </w:tcMar>
            <w:tcW w:w="1395"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GLP-1 basket shift</w:t>
            </w:r>
            <w:r>
              <w:rPr>
                <w:rFonts w:ascii="Arial" w:hAnsi="Arial" w:eastAsia="Arial" w:cs="Arial"/>
                <w:sz w:val="20"/>
                <w:szCs w:val="20"/>
              </w:rPr>
            </w:r>
          </w:p>
        </w:tc>
        <w:tc>
          <w:tcPr>
            <w:tcBorders/>
            <w:tcMar>
              <w:left w:w="15" w:type="dxa"/>
              <w:top w:w="15" w:type="dxa"/>
              <w:right w:w="15" w:type="dxa"/>
              <w:bottom w:w="15" w:type="dxa"/>
            </w:tcMar>
            <w:tcW w:w="1883" w:type="dxa"/>
            <w:vAlign w:val="center"/>
            <w:textDirection w:val="lrTb"/>
            <w:noWrap w:val="false"/>
          </w:tcPr>
          <w:p>
            <w:pPr>
              <w:pBdr/>
              <w:spacing w:after="0" w:before="0" w:line="240"/>
              <w:ind/>
              <w:rPr>
                <w:rFonts w:ascii="Arial" w:hAnsi="Arial" w:eastAsia="Arial" w:cs="Arial"/>
                <w:color w:val="000000"/>
                <w:sz w:val="20"/>
                <w:szCs w:val="20"/>
              </w:rPr>
            </w:pPr>
            <w:r>
              <w:rPr>
                <w:rFonts w:ascii="Arial" w:hAnsi="Arial" w:eastAsia="Arial" w:cs="Arial"/>
                <w:color w:val="000000"/>
                <w:sz w:val="20"/>
                <w:szCs w:val="20"/>
              </w:rPr>
              <w:t xml:space="preserve">Accelerating </w:t>
            </w:r>
            <w:r>
              <w:rPr>
                <w:rFonts w:ascii="Arial" w:hAnsi="Arial" w:cs="Arial"/>
                <w:sz w:val="20"/>
                <w:szCs w:val="20"/>
              </w:rPr>
            </w:r>
          </w:p>
          <w:p>
            <w:pPr>
              <w:pBdr/>
              <w:spacing w:after="0" w:before="0" w:line="240"/>
              <w:ind/>
              <w:rPr>
                <w:rFonts w:ascii="Arial" w:hAnsi="Arial" w:cs="Arial"/>
                <w:sz w:val="20"/>
                <w:szCs w:val="20"/>
              </w:rPr>
            </w:pPr>
            <w:r>
              <w:rPr>
                <w:rFonts w:ascii="Arial" w:hAnsi="Arial" w:eastAsia="Arial" w:cs="Arial"/>
                <w:color w:val="000000"/>
                <w:sz w:val="20"/>
                <w:szCs w:val="20"/>
              </w:rPr>
              <w:t xml:space="preserve">grocerydive+1</w:t>
            </w:r>
            <w:r>
              <w:rPr>
                <w:rFonts w:ascii="Arial" w:hAnsi="Arial" w:eastAsia="Arial" w:cs="Arial"/>
                <w:sz w:val="20"/>
                <w:szCs w:val="20"/>
              </w:rPr>
            </w:r>
            <w:r/>
          </w:p>
        </w:tc>
        <w:tc>
          <w:tcPr>
            <w:tcBorders/>
            <w:tcMar>
              <w:left w:w="15" w:type="dxa"/>
              <w:top w:w="15" w:type="dxa"/>
              <w:right w:w="15" w:type="dxa"/>
              <w:bottom w:w="15" w:type="dxa"/>
            </w:tcMar>
            <w:tcW w:w="1860"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Obesity drugs are now materially changing what people buy, how much they buy, and in what pack sizes. </w:t>
            </w:r>
            <w:hyperlink r:id="rId113" w:tooltip="https://www.reuters.com/legal/litigation/big-food-pours-millions-into-rebrands-obesity-drugs-reshape-us-demand-2026-02-18/" w:history="1">
              <w:r>
                <w:rPr>
                  <w:rStyle w:val="186"/>
                  <w:rFonts w:ascii="Arial" w:hAnsi="Arial" w:eastAsia="Arial" w:cs="Arial"/>
                  <w:color w:val="0000ee"/>
                  <w:sz w:val="20"/>
                  <w:szCs w:val="20"/>
                  <w:u w:val="single"/>
                </w:rPr>
                <w:t xml:space="preserve">reuters</w:t>
              </w:r>
            </w:hyperlink>
            <w:r>
              <w:rPr>
                <w:rFonts w:ascii="Arial" w:hAnsi="Arial" w:eastAsia="Arial" w:cs="Arial"/>
                <w:sz w:val="20"/>
                <w:szCs w:val="20"/>
              </w:rPr>
            </w:r>
          </w:p>
        </w:tc>
        <w:tc>
          <w:tcPr>
            <w:tcBorders/>
            <w:tcMar>
              <w:left w:w="15" w:type="dxa"/>
              <w:top w:w="15" w:type="dxa"/>
              <w:right w:w="15" w:type="dxa"/>
              <w:bottom w:w="15" w:type="dxa"/>
            </w:tcMar>
            <w:tcW w:w="2097"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Apparel and beauty may benefit from body-change shopping; food anchors must adapt. placer+1</w:t>
            </w:r>
            <w:r>
              <w:rPr>
                <w:rFonts w:ascii="Arial" w:hAnsi="Arial" w:eastAsia="Arial" w:cs="Arial"/>
                <w:sz w:val="20"/>
                <w:szCs w:val="20"/>
              </w:rPr>
            </w:r>
          </w:p>
        </w:tc>
        <w:tc>
          <w:tcPr>
            <w:tcBorders/>
            <w:tcMar>
              <w:left w:w="15" w:type="dxa"/>
              <w:top w:w="15" w:type="dxa"/>
              <w:right w:w="15" w:type="dxa"/>
              <w:bottom w:w="15" w:type="dxa"/>
            </w:tcMar>
            <w:tcW w:w="2820"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Smaller baskets, less dessert/alcohol, more produce/protein, more portion control. reuters+1</w:t>
            </w:r>
            <w:r>
              <w:rPr>
                <w:rFonts w:ascii="Arial" w:hAnsi="Arial" w:eastAsia="Arial" w:cs="Arial"/>
                <w:sz w:val="20"/>
                <w:szCs w:val="20"/>
              </w:rPr>
            </w:r>
          </w:p>
        </w:tc>
      </w:tr>
      <w:tr>
        <w:trPr/>
        <w:tc>
          <w:tcPr>
            <w:tcBorders/>
            <w:tcMar>
              <w:left w:w="15" w:type="dxa"/>
              <w:top w:w="15" w:type="dxa"/>
              <w:right w:w="15" w:type="dxa"/>
              <w:bottom w:w="15" w:type="dxa"/>
            </w:tcMar>
            <w:tcW w:w="1395"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E-commerce / hybrid grocery</w:t>
            </w:r>
            <w:r>
              <w:rPr>
                <w:rFonts w:ascii="Arial" w:hAnsi="Arial" w:eastAsia="Arial" w:cs="Arial"/>
                <w:sz w:val="20"/>
                <w:szCs w:val="20"/>
              </w:rPr>
            </w:r>
          </w:p>
        </w:tc>
        <w:tc>
          <w:tcPr>
            <w:tcBorders/>
            <w:tcMar>
              <w:left w:w="15" w:type="dxa"/>
              <w:top w:w="15" w:type="dxa"/>
              <w:right w:w="15" w:type="dxa"/>
              <w:bottom w:w="15" w:type="dxa"/>
            </w:tcMar>
            <w:tcW w:w="1883" w:type="dxa"/>
            <w:vAlign w:val="center"/>
            <w:textDirection w:val="lrTb"/>
            <w:noWrap w:val="false"/>
          </w:tcPr>
          <w:p>
            <w:pPr>
              <w:pBdr/>
              <w:spacing w:after="0" w:before="0" w:line="240"/>
              <w:ind/>
              <w:rPr>
                <w:rFonts w:ascii="Arial" w:hAnsi="Arial" w:eastAsia="Arial" w:cs="Arial"/>
                <w:color w:val="000000"/>
                <w:sz w:val="20"/>
                <w:szCs w:val="20"/>
              </w:rPr>
            </w:pPr>
            <w:r>
              <w:rPr>
                <w:rFonts w:ascii="Arial" w:hAnsi="Arial" w:eastAsia="Arial" w:cs="Arial"/>
                <w:color w:val="000000"/>
                <w:sz w:val="20"/>
                <w:szCs w:val="20"/>
              </w:rPr>
              <w:t xml:space="preserve">Accelerating</w:t>
            </w:r>
            <w:r>
              <w:rPr>
                <w:rFonts w:ascii="Arial" w:hAnsi="Arial" w:cs="Arial"/>
                <w:sz w:val="20"/>
                <w:szCs w:val="20"/>
              </w:rPr>
            </w:r>
          </w:p>
          <w:p>
            <w:pPr>
              <w:pBdr/>
              <w:spacing w:after="0" w:before="0" w:line="240"/>
              <w:ind/>
              <w:rPr>
                <w:rFonts w:ascii="Arial" w:hAnsi="Arial" w:cs="Arial"/>
                <w:sz w:val="20"/>
                <w:szCs w:val="20"/>
              </w:rPr>
            </w:pPr>
            <w:r>
              <w:rPr>
                <w:rFonts w:ascii="Arial" w:hAnsi="Arial" w:eastAsia="Arial" w:cs="Arial"/>
                <w:color w:val="000000"/>
                <w:sz w:val="20"/>
                <w:szCs w:val="20"/>
              </w:rPr>
              <w:t xml:space="preserve"> localexpress+1</w:t>
            </w:r>
            <w:r>
              <w:rPr>
                <w:rFonts w:ascii="Arial" w:hAnsi="Arial" w:eastAsia="Arial" w:cs="Arial"/>
                <w:sz w:val="20"/>
                <w:szCs w:val="20"/>
              </w:rPr>
            </w:r>
            <w:r/>
          </w:p>
        </w:tc>
        <w:tc>
          <w:tcPr>
            <w:tcBorders/>
            <w:tcMar>
              <w:left w:w="15" w:type="dxa"/>
              <w:top w:w="15" w:type="dxa"/>
              <w:right w:w="15" w:type="dxa"/>
              <w:bottom w:w="15" w:type="dxa"/>
            </w:tcMar>
            <w:tcW w:w="1860"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Hybrid grocery is becoming the norm as shoppers split purchases across delivery, pickup, and stores. </w:t>
            </w:r>
            <w:hyperlink r:id="rId114" w:tooltip="https://www.retailspacesolutions.com/resources/article/4-trends-that-will-define-grocery-retail-in-2026/" w:history="1">
              <w:r>
                <w:rPr>
                  <w:rStyle w:val="186"/>
                  <w:rFonts w:ascii="Arial" w:hAnsi="Arial" w:eastAsia="Arial" w:cs="Arial"/>
                  <w:color w:val="0000ee"/>
                  <w:sz w:val="20"/>
                  <w:szCs w:val="20"/>
                  <w:u w:val="single"/>
                </w:rPr>
                <w:t xml:space="preserve">retailspacesolutions</w:t>
              </w:r>
            </w:hyperlink>
            <w:r>
              <w:rPr>
                <w:rFonts w:ascii="Arial" w:hAnsi="Arial" w:eastAsia="Arial" w:cs="Arial"/>
                <w:sz w:val="20"/>
                <w:szCs w:val="20"/>
              </w:rPr>
            </w:r>
          </w:p>
        </w:tc>
        <w:tc>
          <w:tcPr>
            <w:tcBorders/>
            <w:tcMar>
              <w:left w:w="15" w:type="dxa"/>
              <w:top w:w="15" w:type="dxa"/>
              <w:right w:w="15" w:type="dxa"/>
              <w:bottom w:w="15" w:type="dxa"/>
            </w:tcMar>
            <w:tcW w:w="2097"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Pickup, service, and convenience integration matter more than pure browsing. </w:t>
            </w:r>
            <w:hyperlink r:id="rId115" w:tooltip="https://www.retailspacesolutions.com/resources/article/4-trends-that-will-define-grocery-retail-in-2026/" w:history="1">
              <w:r>
                <w:rPr>
                  <w:rStyle w:val="186"/>
                  <w:rFonts w:ascii="Arial" w:hAnsi="Arial" w:eastAsia="Arial" w:cs="Arial"/>
                  <w:color w:val="0000ee"/>
                  <w:sz w:val="20"/>
                  <w:szCs w:val="20"/>
                  <w:u w:val="single"/>
                </w:rPr>
                <w:t xml:space="preserve">retailspacesolutions</w:t>
              </w:r>
            </w:hyperlink>
            <w:r>
              <w:rPr>
                <w:rFonts w:ascii="Arial" w:hAnsi="Arial" w:eastAsia="Arial" w:cs="Arial"/>
                <w:sz w:val="20"/>
                <w:szCs w:val="20"/>
              </w:rPr>
            </w:r>
          </w:p>
        </w:tc>
        <w:tc>
          <w:tcPr>
            <w:tcBorders/>
            <w:tcMar>
              <w:left w:w="15" w:type="dxa"/>
              <w:top w:w="15" w:type="dxa"/>
              <w:right w:w="15" w:type="dxa"/>
              <w:bottom w:w="15" w:type="dxa"/>
            </w:tcMar>
            <w:tcW w:w="2820"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Physical stores must justify trips with freshness, speed, or discovery. </w:t>
            </w:r>
            <w:hyperlink r:id="rId116" w:tooltip="https://www.retailspacesolutions.com/resources/article/4-trends-that-will-define-grocery-retail-in-2026/" w:history="1">
              <w:r>
                <w:rPr>
                  <w:rStyle w:val="186"/>
                  <w:rFonts w:ascii="Arial" w:hAnsi="Arial" w:eastAsia="Arial" w:cs="Arial"/>
                  <w:color w:val="0000ee"/>
                  <w:sz w:val="20"/>
                  <w:szCs w:val="20"/>
                  <w:u w:val="single"/>
                </w:rPr>
                <w:t xml:space="preserve">retailspacesolutions</w:t>
              </w:r>
            </w:hyperlink>
            <w:r>
              <w:rPr>
                <w:rFonts w:ascii="Arial" w:hAnsi="Arial" w:eastAsia="Arial" w:cs="Arial"/>
                <w:sz w:val="20"/>
                <w:szCs w:val="20"/>
              </w:rPr>
            </w:r>
          </w:p>
        </w:tc>
      </w:tr>
      <w:tr>
        <w:trPr/>
        <w:tc>
          <w:tcPr>
            <w:tcBorders/>
            <w:tcMar>
              <w:left w:w="15" w:type="dxa"/>
              <w:top w:w="15" w:type="dxa"/>
              <w:right w:w="15" w:type="dxa"/>
              <w:bottom w:w="15" w:type="dxa"/>
            </w:tcMar>
            <w:tcW w:w="1395"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Experiential retail</w:t>
            </w:r>
            <w:r>
              <w:rPr>
                <w:rFonts w:ascii="Arial" w:hAnsi="Arial" w:eastAsia="Arial" w:cs="Arial"/>
                <w:sz w:val="20"/>
                <w:szCs w:val="20"/>
              </w:rPr>
            </w:r>
          </w:p>
        </w:tc>
        <w:tc>
          <w:tcPr>
            <w:tcBorders/>
            <w:tcMar>
              <w:left w:w="15" w:type="dxa"/>
              <w:top w:w="15" w:type="dxa"/>
              <w:right w:w="15" w:type="dxa"/>
              <w:bottom w:w="15" w:type="dxa"/>
            </w:tcMar>
            <w:tcW w:w="1883" w:type="dxa"/>
            <w:vAlign w:val="center"/>
            <w:textDirection w:val="lrTb"/>
            <w:noWrap w:val="false"/>
          </w:tcPr>
          <w:p>
            <w:pPr>
              <w:pBdr/>
              <w:spacing w:after="0" w:before="0" w:line="240"/>
              <w:ind/>
              <w:rPr>
                <w:rFonts w:ascii="Arial" w:hAnsi="Arial" w:eastAsia="Arial" w:cs="Arial"/>
                <w:color w:val="000000"/>
                <w:sz w:val="20"/>
                <w:szCs w:val="20"/>
              </w:rPr>
            </w:pPr>
            <w:r>
              <w:rPr>
                <w:rFonts w:ascii="Arial" w:hAnsi="Arial" w:eastAsia="Arial" w:cs="Arial"/>
                <w:color w:val="000000"/>
                <w:sz w:val="20"/>
                <w:szCs w:val="20"/>
              </w:rPr>
              <w:t xml:space="preserve">Rising </w:t>
            </w:r>
            <w:r>
              <w:rPr>
                <w:rFonts w:ascii="Arial" w:hAnsi="Arial" w:cs="Arial"/>
                <w:sz w:val="20"/>
                <w:szCs w:val="20"/>
              </w:rPr>
            </w:r>
          </w:p>
          <w:p>
            <w:pPr>
              <w:pBdr/>
              <w:spacing w:after="0" w:before="0" w:line="240"/>
              <w:ind/>
              <w:rPr>
                <w:rFonts w:ascii="Arial" w:hAnsi="Arial" w:cs="Arial"/>
                <w:sz w:val="20"/>
                <w:szCs w:val="20"/>
              </w:rPr>
            </w:pPr>
            <w:r>
              <w:rPr>
                <w:rFonts w:ascii="Arial" w:hAnsi="Arial" w:eastAsia="Arial" w:cs="Arial"/>
                <w:color w:val="000000"/>
                <w:sz w:val="20"/>
                <w:szCs w:val="20"/>
              </w:rPr>
              <w:t xml:space="preserve">naiop+1</w:t>
            </w:r>
            <w:r>
              <w:rPr>
                <w:rFonts w:ascii="Arial" w:hAnsi="Arial" w:eastAsia="Arial" w:cs="Arial"/>
                <w:sz w:val="20"/>
                <w:szCs w:val="20"/>
              </w:rPr>
            </w:r>
            <w:r/>
          </w:p>
        </w:tc>
        <w:tc>
          <w:tcPr>
            <w:tcBorders/>
            <w:tcMar>
              <w:left w:w="15" w:type="dxa"/>
              <w:top w:w="15" w:type="dxa"/>
              <w:right w:w="15" w:type="dxa"/>
              <w:bottom w:w="15" w:type="dxa"/>
            </w:tcMar>
            <w:tcW w:w="1860"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Physical retail is winning when it acts as a destination and third place rather than just a transaction point. naiop+1</w:t>
            </w:r>
            <w:r>
              <w:rPr>
                <w:rFonts w:ascii="Arial" w:hAnsi="Arial" w:eastAsia="Arial" w:cs="Arial"/>
                <w:sz w:val="20"/>
                <w:szCs w:val="20"/>
              </w:rPr>
            </w:r>
          </w:p>
        </w:tc>
        <w:tc>
          <w:tcPr>
            <w:tcBorders/>
            <w:tcMar>
              <w:left w:w="15" w:type="dxa"/>
              <w:top w:w="15" w:type="dxa"/>
              <w:right w:w="15" w:type="dxa"/>
              <w:bottom w:w="15" w:type="dxa"/>
            </w:tcMar>
            <w:tcW w:w="2097"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Indoor malls benefit most when they add entertainment, immersive tenants, and longer dwell-time experiences. placer+1</w:t>
            </w:r>
            <w:r>
              <w:rPr>
                <w:rFonts w:ascii="Arial" w:hAnsi="Arial" w:eastAsia="Arial" w:cs="Arial"/>
                <w:sz w:val="20"/>
                <w:szCs w:val="20"/>
              </w:rPr>
            </w:r>
          </w:p>
        </w:tc>
        <w:tc>
          <w:tcPr>
            <w:tcBorders/>
            <w:tcMar>
              <w:left w:w="15" w:type="dxa"/>
              <w:top w:w="15" w:type="dxa"/>
              <w:right w:w="15" w:type="dxa"/>
              <w:bottom w:w="15" w:type="dxa"/>
            </w:tcMar>
            <w:tcW w:w="2820"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Grocery benefits indirectly through co-location with dining and service ecosystems. </w:t>
            </w:r>
            <w:hyperlink r:id="rId117" w:tooltip="https://www.placer.ai/anchor/reports/how-malls-can-win-in-2026" w:history="1">
              <w:r>
                <w:rPr>
                  <w:rStyle w:val="186"/>
                  <w:rFonts w:ascii="Arial" w:hAnsi="Arial" w:eastAsia="Arial" w:cs="Arial"/>
                  <w:color w:val="0000ee"/>
                  <w:sz w:val="20"/>
                  <w:szCs w:val="20"/>
                  <w:u w:val="single"/>
                </w:rPr>
                <w:t xml:space="preserve">placer</w:t>
              </w:r>
            </w:hyperlink>
            <w:r>
              <w:rPr>
                <w:rFonts w:ascii="Arial" w:hAnsi="Arial" w:eastAsia="Arial" w:cs="Arial"/>
                <w:sz w:val="20"/>
                <w:szCs w:val="20"/>
              </w:rPr>
            </w:r>
          </w:p>
        </w:tc>
      </w:tr>
      <w:tr>
        <w:trPr/>
        <w:tc>
          <w:tcPr>
            <w:tcBorders/>
            <w:tcMar>
              <w:left w:w="15" w:type="dxa"/>
              <w:top w:w="15" w:type="dxa"/>
              <w:right w:w="15" w:type="dxa"/>
              <w:bottom w:w="15" w:type="dxa"/>
            </w:tcMar>
            <w:tcW w:w="1395"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Familiarity over experimentation</w:t>
            </w:r>
            <w:r>
              <w:rPr>
                <w:rFonts w:ascii="Arial" w:hAnsi="Arial" w:eastAsia="Arial" w:cs="Arial"/>
                <w:sz w:val="20"/>
                <w:szCs w:val="20"/>
              </w:rPr>
            </w:r>
          </w:p>
        </w:tc>
        <w:tc>
          <w:tcPr>
            <w:tcBorders/>
            <w:tcMar>
              <w:left w:w="15" w:type="dxa"/>
              <w:top w:w="15" w:type="dxa"/>
              <w:right w:w="15" w:type="dxa"/>
              <w:bottom w:w="15" w:type="dxa"/>
            </w:tcMar>
            <w:tcW w:w="1883" w:type="dxa"/>
            <w:vAlign w:val="center"/>
            <w:textDirection w:val="lrTb"/>
            <w:noWrap w:val="false"/>
          </w:tcPr>
          <w:p>
            <w:pPr>
              <w:pBdr/>
              <w:spacing w:after="0" w:before="0" w:line="240"/>
              <w:ind/>
              <w:rPr>
                <w:rFonts w:ascii="Arial" w:hAnsi="Arial" w:eastAsia="Arial" w:cs="Arial"/>
                <w:color w:val="000000"/>
                <w:sz w:val="20"/>
                <w:szCs w:val="20"/>
              </w:rPr>
            </w:pPr>
            <w:r>
              <w:rPr>
                <w:rFonts w:ascii="Arial" w:hAnsi="Arial" w:eastAsia="Arial" w:cs="Arial"/>
                <w:color w:val="000000"/>
                <w:sz w:val="20"/>
                <w:szCs w:val="20"/>
              </w:rPr>
              <w:t xml:space="preserve">Stable to rising </w:t>
            </w:r>
            <w:r>
              <w:rPr>
                <w:rFonts w:ascii="Arial" w:hAnsi="Arial" w:cs="Arial"/>
                <w:sz w:val="20"/>
                <w:szCs w:val="20"/>
              </w:rPr>
            </w:r>
          </w:p>
          <w:p>
            <w:pPr>
              <w:pBdr/>
              <w:spacing w:after="0" w:before="0" w:line="240"/>
              <w:ind/>
              <w:rPr>
                <w:rFonts w:ascii="Arial" w:hAnsi="Arial" w:cs="Arial"/>
                <w:sz w:val="20"/>
                <w:szCs w:val="20"/>
              </w:rPr>
            </w:pPr>
            <w:r>
              <w:rPr>
                <w:rFonts w:ascii="Arial" w:hAnsi="Arial" w:eastAsia="Arial" w:cs="Arial"/>
                <w:color w:val="000000"/>
                <w:sz w:val="20"/>
                <w:szCs w:val="20"/>
              </w:rPr>
            </w:r>
            <w:hyperlink r:id="rId118" w:tooltip="https://www.supermarketnews.com/grocery-trends-data/report-grocery-shoppers-predicted-to-spend-more-on-food-in-2026-as-buying-behavior-evolves" w:history="1">
              <w:r>
                <w:rPr>
                  <w:rStyle w:val="186"/>
                  <w:rFonts w:ascii="Arial" w:hAnsi="Arial" w:eastAsia="Arial" w:cs="Arial"/>
                  <w:color w:val="0000ee"/>
                  <w:sz w:val="20"/>
                  <w:szCs w:val="20"/>
                  <w:u w:val="single"/>
                </w:rPr>
                <w:t xml:space="preserve">supermarketnews</w:t>
              </w:r>
            </w:hyperlink>
            <w:r>
              <w:rPr>
                <w:rFonts w:ascii="Arial" w:hAnsi="Arial" w:eastAsia="Arial" w:cs="Arial"/>
                <w:sz w:val="20"/>
                <w:szCs w:val="20"/>
              </w:rPr>
            </w:r>
            <w:r/>
          </w:p>
        </w:tc>
        <w:tc>
          <w:tcPr>
            <w:tcBorders/>
            <w:tcMar>
              <w:left w:w="15" w:type="dxa"/>
              <w:top w:w="15" w:type="dxa"/>
              <w:right w:w="15" w:type="dxa"/>
              <w:bottom w:w="15" w:type="dxa"/>
            </w:tcMar>
            <w:tcW w:w="1860"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Nearly three-quarters of grocery items purchased are repeat buys, leaving limited room for new trial. </w:t>
            </w:r>
            <w:hyperlink r:id="rId119" w:tooltip="https://www.supermarketnews.com/grocery-trends-data/report-grocery-shoppers-predicted-to-spend-more-on-food-in-2026-as-buying-behavior-evolves" w:history="1">
              <w:r>
                <w:rPr>
                  <w:rStyle w:val="186"/>
                  <w:rFonts w:ascii="Arial" w:hAnsi="Arial" w:eastAsia="Arial" w:cs="Arial"/>
                  <w:color w:val="0000ee"/>
                  <w:sz w:val="20"/>
                  <w:szCs w:val="20"/>
                  <w:u w:val="single"/>
                </w:rPr>
                <w:t xml:space="preserve">supermarketnews</w:t>
              </w:r>
            </w:hyperlink>
            <w:r>
              <w:rPr>
                <w:rFonts w:ascii="Arial" w:hAnsi="Arial" w:eastAsia="Arial" w:cs="Arial"/>
                <w:sz w:val="20"/>
                <w:szCs w:val="20"/>
              </w:rPr>
            </w:r>
          </w:p>
        </w:tc>
        <w:tc>
          <w:tcPr>
            <w:tcBorders/>
            <w:tcMar>
              <w:left w:w="15" w:type="dxa"/>
              <w:top w:w="15" w:type="dxa"/>
              <w:right w:w="15" w:type="dxa"/>
              <w:bottom w:w="15" w:type="dxa"/>
            </w:tcMar>
            <w:tcW w:w="2097"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Big experiential launches can work, but product novelty alone is not enough. </w:t>
            </w:r>
            <w:hyperlink r:id="rId120" w:tooltip="https://www.naiop.org/research-and-publications/magazine/2025/summer-2025/business-trends/experiential-retail-helping-to-fuel-a-brick-and-mortar-revival/" w:history="1">
              <w:r>
                <w:rPr>
                  <w:rStyle w:val="186"/>
                  <w:rFonts w:ascii="Arial" w:hAnsi="Arial" w:eastAsia="Arial" w:cs="Arial"/>
                  <w:color w:val="0000ee"/>
                  <w:sz w:val="20"/>
                  <w:szCs w:val="20"/>
                  <w:u w:val="single"/>
                </w:rPr>
                <w:t xml:space="preserve">naiop</w:t>
              </w:r>
            </w:hyperlink>
            <w:r>
              <w:rPr>
                <w:rFonts w:ascii="Arial" w:hAnsi="Arial" w:eastAsia="Arial" w:cs="Arial"/>
                <w:sz w:val="20"/>
                <w:szCs w:val="20"/>
              </w:rPr>
            </w:r>
          </w:p>
        </w:tc>
        <w:tc>
          <w:tcPr>
            <w:tcBorders/>
            <w:tcMar>
              <w:left w:w="15" w:type="dxa"/>
              <w:top w:w="15" w:type="dxa"/>
              <w:right w:w="15" w:type="dxa"/>
              <w:bottom w:w="15" w:type="dxa"/>
            </w:tcMar>
            <w:tcW w:w="2820"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New products need stronger value, health, or functional hooks to break through. </w:t>
            </w:r>
            <w:hyperlink r:id="rId121" w:tooltip="https://www.supermarketnews.com/grocery-trends-data/report-grocery-shoppers-predicted-to-spend-more-on-food-in-2026-as-buying-behavior-evolves" w:history="1">
              <w:r>
                <w:rPr>
                  <w:rStyle w:val="186"/>
                  <w:rFonts w:ascii="Arial" w:hAnsi="Arial" w:eastAsia="Arial" w:cs="Arial"/>
                  <w:color w:val="0000ee"/>
                  <w:sz w:val="20"/>
                  <w:szCs w:val="20"/>
                  <w:u w:val="single"/>
                </w:rPr>
                <w:t xml:space="preserve">supermarketnews</w:t>
              </w:r>
            </w:hyperlink>
            <w:r>
              <w:rPr>
                <w:rFonts w:ascii="Arial" w:hAnsi="Arial" w:eastAsia="Arial" w:cs="Arial"/>
                <w:sz w:val="20"/>
                <w:szCs w:val="20"/>
              </w:rPr>
            </w:r>
          </w:p>
        </w:tc>
      </w:tr>
    </w:tbl>
    <w:p>
      <w:pPr>
        <w:pStyle w:val="139"/>
        <w:pBdr>
          <w:top w:val="none" w:color="000000" w:sz="4" w:space="0"/>
          <w:left w:val="none" w:color="000000" w:sz="4" w:space="0"/>
          <w:bottom w:val="none" w:color="000000" w:sz="4" w:space="0"/>
          <w:right w:val="none" w:color="000000" w:sz="4" w:space="0"/>
        </w:pBdr>
        <w:spacing/>
        <w:ind w:right="0" w:firstLine="0" w:left="0"/>
        <w:rPr>
          <w:rFonts w:ascii="Arial" w:hAnsi="Arial" w:cs="Arial"/>
          <w:sz w:val="20"/>
          <w:szCs w:val="20"/>
        </w:rPr>
      </w:pPr>
      <w:r>
        <w:rPr>
          <w:rFonts w:ascii="Arial" w:hAnsi="Arial" w:eastAsia="Arial" w:cs="Arial"/>
          <w:b/>
          <w:color w:val="000000"/>
          <w:sz w:val="20"/>
          <w:szCs w:val="20"/>
        </w:rPr>
        <w:t xml:space="preserve">U.S. trends</w:t>
      </w:r>
      <w:r>
        <w:rPr>
          <w:rFonts w:ascii="Arial" w:hAnsi="Arial" w:eastAsia="Arial" w:cs="Arial"/>
          <w:sz w:val="20"/>
          <w:szCs w:val="20"/>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0"/>
          <w:szCs w:val="20"/>
        </w:rPr>
      </w:pPr>
      <w:r>
        <w:rPr>
          <w:rFonts w:ascii="Arial" w:hAnsi="Arial" w:eastAsia="Arial" w:cs="Arial"/>
          <w:color w:val="000000"/>
          <w:sz w:val="20"/>
          <w:szCs w:val="20"/>
        </w:rPr>
        <w:t xml:space="preserve">The defining U.S. pattern is </w:t>
      </w:r>
      <w:r>
        <w:rPr>
          <w:rFonts w:ascii="Arial" w:hAnsi="Arial" w:eastAsia="Arial" w:cs="Arial"/>
          <w:b/>
          <w:color w:val="000000"/>
          <w:sz w:val="20"/>
          <w:szCs w:val="20"/>
        </w:rPr>
        <w:t xml:space="preserve">defensive shopping without total retreat</w:t>
      </w:r>
      <w:r>
        <w:rPr>
          <w:rFonts w:ascii="Arial" w:hAnsi="Arial" w:eastAsia="Arial" w:cs="Arial"/>
          <w:color w:val="000000"/>
          <w:sz w:val="20"/>
          <w:szCs w:val="20"/>
        </w:rPr>
        <w:t xml:space="preserve">. Consumers are still spending, but they are doing it more selectively, with value retailers and lower-risk repeat purchases getting more share. That means growth is available, but it is concentrated in formats and categories that solve a clear problem: lo</w:t>
      </w:r>
      <w:r>
        <w:rPr>
          <w:rFonts w:ascii="Arial" w:hAnsi="Arial" w:eastAsia="Arial" w:cs="Arial"/>
          <w:color w:val="000000"/>
          <w:sz w:val="20"/>
          <w:szCs w:val="20"/>
        </w:rPr>
        <w:t xml:space="preserve">wer prices, faster meals, better health, or stronger experiences.supermarketnews+3</w:t>
      </w:r>
      <w:r>
        <w:rPr>
          <w:rFonts w:ascii="Arial" w:hAnsi="Arial" w:eastAsia="Arial" w:cs="Arial"/>
          <w:sz w:val="20"/>
          <w:szCs w:val="20"/>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0"/>
          <w:szCs w:val="20"/>
        </w:rPr>
      </w:pPr>
      <w:r>
        <w:rPr>
          <w:rFonts w:ascii="Arial" w:hAnsi="Arial" w:eastAsia="Arial" w:cs="Arial"/>
          <w:color w:val="000000"/>
          <w:sz w:val="20"/>
          <w:szCs w:val="20"/>
        </w:rPr>
        <w:t xml:space="preserve">Discount momentum is especially important. Aldi plans to open more than 180 new U.S. stores in 2026 as part of a broader expansion program, reflecting how strongly value formats are resonating with shoppers. Walmart and Dollar General are also gaining from</w:t>
      </w:r>
      <w:r>
        <w:rPr>
          <w:rFonts w:ascii="Arial" w:hAnsi="Arial" w:eastAsia="Arial" w:cs="Arial"/>
          <w:color w:val="000000"/>
          <w:sz w:val="20"/>
          <w:szCs w:val="20"/>
        </w:rPr>
        <w:t xml:space="preserve"> trade-down behavior, showing that price-led channel shifts are still active even after the worst inflation spike has passed.eatthis+2</w:t>
      </w:r>
      <w:r>
        <w:rPr>
          <w:rFonts w:ascii="Arial" w:hAnsi="Arial" w:eastAsia="Arial" w:cs="Arial"/>
          <w:sz w:val="20"/>
          <w:szCs w:val="20"/>
        </w:rPr>
      </w:r>
    </w:p>
    <w:p>
      <w:pPr>
        <w:pStyle w:val="139"/>
        <w:pBdr>
          <w:top w:val="none" w:color="000000" w:sz="4" w:space="0"/>
          <w:left w:val="none" w:color="000000" w:sz="4" w:space="0"/>
          <w:bottom w:val="none" w:color="000000" w:sz="4" w:space="0"/>
          <w:right w:val="none" w:color="000000" w:sz="4" w:space="0"/>
        </w:pBdr>
        <w:spacing/>
        <w:ind w:right="0" w:firstLine="0" w:left="0"/>
        <w:rPr>
          <w:rFonts w:ascii="Arial" w:hAnsi="Arial" w:cs="Arial"/>
          <w:sz w:val="20"/>
          <w:szCs w:val="20"/>
        </w:rPr>
      </w:pPr>
      <w:r>
        <w:rPr>
          <w:rFonts w:ascii="Arial" w:hAnsi="Arial" w:eastAsia="Arial" w:cs="Arial"/>
          <w:b/>
          <w:color w:val="000000"/>
          <w:sz w:val="20"/>
          <w:szCs w:val="20"/>
        </w:rPr>
        <w:t xml:space="preserve">Grocery</w:t>
      </w:r>
      <w:r>
        <w:rPr>
          <w:rFonts w:ascii="Arial" w:hAnsi="Arial" w:eastAsia="Arial" w:cs="Arial"/>
          <w:sz w:val="20"/>
          <w:szCs w:val="20"/>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0"/>
          <w:szCs w:val="20"/>
        </w:rPr>
      </w:pPr>
      <w:r>
        <w:rPr>
          <w:rFonts w:ascii="Arial" w:hAnsi="Arial" w:eastAsia="Arial" w:cs="Arial"/>
          <w:color w:val="000000"/>
          <w:sz w:val="20"/>
          <w:szCs w:val="20"/>
        </w:rPr>
        <w:t xml:space="preserve">U.S. grocery in 2026 is shaped by four strong forces: </w:t>
      </w:r>
      <w:r>
        <w:rPr>
          <w:rFonts w:ascii="Arial" w:hAnsi="Arial" w:eastAsia="Arial" w:cs="Arial"/>
          <w:b/>
          <w:color w:val="000000"/>
          <w:sz w:val="20"/>
          <w:szCs w:val="20"/>
        </w:rPr>
        <w:t xml:space="preserve">value, private label, hybrid shopping, and health</w:t>
      </w:r>
      <w:r>
        <w:rPr>
          <w:rFonts w:ascii="Arial" w:hAnsi="Arial" w:eastAsia="Arial" w:cs="Arial"/>
          <w:color w:val="000000"/>
          <w:sz w:val="20"/>
          <w:szCs w:val="20"/>
        </w:rPr>
        <w:t xml:space="preserve">. Price matters more than brand name for 62% of shoppers, and belief that national brands offer better quality has weakened versus last year. That gives grocers more permission to push own-brand assortments, especially in food, where private-label trust is</w:t>
      </w:r>
      <w:r>
        <w:rPr>
          <w:rFonts w:ascii="Arial" w:hAnsi="Arial" w:eastAsia="Arial" w:cs="Arial"/>
          <w:color w:val="000000"/>
          <w:sz w:val="20"/>
          <w:szCs w:val="20"/>
        </w:rPr>
        <w:t xml:space="preserve"> already relatively high.</w:t>
      </w:r>
      <w:hyperlink r:id="rId122" w:tooltip="https://www.supermarketnews.com/grocery-trends-data/report-grocery-shoppers-predicted-to-spend-more-on-food-in-2026-as-buying-behavior-evolves" w:history="1">
        <w:r>
          <w:rPr>
            <w:rStyle w:val="186"/>
            <w:rFonts w:ascii="Arial" w:hAnsi="Arial" w:eastAsia="Arial" w:cs="Arial"/>
            <w:color w:val="0000ee"/>
            <w:sz w:val="20"/>
            <w:szCs w:val="20"/>
            <w:u w:val="single"/>
          </w:rPr>
          <w:t xml:space="preserve">supermarketnews</w:t>
        </w:r>
      </w:hyperlink>
      <w:r>
        <w:rPr>
          <w:rFonts w:ascii="Arial" w:hAnsi="Arial" w:eastAsia="Arial" w:cs="Arial"/>
          <w:sz w:val="20"/>
          <w:szCs w:val="20"/>
        </w:rPr>
      </w:r>
      <w:r>
        <w:rPr>
          <w:rFonts w:ascii="Arial" w:hAnsi="Arial" w:eastAsia="Arial" w:cs="Arial"/>
          <w:sz w:val="20"/>
          <w:szCs w:val="20"/>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0"/>
          <w:szCs w:val="20"/>
        </w:rPr>
      </w:pPr>
      <w:r>
        <w:rPr>
          <w:rFonts w:ascii="Arial" w:hAnsi="Arial" w:eastAsia="Arial" w:cs="Arial"/>
          <w:color w:val="000000"/>
          <w:sz w:val="20"/>
          <w:szCs w:val="20"/>
        </w:rPr>
        <w:t xml:space="preserve">Hybrid shopping is now the default direction of travel. Online ordering is no longer separate from store shopping; consumers split baskets between delivery, click-and-collect, and physical trips, so the store must offer freshness, speed, or discovery to st</w:t>
      </w:r>
      <w:r>
        <w:rPr>
          <w:rFonts w:ascii="Arial" w:hAnsi="Arial" w:eastAsia="Arial" w:cs="Arial"/>
          <w:color w:val="000000"/>
          <w:sz w:val="20"/>
          <w:szCs w:val="20"/>
        </w:rPr>
        <w:t xml:space="preserve">ay relevant. At the same time, convenience stores are becoming real foodservice competitors, which puts pressure on traditional supermarkets to improve grab-and-go, ready meals, and speed-of-trip.localexpress+2</w:t>
      </w:r>
      <w:r>
        <w:rPr>
          <w:rFonts w:ascii="Arial" w:hAnsi="Arial" w:eastAsia="Arial" w:cs="Arial"/>
          <w:sz w:val="20"/>
          <w:szCs w:val="20"/>
        </w:rPr>
      </w:r>
    </w:p>
    <w:p>
      <w:pPr>
        <w:pStyle w:val="139"/>
        <w:pBdr>
          <w:top w:val="none" w:color="000000" w:sz="4" w:space="0"/>
          <w:left w:val="none" w:color="000000" w:sz="4" w:space="0"/>
          <w:bottom w:val="none" w:color="000000" w:sz="4" w:space="0"/>
          <w:right w:val="none" w:color="000000" w:sz="4" w:space="0"/>
        </w:pBdr>
        <w:spacing/>
        <w:ind w:right="0" w:firstLine="0" w:left="0"/>
        <w:rPr>
          <w:rFonts w:ascii="Arial" w:hAnsi="Arial" w:cs="Arial"/>
          <w:sz w:val="20"/>
          <w:szCs w:val="20"/>
        </w:rPr>
      </w:pPr>
      <w:r>
        <w:rPr>
          <w:rFonts w:ascii="Arial" w:hAnsi="Arial" w:eastAsia="Arial" w:cs="Arial"/>
          <w:b/>
          <w:color w:val="000000"/>
          <w:sz w:val="20"/>
          <w:szCs w:val="20"/>
        </w:rPr>
        <w:t xml:space="preserve">Malls</w:t>
      </w:r>
      <w:r>
        <w:rPr>
          <w:rFonts w:ascii="Arial" w:hAnsi="Arial" w:eastAsia="Arial" w:cs="Arial"/>
          <w:sz w:val="20"/>
          <w:szCs w:val="20"/>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0"/>
          <w:szCs w:val="20"/>
        </w:rPr>
      </w:pPr>
      <w:r>
        <w:rPr>
          <w:rFonts w:ascii="Arial" w:hAnsi="Arial" w:eastAsia="Arial" w:cs="Arial"/>
          <w:color w:val="000000"/>
          <w:sz w:val="20"/>
          <w:szCs w:val="20"/>
        </w:rPr>
        <w:t xml:space="preserve">The U.S. mall story is not “retail is dead”; it is “retail must justify the trip.” Modern centers are increasingly built around entertainment, dining, social engagement, and immersive brand experiences that digital cannot easily replicate. Indoor malls in </w:t>
      </w:r>
      <w:r>
        <w:rPr>
          <w:rFonts w:ascii="Arial" w:hAnsi="Arial" w:eastAsia="Arial" w:cs="Arial"/>
          <w:color w:val="000000"/>
          <w:sz w:val="20"/>
          <w:szCs w:val="20"/>
        </w:rPr>
        <w:t xml:space="preserve">particular can benefit as climate-controlled third places with rising visit duration when experiential offerings are strong.naiop+1</w:t>
      </w:r>
      <w:r>
        <w:rPr>
          <w:rFonts w:ascii="Arial" w:hAnsi="Arial" w:eastAsia="Arial" w:cs="Arial"/>
          <w:sz w:val="20"/>
          <w:szCs w:val="20"/>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0"/>
          <w:szCs w:val="20"/>
        </w:rPr>
      </w:pPr>
      <w:r>
        <w:rPr>
          <w:rFonts w:ascii="Arial" w:hAnsi="Arial" w:eastAsia="Arial" w:cs="Arial"/>
          <w:color w:val="000000"/>
          <w:sz w:val="20"/>
          <w:szCs w:val="20"/>
        </w:rPr>
        <w:t xml:space="preserve">This is especially relevant for Gen Z and younger shoppers, who are harder to win through digital ads alone and are more likely to use physical retail for discovery and social activity. For mall operators, the implication is clear: the anchor is less likel</w:t>
      </w:r>
      <w:r>
        <w:rPr>
          <w:rFonts w:ascii="Arial" w:hAnsi="Arial" w:eastAsia="Arial" w:cs="Arial"/>
          <w:color w:val="000000"/>
          <w:sz w:val="20"/>
          <w:szCs w:val="20"/>
        </w:rPr>
        <w:t xml:space="preserve">y to be a traditional department store and more likely to be an experience, dining, or entertainment concept.mckinsey+3</w:t>
      </w:r>
      <w:r>
        <w:rPr>
          <w:rFonts w:ascii="Arial" w:hAnsi="Arial" w:eastAsia="Arial" w:cs="Arial"/>
          <w:sz w:val="20"/>
          <w:szCs w:val="20"/>
        </w:rPr>
      </w:r>
    </w:p>
    <w:p>
      <w:pPr>
        <w:pStyle w:val="139"/>
        <w:pBdr>
          <w:top w:val="none" w:color="000000" w:sz="4" w:space="0"/>
          <w:left w:val="none" w:color="000000" w:sz="4" w:space="0"/>
          <w:bottom w:val="none" w:color="000000" w:sz="4" w:space="0"/>
          <w:right w:val="none" w:color="000000" w:sz="4" w:space="0"/>
        </w:pBdr>
        <w:spacing/>
        <w:ind w:right="0" w:firstLine="0" w:left="0"/>
        <w:rPr>
          <w:rFonts w:ascii="Arial" w:hAnsi="Arial" w:cs="Arial"/>
          <w:sz w:val="20"/>
          <w:szCs w:val="20"/>
        </w:rPr>
      </w:pPr>
      <w:r>
        <w:rPr>
          <w:rFonts w:ascii="Arial" w:hAnsi="Arial" w:eastAsia="Arial" w:cs="Arial"/>
          <w:b/>
          <w:color w:val="000000"/>
          <w:sz w:val="20"/>
          <w:szCs w:val="20"/>
        </w:rPr>
        <w:t xml:space="preserve">Surprising signals</w:t>
      </w:r>
      <w:r>
        <w:rPr>
          <w:rFonts w:ascii="Arial" w:hAnsi="Arial" w:eastAsia="Arial" w:cs="Arial"/>
          <w:sz w:val="20"/>
          <w:szCs w:val="20"/>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0"/>
          <w:szCs w:val="20"/>
        </w:rPr>
      </w:pPr>
      <w:r>
        <w:rPr>
          <w:rFonts w:ascii="Arial" w:hAnsi="Arial" w:eastAsia="Arial" w:cs="Arial"/>
          <w:color w:val="000000"/>
          <w:sz w:val="20"/>
          <w:szCs w:val="20"/>
        </w:rPr>
        <w:t xml:space="preserve">The biggest surprising U.S. signal is the scale of the </w:t>
      </w:r>
      <w:r>
        <w:rPr>
          <w:rFonts w:ascii="Arial" w:hAnsi="Arial" w:eastAsia="Arial" w:cs="Arial"/>
          <w:b/>
          <w:color w:val="000000"/>
          <w:sz w:val="20"/>
          <w:szCs w:val="20"/>
        </w:rPr>
        <w:t xml:space="preserve">GLP-1 effect</w:t>
      </w:r>
      <w:r>
        <w:rPr>
          <w:rFonts w:ascii="Arial" w:hAnsi="Arial" w:eastAsia="Arial" w:cs="Arial"/>
          <w:color w:val="000000"/>
          <w:sz w:val="20"/>
          <w:szCs w:val="20"/>
        </w:rPr>
        <w:t xml:space="preserve">. Reuters reports projections that GLP-1 medications could contribute to a $12 billion decline in snack sales, while users are consuming less dessert and alcohol and more fresh produce. This is not just a niche health trend; it is changing pack sizes, prod</w:t>
      </w:r>
      <w:r>
        <w:rPr>
          <w:rFonts w:ascii="Arial" w:hAnsi="Arial" w:eastAsia="Arial" w:cs="Arial"/>
          <w:color w:val="000000"/>
          <w:sz w:val="20"/>
          <w:szCs w:val="20"/>
        </w:rPr>
        <w:t xml:space="preserve">uct design, and category priorities across food and beverage.foodnavigator+1</w:t>
      </w:r>
      <w:r>
        <w:rPr>
          <w:rFonts w:ascii="Arial" w:hAnsi="Arial" w:eastAsia="Arial" w:cs="Arial"/>
          <w:sz w:val="20"/>
          <w:szCs w:val="20"/>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0"/>
          <w:szCs w:val="20"/>
        </w:rPr>
      </w:pPr>
      <w:r>
        <w:rPr>
          <w:rFonts w:ascii="Arial" w:hAnsi="Arial" w:eastAsia="Arial" w:cs="Arial"/>
          <w:color w:val="000000"/>
          <w:sz w:val="20"/>
          <w:szCs w:val="20"/>
        </w:rPr>
        <w:t xml:space="preserve">A second surprise is that </w:t>
      </w:r>
      <w:r>
        <w:rPr>
          <w:rFonts w:ascii="Arial" w:hAnsi="Arial" w:eastAsia="Arial" w:cs="Arial"/>
          <w:b/>
          <w:color w:val="000000"/>
          <w:sz w:val="20"/>
          <w:szCs w:val="20"/>
        </w:rPr>
        <w:t xml:space="preserve">health and value are not opposites</w:t>
      </w:r>
      <w:r>
        <w:rPr>
          <w:rFonts w:ascii="Arial" w:hAnsi="Arial" w:eastAsia="Arial" w:cs="Arial"/>
          <w:color w:val="000000"/>
          <w:sz w:val="20"/>
          <w:szCs w:val="20"/>
        </w:rPr>
        <w:t xml:space="preserve">. Even in a price-sensitive market, 51% of food shoppers say they plan to buy more better-for-you products in 2026, which means consumers will still pay up when the product clearly supports a personal goal. That creates room for “smart premium” products, e</w:t>
      </w:r>
      <w:r>
        <w:rPr>
          <w:rFonts w:ascii="Arial" w:hAnsi="Arial" w:eastAsia="Arial" w:cs="Arial"/>
          <w:color w:val="000000"/>
          <w:sz w:val="20"/>
          <w:szCs w:val="20"/>
        </w:rPr>
        <w:t xml:space="preserve">specially protein, functional beverages, portion control, and cleaner-label convenience foods.restaurant+1</w:t>
      </w:r>
      <w:r>
        <w:rPr>
          <w:rFonts w:ascii="Arial" w:hAnsi="Arial" w:eastAsia="Arial" w:cs="Arial"/>
          <w:sz w:val="20"/>
          <w:szCs w:val="20"/>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0"/>
          <w:szCs w:val="20"/>
        </w:rPr>
      </w:pPr>
      <w:r>
        <w:rPr>
          <w:rFonts w:ascii="Arial" w:hAnsi="Arial" w:eastAsia="Arial" w:cs="Arial"/>
          <w:color w:val="000000"/>
          <w:sz w:val="20"/>
          <w:szCs w:val="20"/>
        </w:rPr>
        <w:t xml:space="preserve">A third signal is that </w:t>
      </w:r>
      <w:r>
        <w:rPr>
          <w:rFonts w:ascii="Arial" w:hAnsi="Arial" w:eastAsia="Arial" w:cs="Arial"/>
          <w:b/>
          <w:color w:val="000000"/>
          <w:sz w:val="20"/>
          <w:szCs w:val="20"/>
        </w:rPr>
        <w:t xml:space="preserve">consumer novelty is weaker than many brands assume</w:t>
      </w:r>
      <w:r>
        <w:rPr>
          <w:rFonts w:ascii="Arial" w:hAnsi="Arial" w:eastAsia="Arial" w:cs="Arial"/>
          <w:color w:val="000000"/>
          <w:sz w:val="20"/>
          <w:szCs w:val="20"/>
        </w:rPr>
        <w:t xml:space="preserve">. With a 74–26 split between repeat and new-trial grocery purchases, breaking through in the U.S. is getting harder unless a product is tied to value, functionality, or a very strong identity. That makes shelf strategy and retail media more important than </w:t>
      </w:r>
      <w:r>
        <w:rPr>
          <w:rFonts w:ascii="Arial" w:hAnsi="Arial" w:eastAsia="Arial" w:cs="Arial"/>
          <w:color w:val="000000"/>
          <w:sz w:val="20"/>
          <w:szCs w:val="20"/>
        </w:rPr>
        <w:t xml:space="preserve">broad awareness campaigns alone.igd+1</w:t>
      </w:r>
      <w:r>
        <w:rPr>
          <w:rFonts w:ascii="Arial" w:hAnsi="Arial" w:eastAsia="Arial" w:cs="Arial"/>
          <w:sz w:val="20"/>
          <w:szCs w:val="20"/>
        </w:rPr>
      </w:r>
    </w:p>
    <w:p>
      <w:pPr>
        <w:pStyle w:val="139"/>
        <w:pBdr>
          <w:top w:val="none" w:color="000000" w:sz="4" w:space="0"/>
          <w:left w:val="none" w:color="000000" w:sz="4" w:space="0"/>
          <w:bottom w:val="none" w:color="000000" w:sz="4" w:space="0"/>
          <w:right w:val="none" w:color="000000" w:sz="4" w:space="0"/>
        </w:pBdr>
        <w:spacing/>
        <w:ind w:right="0" w:firstLine="0" w:left="0"/>
        <w:rPr>
          <w:rFonts w:ascii="Arial" w:hAnsi="Arial" w:cs="Arial"/>
          <w:sz w:val="20"/>
          <w:szCs w:val="20"/>
        </w:rPr>
      </w:pPr>
      <w:r>
        <w:rPr>
          <w:rFonts w:ascii="Arial" w:hAnsi="Arial" w:eastAsia="Arial" w:cs="Arial"/>
          <w:b/>
          <w:color w:val="000000"/>
          <w:sz w:val="20"/>
          <w:szCs w:val="20"/>
        </w:rPr>
        <w:t xml:space="preserve">What it means operationally</w:t>
      </w:r>
      <w:r>
        <w:rPr>
          <w:rFonts w:ascii="Arial" w:hAnsi="Arial" w:eastAsia="Arial" w:cs="Arial"/>
          <w:sz w:val="20"/>
          <w:szCs w:val="20"/>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0"/>
          <w:szCs w:val="20"/>
        </w:rPr>
      </w:pPr>
      <w:r>
        <w:rPr>
          <w:rFonts w:ascii="Arial" w:hAnsi="Arial" w:eastAsia="Arial" w:cs="Arial"/>
          <w:color w:val="000000"/>
          <w:sz w:val="20"/>
          <w:szCs w:val="20"/>
        </w:rPr>
        <w:t xml:space="preserve">For </w:t>
      </w:r>
      <w:r>
        <w:rPr>
          <w:rFonts w:ascii="Arial" w:hAnsi="Arial" w:eastAsia="Arial" w:cs="Arial"/>
          <w:b/>
          <w:color w:val="000000"/>
          <w:sz w:val="20"/>
          <w:szCs w:val="20"/>
        </w:rPr>
        <w:t xml:space="preserve">shopping malls</w:t>
      </w:r>
      <w:r>
        <w:rPr>
          <w:rFonts w:ascii="Arial" w:hAnsi="Arial" w:eastAsia="Arial" w:cs="Arial"/>
          <w:color w:val="000000"/>
          <w:sz w:val="20"/>
          <w:szCs w:val="20"/>
        </w:rPr>
        <w:t xml:space="preserve">, the strongest 2026 responses are:</w:t>
      </w:r>
      <w:r>
        <w:rPr>
          <w:rFonts w:ascii="Arial" w:hAnsi="Arial" w:eastAsia="Arial" w:cs="Arial"/>
          <w:sz w:val="20"/>
          <w:szCs w:val="20"/>
        </w:rPr>
      </w:r>
    </w:p>
    <w:p>
      <w:pPr>
        <w:pStyle w:val="664"/>
        <w:numPr>
          <w:ilvl w:val="0"/>
          <w:numId w:val="12"/>
        </w:numPr>
        <w:pBdr>
          <w:top w:val="none" w:color="000000" w:sz="4" w:space="0"/>
          <w:left w:val="none" w:color="000000" w:sz="4" w:space="0"/>
          <w:bottom w:val="none" w:color="000000" w:sz="4" w:space="0"/>
          <w:right w:val="none" w:color="000000" w:sz="4" w:space="0"/>
        </w:pBdr>
        <w:spacing/>
        <w:ind w:right="0"/>
        <w:rPr>
          <w:rFonts w:ascii="Arial" w:hAnsi="Arial" w:cs="Arial"/>
          <w:sz w:val="20"/>
          <w:szCs w:val="20"/>
        </w:rPr>
      </w:pPr>
      <w:r>
        <w:rPr>
          <w:rFonts w:ascii="Arial" w:hAnsi="Arial" w:eastAsia="Arial" w:cs="Arial"/>
          <w:color w:val="000000"/>
          <w:sz w:val="20"/>
          <w:szCs w:val="20"/>
        </w:rPr>
        <w:t xml:space="preserve">Add experience anchors, entertainment, and strong foodservice rather than relying on traditional retail alone.valomotion+1</w:t>
      </w:r>
      <w:r>
        <w:rPr>
          <w:rFonts w:ascii="Arial" w:hAnsi="Arial" w:eastAsia="Arial" w:cs="Arial"/>
          <w:sz w:val="20"/>
          <w:szCs w:val="20"/>
        </w:rPr>
      </w:r>
    </w:p>
    <w:p>
      <w:pPr>
        <w:pStyle w:val="664"/>
        <w:numPr>
          <w:ilvl w:val="0"/>
          <w:numId w:val="12"/>
        </w:numPr>
        <w:pBdr>
          <w:top w:val="none" w:color="000000" w:sz="4" w:space="0"/>
          <w:left w:val="none" w:color="000000" w:sz="4" w:space="0"/>
          <w:bottom w:val="none" w:color="000000" w:sz="4" w:space="0"/>
          <w:right w:val="none" w:color="000000" w:sz="4" w:space="0"/>
        </w:pBdr>
        <w:spacing/>
        <w:ind w:right="0"/>
        <w:rPr>
          <w:rFonts w:ascii="Arial" w:hAnsi="Arial" w:cs="Arial"/>
          <w:sz w:val="20"/>
          <w:szCs w:val="20"/>
        </w:rPr>
      </w:pPr>
      <w:r>
        <w:rPr>
          <w:rFonts w:ascii="Arial" w:hAnsi="Arial" w:eastAsia="Arial" w:cs="Arial"/>
          <w:color w:val="000000"/>
          <w:sz w:val="20"/>
          <w:szCs w:val="20"/>
        </w:rPr>
        <w:t xml:space="preserve">Position clearly for either value, premium, or lifestyle-community missions; the broad middle is weak.economics.td+1</w:t>
      </w:r>
      <w:r>
        <w:rPr>
          <w:rFonts w:ascii="Arial" w:hAnsi="Arial" w:eastAsia="Arial" w:cs="Arial"/>
          <w:sz w:val="20"/>
          <w:szCs w:val="20"/>
        </w:rPr>
      </w:r>
    </w:p>
    <w:p>
      <w:pPr>
        <w:pStyle w:val="664"/>
        <w:numPr>
          <w:ilvl w:val="0"/>
          <w:numId w:val="12"/>
        </w:numPr>
        <w:pBdr>
          <w:top w:val="none" w:color="000000" w:sz="4" w:space="0"/>
          <w:left w:val="none" w:color="000000" w:sz="4" w:space="0"/>
          <w:bottom w:val="none" w:color="000000" w:sz="4" w:space="0"/>
          <w:right w:val="none" w:color="000000" w:sz="4" w:space="0"/>
        </w:pBdr>
        <w:spacing/>
        <w:ind w:right="0"/>
        <w:rPr>
          <w:rFonts w:ascii="Arial" w:hAnsi="Arial" w:cs="Arial"/>
          <w:sz w:val="20"/>
          <w:szCs w:val="20"/>
        </w:rPr>
      </w:pPr>
      <w:r>
        <w:rPr>
          <w:rFonts w:ascii="Arial" w:hAnsi="Arial" w:eastAsia="Arial" w:cs="Arial"/>
          <w:color w:val="000000"/>
          <w:sz w:val="20"/>
          <w:szCs w:val="20"/>
        </w:rPr>
        <w:t xml:space="preserve">Use loyalty, events, and digital layers to make visits feel purposeful and repeatable.netchoice+1</w:t>
      </w:r>
      <w:r>
        <w:rPr>
          <w:rFonts w:ascii="Arial" w:hAnsi="Arial" w:eastAsia="Arial" w:cs="Arial"/>
          <w:sz w:val="20"/>
          <w:szCs w:val="20"/>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0"/>
          <w:szCs w:val="20"/>
        </w:rPr>
      </w:pPr>
      <w:r>
        <w:rPr>
          <w:rFonts w:ascii="Arial" w:hAnsi="Arial" w:eastAsia="Arial" w:cs="Arial"/>
          <w:color w:val="000000"/>
          <w:sz w:val="20"/>
          <w:szCs w:val="20"/>
        </w:rPr>
        <w:t xml:space="preserve">For </w:t>
      </w:r>
      <w:r>
        <w:rPr>
          <w:rFonts w:ascii="Arial" w:hAnsi="Arial" w:eastAsia="Arial" w:cs="Arial"/>
          <w:b/>
          <w:color w:val="000000"/>
          <w:sz w:val="20"/>
          <w:szCs w:val="20"/>
        </w:rPr>
        <w:t xml:space="preserve">grocery stores</w:t>
      </w:r>
      <w:r>
        <w:rPr>
          <w:rFonts w:ascii="Arial" w:hAnsi="Arial" w:eastAsia="Arial" w:cs="Arial"/>
          <w:color w:val="000000"/>
          <w:sz w:val="20"/>
          <w:szCs w:val="20"/>
        </w:rPr>
        <w:t xml:space="preserve">, the strongest 2026 responses are:</w:t>
      </w:r>
      <w:r>
        <w:rPr>
          <w:rFonts w:ascii="Arial" w:hAnsi="Arial" w:eastAsia="Arial" w:cs="Arial"/>
          <w:sz w:val="20"/>
          <w:szCs w:val="20"/>
        </w:rPr>
      </w:r>
    </w:p>
    <w:p>
      <w:pPr>
        <w:pStyle w:val="664"/>
        <w:numPr>
          <w:ilvl w:val="0"/>
          <w:numId w:val="13"/>
        </w:numPr>
        <w:pBdr>
          <w:top w:val="none" w:color="000000" w:sz="4" w:space="0"/>
          <w:left w:val="none" w:color="000000" w:sz="4" w:space="0"/>
          <w:bottom w:val="none" w:color="000000" w:sz="4" w:space="0"/>
          <w:right w:val="none" w:color="000000" w:sz="4" w:space="0"/>
        </w:pBdr>
        <w:spacing/>
        <w:ind w:right="0"/>
        <w:rPr>
          <w:rFonts w:ascii="Arial" w:hAnsi="Arial" w:cs="Arial"/>
          <w:sz w:val="20"/>
          <w:szCs w:val="20"/>
        </w:rPr>
      </w:pPr>
      <w:r>
        <w:rPr>
          <w:rFonts w:ascii="Arial" w:hAnsi="Arial" w:eastAsia="Arial" w:cs="Arial"/>
          <w:color w:val="000000"/>
          <w:sz w:val="20"/>
          <w:szCs w:val="20"/>
        </w:rPr>
        <w:t xml:space="preserve">Expand private label and defend price perception aggressively.kaizen+1</w:t>
      </w:r>
      <w:r>
        <w:rPr>
          <w:rFonts w:ascii="Arial" w:hAnsi="Arial" w:eastAsia="Arial" w:cs="Arial"/>
          <w:sz w:val="20"/>
          <w:szCs w:val="20"/>
        </w:rPr>
      </w:r>
    </w:p>
    <w:p>
      <w:pPr>
        <w:pStyle w:val="664"/>
        <w:numPr>
          <w:ilvl w:val="0"/>
          <w:numId w:val="13"/>
        </w:numPr>
        <w:pBdr>
          <w:top w:val="none" w:color="000000" w:sz="4" w:space="0"/>
          <w:left w:val="none" w:color="000000" w:sz="4" w:space="0"/>
          <w:bottom w:val="none" w:color="000000" w:sz="4" w:space="0"/>
          <w:right w:val="none" w:color="000000" w:sz="4" w:space="0"/>
        </w:pBdr>
        <w:spacing/>
        <w:ind w:right="0"/>
        <w:rPr>
          <w:rFonts w:ascii="Arial" w:hAnsi="Arial" w:cs="Arial"/>
          <w:sz w:val="20"/>
          <w:szCs w:val="20"/>
        </w:rPr>
      </w:pPr>
      <w:r>
        <w:rPr>
          <w:rFonts w:ascii="Arial" w:hAnsi="Arial" w:eastAsia="Arial" w:cs="Arial"/>
          <w:color w:val="000000"/>
          <w:sz w:val="20"/>
          <w:szCs w:val="20"/>
        </w:rPr>
        <w:t xml:space="preserve">Upgrade prepared foods, convenience, and hybrid fulfillment.retailspacesolutions+1</w:t>
      </w:r>
      <w:r>
        <w:rPr>
          <w:rFonts w:ascii="Arial" w:hAnsi="Arial" w:eastAsia="Arial" w:cs="Arial"/>
          <w:sz w:val="20"/>
          <w:szCs w:val="20"/>
        </w:rPr>
      </w:r>
    </w:p>
    <w:p>
      <w:pPr>
        <w:pStyle w:val="664"/>
        <w:numPr>
          <w:ilvl w:val="0"/>
          <w:numId w:val="13"/>
        </w:numPr>
        <w:pBdr>
          <w:top w:val="none" w:color="000000" w:sz="4" w:space="0"/>
          <w:left w:val="none" w:color="000000" w:sz="4" w:space="0"/>
          <w:bottom w:val="none" w:color="000000" w:sz="4" w:space="0"/>
          <w:right w:val="none" w:color="000000" w:sz="4" w:space="0"/>
        </w:pBdr>
        <w:spacing/>
        <w:ind w:right="0"/>
        <w:rPr>
          <w:rFonts w:ascii="Arial" w:hAnsi="Arial" w:cs="Arial"/>
          <w:sz w:val="20"/>
          <w:szCs w:val="20"/>
        </w:rPr>
      </w:pPr>
      <w:r>
        <w:rPr>
          <w:rFonts w:ascii="Arial" w:hAnsi="Arial" w:eastAsia="Arial" w:cs="Arial"/>
          <w:color w:val="000000"/>
          <w:sz w:val="20"/>
          <w:szCs w:val="20"/>
        </w:rPr>
        <w:t xml:space="preserve">Redesign assortments for health goals and GLP-1-driven behavior, including protein, produce, and smaller portions.reuters+1</w:t>
      </w:r>
      <w:r>
        <w:rPr>
          <w:rFonts w:ascii="Arial" w:hAnsi="Arial" w:eastAsia="Arial" w:cs="Arial"/>
          <w:sz w:val="20"/>
          <w:szCs w:val="20"/>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0"/>
          <w:szCs w:val="20"/>
        </w:rPr>
      </w:pPr>
      <w:r>
        <w:rPr>
          <w:rFonts w:ascii="Arial" w:hAnsi="Arial" w:eastAsia="Arial" w:cs="Arial"/>
          <w:color w:val="000000"/>
          <w:sz w:val="20"/>
          <w:szCs w:val="20"/>
        </w:rPr>
        <w:t xml:space="preserve">Here’s a solid build plan for a </w:t>
      </w:r>
      <w:r>
        <w:rPr>
          <w:rFonts w:ascii="Arial" w:hAnsi="Arial" w:eastAsia="Arial" w:cs="Arial"/>
          <w:b/>
          <w:color w:val="000000"/>
          <w:sz w:val="20"/>
          <w:szCs w:val="20"/>
        </w:rPr>
        <w:t xml:space="preserve">live 2027 USA consumer trends dashboard</w:t>
      </w:r>
      <w:r>
        <w:rPr>
          <w:rFonts w:ascii="Arial" w:hAnsi="Arial" w:eastAsia="Arial" w:cs="Arial"/>
          <w:color w:val="000000"/>
          <w:sz w:val="20"/>
          <w:szCs w:val="20"/>
        </w:rPr>
        <w:t xml:space="preserve"> centered on retail, food, and shopping, with monthly views for fashion, beauty, lifestyle, AI shopping adoption, and macro drivers. The best way to make this credible is to treat Trendalytics, WGSN TrendCurve AI, McKinsey ConsumerWise, and NRF as source l</w:t>
      </w:r>
      <w:r>
        <w:rPr>
          <w:rFonts w:ascii="Arial" w:hAnsi="Arial" w:eastAsia="Arial" w:cs="Arial"/>
          <w:color w:val="000000"/>
          <w:sz w:val="20"/>
          <w:szCs w:val="20"/>
        </w:rPr>
        <w:t xml:space="preserve">ayers, then translate their signals into monthly forecast indicators and scenario bands rather than pretending they provide exact monthly U.S. numbers out of the box.trendalytics+3</w:t>
      </w:r>
      <w:r>
        <w:rPr>
          <w:rFonts w:ascii="Arial" w:hAnsi="Arial" w:eastAsia="Arial" w:cs="Arial"/>
          <w:sz w:val="20"/>
          <w:szCs w:val="20"/>
        </w:rPr>
      </w:r>
    </w:p>
    <w:p>
      <w:pPr>
        <w:pStyle w:val="139"/>
        <w:pBdr>
          <w:top w:val="none" w:color="000000" w:sz="4" w:space="0"/>
          <w:left w:val="none" w:color="000000" w:sz="4" w:space="0"/>
          <w:bottom w:val="none" w:color="000000" w:sz="4" w:space="0"/>
          <w:right w:val="none" w:color="000000" w:sz="4" w:space="0"/>
        </w:pBdr>
        <w:spacing/>
        <w:ind w:right="0" w:firstLine="0" w:left="0"/>
        <w:rPr>
          <w:rFonts w:ascii="Arial" w:hAnsi="Arial" w:cs="Arial"/>
          <w:sz w:val="20"/>
          <w:szCs w:val="20"/>
        </w:rPr>
      </w:pPr>
      <w:r>
        <w:rPr>
          <w:rFonts w:ascii="Arial" w:hAnsi="Arial" w:eastAsia="Arial" w:cs="Arial"/>
          <w:b/>
          <w:color w:val="000000"/>
          <w:sz w:val="20"/>
          <w:szCs w:val="20"/>
        </w:rPr>
        <w:t xml:space="preserve">Data model</w:t>
      </w:r>
      <w:r>
        <w:rPr>
          <w:rFonts w:ascii="Arial" w:hAnsi="Arial" w:eastAsia="Arial" w:cs="Arial"/>
          <w:sz w:val="20"/>
          <w:szCs w:val="20"/>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0"/>
          <w:szCs w:val="20"/>
        </w:rPr>
      </w:pPr>
      <w:r>
        <w:rPr>
          <w:rFonts w:ascii="Arial" w:hAnsi="Arial" w:eastAsia="Arial" w:cs="Arial"/>
          <w:color w:val="000000"/>
          <w:sz w:val="20"/>
          <w:szCs w:val="20"/>
        </w:rPr>
        <w:t xml:space="preserve">Use a unified schema with one row per </w:t>
      </w:r>
      <w:r>
        <w:rPr>
          <w:rFonts w:ascii="Arial" w:hAnsi="Arial" w:eastAsia="Arial" w:cs="Arial"/>
          <w:color w:val="000000"/>
          <w:sz w:val="20"/>
          <w:szCs w:val="20"/>
        </w:rPr>
        <w:t xml:space="preserve">month x category x source x signal</w:t>
      </w:r>
      <w:r>
        <w:rPr>
          <w:rFonts w:ascii="Arial" w:hAnsi="Arial" w:eastAsia="Arial" w:cs="Arial"/>
          <w:color w:val="000000"/>
          <w:sz w:val="20"/>
          <w:szCs w:val="20"/>
        </w:rPr>
        <w:t xml:space="preserve">, so the dashboard can compare forecasts across vendors cleanly. Trendalytics is useful for fashion, beauty, lifestyle, and social-search momentum; WGSN TrendCurve AI for seasonal direction and product attributes; McKinsey ConsumerWise for shopping behavio</w:t>
      </w:r>
      <w:r>
        <w:rPr>
          <w:rFonts w:ascii="Arial" w:hAnsi="Arial" w:eastAsia="Arial" w:cs="Arial"/>
          <w:color w:val="000000"/>
          <w:sz w:val="20"/>
          <w:szCs w:val="20"/>
        </w:rPr>
        <w:t xml:space="preserve">r, value-seeking, and AI-assisted purchase decisions; and NRF for retail spend and macro retail confidence.fashionunited+3</w:t>
      </w:r>
      <w:r>
        <w:rPr>
          <w:rFonts w:ascii="Arial" w:hAnsi="Arial" w:eastAsia="Arial" w:cs="Arial"/>
          <w:sz w:val="20"/>
          <w:szCs w:val="20"/>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0"/>
          <w:szCs w:val="20"/>
        </w:rPr>
      </w:pPr>
      <w:r>
        <w:rPr>
          <w:rFonts w:ascii="Arial" w:hAnsi="Arial" w:eastAsia="Arial" w:cs="Arial"/>
          <w:color w:val="000000"/>
          <w:sz w:val="20"/>
          <w:szCs w:val="20"/>
        </w:rPr>
        <w:t xml:space="preserve">Recommended tables:</w:t>
      </w:r>
      <w:r>
        <w:rPr>
          <w:rFonts w:ascii="Arial" w:hAnsi="Arial" w:eastAsia="Arial" w:cs="Arial"/>
          <w:sz w:val="20"/>
          <w:szCs w:val="20"/>
        </w:rPr>
      </w:r>
    </w:p>
    <w:p>
      <w:pPr>
        <w:pStyle w:val="664"/>
        <w:numPr>
          <w:ilvl w:val="0"/>
          <w:numId w:val="14"/>
        </w:numPr>
        <w:pBdr>
          <w:top w:val="none" w:color="000000" w:sz="4" w:space="0"/>
          <w:left w:val="none" w:color="000000" w:sz="4" w:space="0"/>
          <w:bottom w:val="none" w:color="000000" w:sz="4" w:space="0"/>
          <w:right w:val="none" w:color="000000" w:sz="4" w:space="0"/>
        </w:pBdr>
        <w:spacing/>
        <w:ind w:right="0"/>
        <w:rPr>
          <w:rFonts w:ascii="Arial" w:hAnsi="Arial" w:cs="Arial"/>
          <w:sz w:val="20"/>
          <w:szCs w:val="20"/>
        </w:rPr>
      </w:pPr>
      <w:r>
        <w:rPr>
          <w:rFonts w:ascii="Arial" w:hAnsi="Arial" w:eastAsia="Arial" w:cs="Arial"/>
          <w:color w:val="000000"/>
          <w:sz w:val="20"/>
          <w:szCs w:val="20"/>
        </w:rPr>
        <w:t xml:space="preserve">calendar_months</w:t>
      </w:r>
      <w:r>
        <w:rPr>
          <w:rFonts w:ascii="Arial" w:hAnsi="Arial" w:eastAsia="Arial" w:cs="Arial"/>
          <w:color w:val="000000"/>
          <w:sz w:val="20"/>
          <w:szCs w:val="20"/>
        </w:rPr>
        <w:t xml:space="preserve">: month, quarter, season, holiday flags.</w:t>
      </w:r>
      <w:r>
        <w:rPr>
          <w:rFonts w:ascii="Arial" w:hAnsi="Arial" w:eastAsia="Arial" w:cs="Arial"/>
          <w:sz w:val="20"/>
          <w:szCs w:val="20"/>
        </w:rPr>
      </w:r>
    </w:p>
    <w:p>
      <w:pPr>
        <w:pStyle w:val="664"/>
        <w:numPr>
          <w:ilvl w:val="0"/>
          <w:numId w:val="14"/>
        </w:numPr>
        <w:pBdr>
          <w:top w:val="none" w:color="000000" w:sz="4" w:space="0"/>
          <w:left w:val="none" w:color="000000" w:sz="4" w:space="0"/>
          <w:bottom w:val="none" w:color="000000" w:sz="4" w:space="0"/>
          <w:right w:val="none" w:color="000000" w:sz="4" w:space="0"/>
        </w:pBdr>
        <w:spacing/>
        <w:ind w:right="0"/>
        <w:rPr>
          <w:rFonts w:ascii="Arial" w:hAnsi="Arial" w:cs="Arial"/>
          <w:sz w:val="20"/>
          <w:szCs w:val="20"/>
        </w:rPr>
      </w:pPr>
      <w:r>
        <w:rPr>
          <w:rFonts w:ascii="Arial" w:hAnsi="Arial" w:eastAsia="Arial" w:cs="Arial"/>
          <w:color w:val="000000"/>
          <w:sz w:val="20"/>
          <w:szCs w:val="20"/>
        </w:rPr>
        <w:t xml:space="preserve">signals</w:t>
      </w:r>
      <w:r>
        <w:rPr>
          <w:rFonts w:ascii="Arial" w:hAnsi="Arial" w:eastAsia="Arial" w:cs="Arial"/>
          <w:color w:val="000000"/>
          <w:sz w:val="20"/>
          <w:szCs w:val="20"/>
        </w:rPr>
        <w:t xml:space="preserve">: source, category, signal_name, value, confidence, scenario, geography, as_of_date.</w:t>
      </w:r>
      <w:r>
        <w:rPr>
          <w:rFonts w:ascii="Arial" w:hAnsi="Arial" w:eastAsia="Arial" w:cs="Arial"/>
          <w:sz w:val="20"/>
          <w:szCs w:val="20"/>
        </w:rPr>
      </w:r>
    </w:p>
    <w:p>
      <w:pPr>
        <w:pStyle w:val="664"/>
        <w:numPr>
          <w:ilvl w:val="0"/>
          <w:numId w:val="14"/>
        </w:numPr>
        <w:pBdr>
          <w:top w:val="none" w:color="000000" w:sz="4" w:space="0"/>
          <w:left w:val="none" w:color="000000" w:sz="4" w:space="0"/>
          <w:bottom w:val="none" w:color="000000" w:sz="4" w:space="0"/>
          <w:right w:val="none" w:color="000000" w:sz="4" w:space="0"/>
        </w:pBdr>
        <w:spacing/>
        <w:ind w:right="0"/>
        <w:rPr>
          <w:rFonts w:ascii="Arial" w:hAnsi="Arial" w:cs="Arial"/>
          <w:sz w:val="20"/>
          <w:szCs w:val="20"/>
        </w:rPr>
      </w:pPr>
      <w:r>
        <w:rPr>
          <w:rFonts w:ascii="Arial" w:hAnsi="Arial" w:eastAsia="Arial" w:cs="Arial"/>
          <w:color w:val="000000"/>
          <w:sz w:val="20"/>
          <w:szCs w:val="20"/>
        </w:rPr>
        <w:t xml:space="preserve">category_map</w:t>
      </w:r>
      <w:r>
        <w:rPr>
          <w:rFonts w:ascii="Arial" w:hAnsi="Arial" w:eastAsia="Arial" w:cs="Arial"/>
          <w:color w:val="000000"/>
          <w:sz w:val="20"/>
          <w:szCs w:val="20"/>
        </w:rPr>
        <w:t xml:space="preserve">: fashion, beauty, lifestyle, food, grocery, general retail, AI shopping.</w:t>
      </w:r>
      <w:r>
        <w:rPr>
          <w:rFonts w:ascii="Arial" w:hAnsi="Arial" w:eastAsia="Arial" w:cs="Arial"/>
          <w:sz w:val="20"/>
          <w:szCs w:val="20"/>
        </w:rPr>
      </w:r>
    </w:p>
    <w:p>
      <w:pPr>
        <w:pStyle w:val="664"/>
        <w:numPr>
          <w:ilvl w:val="0"/>
          <w:numId w:val="14"/>
        </w:numPr>
        <w:pBdr>
          <w:top w:val="none" w:color="000000" w:sz="4" w:space="0"/>
          <w:left w:val="none" w:color="000000" w:sz="4" w:space="0"/>
          <w:bottom w:val="none" w:color="000000" w:sz="4" w:space="0"/>
          <w:right w:val="none" w:color="000000" w:sz="4" w:space="0"/>
        </w:pBdr>
        <w:spacing/>
        <w:ind w:right="0"/>
        <w:rPr>
          <w:rFonts w:ascii="Arial" w:hAnsi="Arial" w:cs="Arial"/>
          <w:sz w:val="20"/>
          <w:szCs w:val="20"/>
        </w:rPr>
      </w:pPr>
      <w:r>
        <w:rPr>
          <w:rFonts w:ascii="Arial" w:hAnsi="Arial" w:eastAsia="Arial" w:cs="Arial"/>
          <w:color w:val="000000"/>
          <w:sz w:val="20"/>
          <w:szCs w:val="20"/>
        </w:rPr>
        <w:t xml:space="preserve">drivers</w:t>
      </w:r>
      <w:r>
        <w:rPr>
          <w:rFonts w:ascii="Arial" w:hAnsi="Arial" w:eastAsia="Arial" w:cs="Arial"/>
          <w:color w:val="000000"/>
          <w:sz w:val="20"/>
          <w:szCs w:val="20"/>
        </w:rPr>
        <w:t xml:space="preserve">: inflation, tariffs, AI adoption, wellness, price sensitivity, channel shift, loyalty shift.</w:t>
      </w:r>
      <w:r>
        <w:rPr>
          <w:rFonts w:ascii="Arial" w:hAnsi="Arial" w:eastAsia="Arial" w:cs="Arial"/>
          <w:sz w:val="20"/>
          <w:szCs w:val="20"/>
        </w:rPr>
      </w:r>
    </w:p>
    <w:p>
      <w:pPr>
        <w:pStyle w:val="139"/>
        <w:pBdr>
          <w:top w:val="none" w:color="000000" w:sz="4" w:space="0"/>
          <w:left w:val="none" w:color="000000" w:sz="4" w:space="0"/>
          <w:bottom w:val="none" w:color="000000" w:sz="4" w:space="0"/>
          <w:right w:val="none" w:color="000000" w:sz="4" w:space="0"/>
        </w:pBdr>
        <w:spacing/>
        <w:ind w:right="0" w:firstLine="0" w:left="0"/>
        <w:rPr>
          <w:rFonts w:ascii="Arial" w:hAnsi="Arial" w:cs="Arial"/>
          <w:sz w:val="20"/>
          <w:szCs w:val="20"/>
        </w:rPr>
      </w:pPr>
      <w:r>
        <w:rPr>
          <w:rFonts w:ascii="Arial" w:hAnsi="Arial" w:eastAsia="Arial" w:cs="Arial"/>
          <w:b/>
          <w:color w:val="000000"/>
          <w:sz w:val="20"/>
          <w:szCs w:val="20"/>
        </w:rPr>
        <w:t xml:space="preserve">Forecast logic</w:t>
      </w:r>
      <w:r>
        <w:rPr>
          <w:rFonts w:ascii="Arial" w:hAnsi="Arial" w:eastAsia="Arial" w:cs="Arial"/>
          <w:sz w:val="20"/>
          <w:szCs w:val="20"/>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0"/>
          <w:szCs w:val="20"/>
        </w:rPr>
      </w:pPr>
      <w:r>
        <w:rPr>
          <w:rFonts w:ascii="Arial" w:hAnsi="Arial" w:eastAsia="Arial" w:cs="Arial"/>
          <w:color w:val="000000"/>
          <w:sz w:val="20"/>
          <w:szCs w:val="20"/>
        </w:rPr>
        <w:t xml:space="preserve">Since the sources differ in granularity, the dashboard should calculate a </w:t>
      </w:r>
      <w:r>
        <w:rPr>
          <w:rFonts w:ascii="Arial" w:hAnsi="Arial" w:eastAsia="Arial" w:cs="Arial"/>
          <w:b/>
          <w:color w:val="000000"/>
          <w:sz w:val="20"/>
          <w:szCs w:val="20"/>
        </w:rPr>
        <w:t xml:space="preserve">normalized trend index</w:t>
      </w:r>
      <w:r>
        <w:rPr>
          <w:rFonts w:ascii="Arial" w:hAnsi="Arial" w:eastAsia="Arial" w:cs="Arial"/>
          <w:color w:val="000000"/>
          <w:sz w:val="20"/>
          <w:szCs w:val="20"/>
        </w:rPr>
        <w:t xml:space="preserve"> from 0–100 for each category and month, then apply source weights and scenario assumptions. A practical weighting approach is 40% consumer behavior data from ConsumerWise, 30% trend velocity from Trendalytics, 20% seasonal direction from WGSN, and 10% mac</w:t>
      </w:r>
      <w:r>
        <w:rPr>
          <w:rFonts w:ascii="Arial" w:hAnsi="Arial" w:eastAsia="Arial" w:cs="Arial"/>
          <w:color w:val="000000"/>
          <w:sz w:val="20"/>
          <w:szCs w:val="20"/>
        </w:rPr>
        <w:t xml:space="preserve">ro retail baseline from NRF.mckinsey+3</w:t>
      </w:r>
      <w:r>
        <w:rPr>
          <w:rFonts w:ascii="Arial" w:hAnsi="Arial" w:eastAsia="Arial" w:cs="Arial"/>
          <w:sz w:val="20"/>
          <w:szCs w:val="20"/>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0"/>
          <w:szCs w:val="20"/>
        </w:rPr>
      </w:pPr>
      <w:r>
        <w:rPr>
          <w:rFonts w:ascii="Arial" w:hAnsi="Arial" w:eastAsia="Arial" w:cs="Arial"/>
          <w:color w:val="000000"/>
          <w:sz w:val="20"/>
          <w:szCs w:val="20"/>
        </w:rPr>
        <w:t xml:space="preserve">Monthly projections can be built as:</w:t>
      </w:r>
      <w:r>
        <w:rPr>
          <w:rFonts w:ascii="Arial" w:hAnsi="Arial" w:eastAsia="Arial" w:cs="Arial"/>
          <w:sz w:val="20"/>
          <w:szCs w:val="20"/>
        </w:rPr>
      </w:r>
    </w:p>
    <w:p>
      <w:pPr>
        <w:pStyle w:val="664"/>
        <w:numPr>
          <w:ilvl w:val="0"/>
          <w:numId w:val="15"/>
        </w:numPr>
        <w:pBdr>
          <w:top w:val="none" w:color="000000" w:sz="4" w:space="0"/>
          <w:left w:val="none" w:color="000000" w:sz="4" w:space="0"/>
          <w:bottom w:val="none" w:color="000000" w:sz="4" w:space="0"/>
          <w:right w:val="none" w:color="000000" w:sz="4" w:space="0"/>
        </w:pBdr>
        <w:spacing/>
        <w:ind w:right="0"/>
        <w:rPr>
          <w:rFonts w:ascii="Arial" w:hAnsi="Arial" w:cs="Arial"/>
          <w:sz w:val="20"/>
          <w:szCs w:val="20"/>
        </w:rPr>
      </w:pPr>
      <w:r>
        <w:rPr>
          <w:rFonts w:ascii="Arial" w:hAnsi="Arial" w:eastAsia="Arial" w:cs="Arial"/>
          <w:color w:val="000000"/>
          <w:sz w:val="20"/>
          <w:szCs w:val="20"/>
        </w:rPr>
        <w:t xml:space="preserve">Seasonal uplift for shopping-heavy months like spring refresh, back-to-school, holiday, and post-holiday value periods.</w:t>
      </w:r>
      <w:r>
        <w:rPr>
          <w:rFonts w:ascii="Arial" w:hAnsi="Arial" w:eastAsia="Arial" w:cs="Arial"/>
          <w:sz w:val="20"/>
          <w:szCs w:val="20"/>
        </w:rPr>
      </w:r>
    </w:p>
    <w:p>
      <w:pPr>
        <w:pStyle w:val="664"/>
        <w:numPr>
          <w:ilvl w:val="0"/>
          <w:numId w:val="15"/>
        </w:numPr>
        <w:pBdr>
          <w:top w:val="none" w:color="000000" w:sz="4" w:space="0"/>
          <w:left w:val="none" w:color="000000" w:sz="4" w:space="0"/>
          <w:bottom w:val="none" w:color="000000" w:sz="4" w:space="0"/>
          <w:right w:val="none" w:color="000000" w:sz="4" w:space="0"/>
        </w:pBdr>
        <w:spacing/>
        <w:ind w:right="0"/>
        <w:rPr>
          <w:rFonts w:ascii="Arial" w:hAnsi="Arial" w:cs="Arial"/>
          <w:sz w:val="20"/>
          <w:szCs w:val="20"/>
        </w:rPr>
      </w:pPr>
      <w:r>
        <w:rPr>
          <w:rFonts w:ascii="Arial" w:hAnsi="Arial" w:eastAsia="Arial" w:cs="Arial"/>
          <w:color w:val="000000"/>
          <w:sz w:val="20"/>
          <w:szCs w:val="20"/>
        </w:rPr>
        <w:t xml:space="preserve">AI shopping adoption curve rising through 2027, because McKinsey says AI shopping is already moving from early adopter to mainstream in the U.S..</w:t>
      </w:r>
      <w:hyperlink r:id="rId123" w:tooltip="https://www.mckinsey.com/industries/consumer-packaged-goods/our-insights/the-state-of-the-us-consumer" w:history="1">
        <w:r>
          <w:rPr>
            <w:rStyle w:val="186"/>
            <w:rFonts w:ascii="Arial" w:hAnsi="Arial" w:eastAsia="Arial" w:cs="Arial"/>
            <w:color w:val="0000ee"/>
            <w:sz w:val="20"/>
            <w:szCs w:val="20"/>
            <w:u w:val="single"/>
          </w:rPr>
          <w:t xml:space="preserve">mckinsey</w:t>
        </w:r>
      </w:hyperlink>
      <w:r>
        <w:rPr>
          <w:rFonts w:ascii="Arial" w:hAnsi="Arial" w:eastAsia="Arial" w:cs="Arial"/>
          <w:sz w:val="20"/>
          <w:szCs w:val="20"/>
        </w:rPr>
      </w:r>
      <w:r>
        <w:rPr>
          <w:rFonts w:ascii="Arial" w:hAnsi="Arial" w:eastAsia="Arial" w:cs="Arial"/>
          <w:sz w:val="20"/>
          <w:szCs w:val="20"/>
        </w:rPr>
      </w:r>
    </w:p>
    <w:p>
      <w:pPr>
        <w:pStyle w:val="664"/>
        <w:numPr>
          <w:ilvl w:val="0"/>
          <w:numId w:val="15"/>
        </w:numPr>
        <w:pBdr>
          <w:top w:val="none" w:color="000000" w:sz="4" w:space="0"/>
          <w:left w:val="none" w:color="000000" w:sz="4" w:space="0"/>
          <w:bottom w:val="none" w:color="000000" w:sz="4" w:space="0"/>
          <w:right w:val="none" w:color="000000" w:sz="4" w:space="0"/>
        </w:pBdr>
        <w:spacing/>
        <w:ind w:right="0"/>
        <w:rPr>
          <w:rFonts w:ascii="Arial" w:hAnsi="Arial" w:cs="Arial"/>
          <w:sz w:val="20"/>
          <w:szCs w:val="20"/>
        </w:rPr>
      </w:pPr>
      <w:r>
        <w:rPr>
          <w:rFonts w:ascii="Arial" w:hAnsi="Arial" w:eastAsia="Arial" w:cs="Arial"/>
          <w:color w:val="000000"/>
          <w:sz w:val="20"/>
          <w:szCs w:val="20"/>
        </w:rPr>
        <w:t xml:space="preserve">Value pressure and trade-down behavior when inflation and tariffs stay elevated, which McKinsey and NRF both frame as important consumer constraints.nrf+2</w:t>
      </w:r>
      <w:r>
        <w:rPr>
          <w:rFonts w:ascii="Arial" w:hAnsi="Arial" w:eastAsia="Arial" w:cs="Arial"/>
          <w:sz w:val="20"/>
          <w:szCs w:val="20"/>
        </w:rPr>
      </w:r>
    </w:p>
    <w:p>
      <w:pPr>
        <w:pStyle w:val="664"/>
        <w:numPr>
          <w:ilvl w:val="0"/>
          <w:numId w:val="15"/>
        </w:numPr>
        <w:pBdr>
          <w:top w:val="none" w:color="000000" w:sz="4" w:space="0"/>
          <w:left w:val="none" w:color="000000" w:sz="4" w:space="0"/>
          <w:bottom w:val="none" w:color="000000" w:sz="4" w:space="0"/>
          <w:right w:val="none" w:color="000000" w:sz="4" w:space="0"/>
        </w:pBdr>
        <w:spacing/>
        <w:ind w:right="0"/>
        <w:rPr>
          <w:rFonts w:ascii="Arial" w:hAnsi="Arial" w:cs="Arial"/>
          <w:sz w:val="20"/>
          <w:szCs w:val="20"/>
        </w:rPr>
      </w:pPr>
      <w:r>
        <w:rPr>
          <w:rFonts w:ascii="Arial" w:hAnsi="Arial" w:eastAsia="Arial" w:cs="Arial"/>
          <w:color w:val="000000"/>
          <w:sz w:val="20"/>
          <w:szCs w:val="20"/>
        </w:rPr>
        <w:t xml:space="preserve">Category-specific signals, such as beauty remaining structurally resilient through 2027 and reaching about $580 billion globally, which supports a positive beauty baseline in the model.mckinsey+1</w:t>
      </w:r>
      <w:r>
        <w:rPr>
          <w:rFonts w:ascii="Arial" w:hAnsi="Arial" w:eastAsia="Arial" w:cs="Arial"/>
          <w:sz w:val="20"/>
          <w:szCs w:val="20"/>
        </w:rPr>
      </w:r>
    </w:p>
    <w:p>
      <w:pPr>
        <w:pStyle w:val="139"/>
        <w:pBdr>
          <w:top w:val="none" w:color="000000" w:sz="4" w:space="0"/>
          <w:left w:val="none" w:color="000000" w:sz="4" w:space="0"/>
          <w:bottom w:val="none" w:color="000000" w:sz="4" w:space="0"/>
          <w:right w:val="none" w:color="000000" w:sz="4" w:space="0"/>
        </w:pBdr>
        <w:spacing/>
        <w:ind w:right="0" w:firstLine="0" w:left="0"/>
        <w:rPr>
          <w:rFonts w:ascii="Arial" w:hAnsi="Arial" w:cs="Arial"/>
          <w:sz w:val="20"/>
          <w:szCs w:val="20"/>
        </w:rPr>
      </w:pPr>
      <w:r>
        <w:rPr>
          <w:rFonts w:ascii="Arial" w:hAnsi="Arial" w:eastAsia="Arial" w:cs="Arial"/>
          <w:b/>
          <w:color w:val="000000"/>
          <w:sz w:val="20"/>
          <w:szCs w:val="20"/>
        </w:rPr>
        <w:t xml:space="preserve">Visualizations</w:t>
      </w:r>
      <w:r>
        <w:rPr>
          <w:rFonts w:ascii="Arial" w:hAnsi="Arial" w:eastAsia="Arial" w:cs="Arial"/>
          <w:sz w:val="20"/>
          <w:szCs w:val="20"/>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0"/>
          <w:szCs w:val="20"/>
        </w:rPr>
      </w:pPr>
      <w:r>
        <w:rPr>
          <w:rFonts w:ascii="Arial" w:hAnsi="Arial" w:eastAsia="Arial" w:cs="Arial"/>
          <w:color w:val="000000"/>
          <w:sz w:val="20"/>
          <w:szCs w:val="20"/>
        </w:rPr>
        <w:t xml:space="preserve">The dashboard should include five core views:</w:t>
      </w:r>
      <w:r>
        <w:rPr>
          <w:rFonts w:ascii="Arial" w:hAnsi="Arial" w:eastAsia="Arial" w:cs="Arial"/>
          <w:sz w:val="20"/>
          <w:szCs w:val="20"/>
        </w:rPr>
      </w:r>
    </w:p>
    <w:p>
      <w:pPr>
        <w:pStyle w:val="664"/>
        <w:numPr>
          <w:ilvl w:val="0"/>
          <w:numId w:val="16"/>
        </w:numPr>
        <w:pBdr>
          <w:top w:val="none" w:color="000000" w:sz="4" w:space="0"/>
          <w:left w:val="none" w:color="000000" w:sz="4" w:space="0"/>
          <w:bottom w:val="none" w:color="000000" w:sz="4" w:space="0"/>
          <w:right w:val="none" w:color="000000" w:sz="4" w:space="0"/>
        </w:pBdr>
        <w:spacing/>
        <w:ind w:right="0"/>
        <w:rPr>
          <w:rFonts w:ascii="Arial" w:hAnsi="Arial" w:cs="Arial"/>
          <w:sz w:val="20"/>
          <w:szCs w:val="20"/>
        </w:rPr>
      </w:pPr>
      <w:r>
        <w:rPr>
          <w:rFonts w:ascii="Arial" w:hAnsi="Arial" w:eastAsia="Arial" w:cs="Arial"/>
          <w:color w:val="000000"/>
          <w:sz w:val="20"/>
          <w:szCs w:val="20"/>
        </w:rPr>
        <w:t xml:space="preserve">A monthly </w:t>
      </w:r>
      <w:r>
        <w:rPr>
          <w:rFonts w:ascii="Arial" w:hAnsi="Arial" w:eastAsia="Arial" w:cs="Arial"/>
          <w:b/>
          <w:color w:val="000000"/>
          <w:sz w:val="20"/>
          <w:szCs w:val="20"/>
        </w:rPr>
        <w:t xml:space="preserve">line chart</w:t>
      </w:r>
      <w:r>
        <w:rPr>
          <w:rFonts w:ascii="Arial" w:hAnsi="Arial" w:eastAsia="Arial" w:cs="Arial"/>
          <w:color w:val="000000"/>
          <w:sz w:val="20"/>
          <w:szCs w:val="20"/>
        </w:rPr>
        <w:t xml:space="preserve"> for predicted index shifts by category, with separate lines for fashion, beauty, lifestyle, food, and AI shopping adoption.</w:t>
      </w:r>
      <w:r>
        <w:rPr>
          <w:rFonts w:ascii="Arial" w:hAnsi="Arial" w:eastAsia="Arial" w:cs="Arial"/>
          <w:sz w:val="20"/>
          <w:szCs w:val="20"/>
        </w:rPr>
      </w:r>
    </w:p>
    <w:p>
      <w:pPr>
        <w:pStyle w:val="664"/>
        <w:numPr>
          <w:ilvl w:val="0"/>
          <w:numId w:val="16"/>
        </w:numPr>
        <w:pBdr>
          <w:top w:val="none" w:color="000000" w:sz="4" w:space="0"/>
          <w:left w:val="none" w:color="000000" w:sz="4" w:space="0"/>
          <w:bottom w:val="none" w:color="000000" w:sz="4" w:space="0"/>
          <w:right w:val="none" w:color="000000" w:sz="4" w:space="0"/>
        </w:pBdr>
        <w:spacing/>
        <w:ind w:right="0"/>
        <w:rPr>
          <w:rFonts w:ascii="Arial" w:hAnsi="Arial" w:cs="Arial"/>
          <w:sz w:val="20"/>
          <w:szCs w:val="20"/>
        </w:rPr>
      </w:pPr>
      <w:r>
        <w:rPr>
          <w:rFonts w:ascii="Arial" w:hAnsi="Arial" w:eastAsia="Arial" w:cs="Arial"/>
          <w:color w:val="000000"/>
          <w:sz w:val="20"/>
          <w:szCs w:val="20"/>
        </w:rPr>
        <w:t xml:space="preserve">A </w:t>
      </w:r>
      <w:r>
        <w:rPr>
          <w:rFonts w:ascii="Arial" w:hAnsi="Arial" w:eastAsia="Arial" w:cs="Arial"/>
          <w:b/>
          <w:color w:val="000000"/>
          <w:sz w:val="20"/>
          <w:szCs w:val="20"/>
        </w:rPr>
        <w:t xml:space="preserve">stacked area chart</w:t>
      </w:r>
      <w:r>
        <w:rPr>
          <w:rFonts w:ascii="Arial" w:hAnsi="Arial" w:eastAsia="Arial" w:cs="Arial"/>
          <w:color w:val="000000"/>
          <w:sz w:val="20"/>
          <w:szCs w:val="20"/>
        </w:rPr>
        <w:t xml:space="preserve"> for the share of consumer attention across categories.</w:t>
      </w:r>
      <w:r>
        <w:rPr>
          <w:rFonts w:ascii="Arial" w:hAnsi="Arial" w:eastAsia="Arial" w:cs="Arial"/>
          <w:sz w:val="20"/>
          <w:szCs w:val="20"/>
        </w:rPr>
      </w:r>
    </w:p>
    <w:p>
      <w:pPr>
        <w:pStyle w:val="664"/>
        <w:numPr>
          <w:ilvl w:val="0"/>
          <w:numId w:val="16"/>
        </w:numPr>
        <w:pBdr>
          <w:top w:val="none" w:color="000000" w:sz="4" w:space="0"/>
          <w:left w:val="none" w:color="000000" w:sz="4" w:space="0"/>
          <w:bottom w:val="none" w:color="000000" w:sz="4" w:space="0"/>
          <w:right w:val="none" w:color="000000" w:sz="4" w:space="0"/>
        </w:pBdr>
        <w:spacing/>
        <w:ind w:right="0"/>
        <w:rPr>
          <w:rFonts w:ascii="Arial" w:hAnsi="Arial" w:cs="Arial"/>
          <w:sz w:val="20"/>
          <w:szCs w:val="20"/>
        </w:rPr>
      </w:pPr>
      <w:r>
        <w:rPr>
          <w:rFonts w:ascii="Arial" w:hAnsi="Arial" w:eastAsia="Arial" w:cs="Arial"/>
          <w:color w:val="000000"/>
          <w:sz w:val="20"/>
          <w:szCs w:val="20"/>
        </w:rPr>
        <w:t xml:space="preserve">A </w:t>
      </w:r>
      <w:r>
        <w:rPr>
          <w:rFonts w:ascii="Arial" w:hAnsi="Arial" w:eastAsia="Arial" w:cs="Arial"/>
          <w:b/>
          <w:color w:val="000000"/>
          <w:sz w:val="20"/>
          <w:szCs w:val="20"/>
        </w:rPr>
        <w:t xml:space="preserve">heatmap</w:t>
      </w:r>
      <w:r>
        <w:rPr>
          <w:rFonts w:ascii="Arial" w:hAnsi="Arial" w:eastAsia="Arial" w:cs="Arial"/>
          <w:color w:val="000000"/>
          <w:sz w:val="20"/>
          <w:szCs w:val="20"/>
        </w:rPr>
        <w:t xml:space="preserve"> showing month-by-month intensity by category and source.</w:t>
      </w:r>
      <w:r>
        <w:rPr>
          <w:rFonts w:ascii="Arial" w:hAnsi="Arial" w:eastAsia="Arial" w:cs="Arial"/>
          <w:sz w:val="20"/>
          <w:szCs w:val="20"/>
        </w:rPr>
      </w:r>
    </w:p>
    <w:p>
      <w:pPr>
        <w:pStyle w:val="664"/>
        <w:numPr>
          <w:ilvl w:val="0"/>
          <w:numId w:val="16"/>
        </w:numPr>
        <w:pBdr>
          <w:top w:val="none" w:color="000000" w:sz="4" w:space="0"/>
          <w:left w:val="none" w:color="000000" w:sz="4" w:space="0"/>
          <w:bottom w:val="none" w:color="000000" w:sz="4" w:space="0"/>
          <w:right w:val="none" w:color="000000" w:sz="4" w:space="0"/>
        </w:pBdr>
        <w:spacing/>
        <w:ind w:right="0"/>
        <w:rPr>
          <w:rFonts w:ascii="Arial" w:hAnsi="Arial" w:cs="Arial"/>
          <w:sz w:val="20"/>
          <w:szCs w:val="20"/>
        </w:rPr>
      </w:pPr>
      <w:r>
        <w:rPr>
          <w:rFonts w:ascii="Arial" w:hAnsi="Arial" w:eastAsia="Arial" w:cs="Arial"/>
          <w:color w:val="000000"/>
          <w:sz w:val="20"/>
          <w:szCs w:val="20"/>
        </w:rPr>
        <w:t xml:space="preserve">A </w:t>
      </w:r>
      <w:r>
        <w:rPr>
          <w:rFonts w:ascii="Arial" w:hAnsi="Arial" w:eastAsia="Arial" w:cs="Arial"/>
          <w:b/>
          <w:color w:val="000000"/>
          <w:sz w:val="20"/>
          <w:szCs w:val="20"/>
        </w:rPr>
        <w:t xml:space="preserve">driver panel</w:t>
      </w:r>
      <w:r>
        <w:rPr>
          <w:rFonts w:ascii="Arial" w:hAnsi="Arial" w:eastAsia="Arial" w:cs="Arial"/>
          <w:color w:val="000000"/>
          <w:sz w:val="20"/>
          <w:szCs w:val="20"/>
        </w:rPr>
        <w:t xml:space="preserve"> with small multiples for inflation, tariffs, wellness, personalization, and AI adoption.</w:t>
      </w:r>
      <w:r>
        <w:rPr>
          <w:rFonts w:ascii="Arial" w:hAnsi="Arial" w:eastAsia="Arial" w:cs="Arial"/>
          <w:sz w:val="20"/>
          <w:szCs w:val="20"/>
        </w:rPr>
      </w:r>
    </w:p>
    <w:p>
      <w:pPr>
        <w:pStyle w:val="664"/>
        <w:numPr>
          <w:ilvl w:val="0"/>
          <w:numId w:val="16"/>
        </w:numPr>
        <w:pBdr>
          <w:top w:val="none" w:color="000000" w:sz="4" w:space="0"/>
          <w:left w:val="none" w:color="000000" w:sz="4" w:space="0"/>
          <w:bottom w:val="none" w:color="000000" w:sz="4" w:space="0"/>
          <w:right w:val="none" w:color="000000" w:sz="4" w:space="0"/>
        </w:pBdr>
        <w:spacing/>
        <w:ind w:right="0"/>
        <w:rPr>
          <w:rFonts w:ascii="Arial" w:hAnsi="Arial" w:cs="Arial"/>
          <w:sz w:val="20"/>
          <w:szCs w:val="20"/>
        </w:rPr>
      </w:pPr>
      <w:r>
        <w:rPr>
          <w:rFonts w:ascii="Arial" w:hAnsi="Arial" w:eastAsia="Arial" w:cs="Arial"/>
          <w:color w:val="000000"/>
          <w:sz w:val="20"/>
          <w:szCs w:val="20"/>
        </w:rPr>
        <w:t xml:space="preserve">An </w:t>
      </w:r>
      <w:r>
        <w:rPr>
          <w:rFonts w:ascii="Arial" w:hAnsi="Arial" w:eastAsia="Arial" w:cs="Arial"/>
          <w:b/>
          <w:color w:val="000000"/>
          <w:sz w:val="20"/>
          <w:szCs w:val="20"/>
        </w:rPr>
        <w:t xml:space="preserve">interactive timeline</w:t>
      </w:r>
      <w:r>
        <w:rPr>
          <w:rFonts w:ascii="Arial" w:hAnsi="Arial" w:eastAsia="Arial" w:cs="Arial"/>
          <w:color w:val="000000"/>
          <w:sz w:val="20"/>
          <w:szCs w:val="20"/>
        </w:rPr>
        <w:t xml:space="preserve"> with month hover cards and event markers for major seasonal inflections.</w:t>
      </w:r>
      <w:r>
        <w:rPr>
          <w:rFonts w:ascii="Arial" w:hAnsi="Arial" w:eastAsia="Arial" w:cs="Arial"/>
          <w:sz w:val="20"/>
          <w:szCs w:val="20"/>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0"/>
          <w:szCs w:val="20"/>
        </w:rPr>
      </w:pPr>
      <w:r>
        <w:rPr>
          <w:rFonts w:ascii="Arial" w:hAnsi="Arial" w:eastAsia="Arial" w:cs="Arial"/>
          <w:color w:val="000000"/>
          <w:sz w:val="20"/>
          <w:szCs w:val="20"/>
        </w:rPr>
        <w:t xml:space="preserve">You should add filters for sector, source, scenario, region, and confidence band. A useful interaction pattern is: user selects “beauty,” then sees Trendalytics and WGSN signal overlays, McKinsey behavior indicators, and NRF macro context on the same timel</w:t>
      </w:r>
      <w:r>
        <w:rPr>
          <w:rFonts w:ascii="Arial" w:hAnsi="Arial" w:eastAsia="Arial" w:cs="Arial"/>
          <w:color w:val="000000"/>
          <w:sz w:val="20"/>
          <w:szCs w:val="20"/>
        </w:rPr>
        <w:t xml:space="preserve">ine.trendalytics+3</w:t>
      </w:r>
      <w:r>
        <w:rPr>
          <w:rFonts w:ascii="Arial" w:hAnsi="Arial" w:eastAsia="Arial" w:cs="Arial"/>
          <w:sz w:val="20"/>
          <w:szCs w:val="20"/>
        </w:rPr>
      </w:r>
    </w:p>
    <w:p>
      <w:pPr>
        <w:pStyle w:val="139"/>
        <w:pBdr>
          <w:top w:val="none" w:color="000000" w:sz="4" w:space="0"/>
          <w:left w:val="none" w:color="000000" w:sz="4" w:space="0"/>
          <w:bottom w:val="none" w:color="000000" w:sz="4" w:space="0"/>
          <w:right w:val="none" w:color="000000" w:sz="4" w:space="0"/>
        </w:pBdr>
        <w:spacing/>
        <w:ind w:right="0" w:firstLine="0" w:left="0"/>
        <w:rPr>
          <w:rFonts w:ascii="Arial" w:hAnsi="Arial" w:cs="Arial"/>
          <w:sz w:val="20"/>
          <w:szCs w:val="20"/>
        </w:rPr>
      </w:pPr>
      <w:r>
        <w:rPr>
          <w:rFonts w:ascii="Arial" w:hAnsi="Arial" w:eastAsia="Arial" w:cs="Arial"/>
          <w:b/>
          <w:color w:val="000000"/>
          <w:sz w:val="20"/>
          <w:szCs w:val="20"/>
        </w:rPr>
        <w:t xml:space="preserve">Suggested dashboard pages</w:t>
      </w:r>
      <w:r>
        <w:rPr>
          <w:rFonts w:ascii="Arial" w:hAnsi="Arial" w:eastAsia="Arial" w:cs="Arial"/>
          <w:sz w:val="20"/>
          <w:szCs w:val="20"/>
        </w:rPr>
      </w:r>
    </w:p>
    <w:p>
      <w:pPr>
        <w:pStyle w:val="664"/>
        <w:numPr>
          <w:ilvl w:val="0"/>
          <w:numId w:val="17"/>
        </w:numPr>
        <w:pBdr>
          <w:top w:val="none" w:color="000000" w:sz="4" w:space="0"/>
          <w:left w:val="none" w:color="000000" w:sz="4" w:space="0"/>
          <w:bottom w:val="none" w:color="000000" w:sz="4" w:space="0"/>
          <w:right w:val="none" w:color="000000" w:sz="4" w:space="0"/>
        </w:pBdr>
        <w:spacing/>
        <w:ind w:right="0"/>
        <w:rPr>
          <w:rFonts w:ascii="Arial" w:hAnsi="Arial" w:cs="Arial"/>
          <w:sz w:val="20"/>
          <w:szCs w:val="20"/>
        </w:rPr>
      </w:pPr>
      <w:r>
        <w:rPr>
          <w:rFonts w:ascii="Arial" w:hAnsi="Arial" w:eastAsia="Arial" w:cs="Arial"/>
          <w:b/>
          <w:color w:val="000000"/>
          <w:sz w:val="20"/>
          <w:szCs w:val="20"/>
        </w:rPr>
        <w:t xml:space="preserve">Overview</w:t>
      </w:r>
      <w:r>
        <w:rPr>
          <w:rFonts w:ascii="Arial" w:hAnsi="Arial" w:eastAsia="Arial" w:cs="Arial"/>
          <w:sz w:val="20"/>
          <w:szCs w:val="20"/>
        </w:rPr>
      </w:r>
    </w:p>
    <w:p>
      <w:pPr>
        <w:pStyle w:val="664"/>
        <w:numPr>
          <w:ilvl w:val="0"/>
          <w:numId w:val="18"/>
        </w:numPr>
        <w:pBdr>
          <w:top w:val="none" w:color="000000" w:sz="4" w:space="0"/>
          <w:left w:val="none" w:color="000000" w:sz="4" w:space="0"/>
          <w:bottom w:val="none" w:color="000000" w:sz="4" w:space="0"/>
          <w:right w:val="none" w:color="000000" w:sz="4" w:space="0"/>
        </w:pBdr>
        <w:spacing/>
        <w:ind w:right="0"/>
        <w:rPr>
          <w:rFonts w:ascii="Arial" w:hAnsi="Arial" w:cs="Arial"/>
          <w:sz w:val="20"/>
          <w:szCs w:val="20"/>
        </w:rPr>
      </w:pPr>
      <w:r>
        <w:rPr>
          <w:rFonts w:ascii="Arial" w:hAnsi="Arial" w:eastAsia="Arial" w:cs="Arial"/>
          <w:color w:val="000000"/>
          <w:sz w:val="20"/>
          <w:szCs w:val="20"/>
        </w:rPr>
        <w:t xml:space="preserve">Topline 2027 trend index by month.</w:t>
      </w:r>
      <w:r>
        <w:rPr>
          <w:rFonts w:ascii="Arial" w:hAnsi="Arial" w:eastAsia="Arial" w:cs="Arial"/>
          <w:sz w:val="20"/>
          <w:szCs w:val="20"/>
        </w:rPr>
      </w:r>
    </w:p>
    <w:p>
      <w:pPr>
        <w:pStyle w:val="664"/>
        <w:numPr>
          <w:ilvl w:val="0"/>
          <w:numId w:val="18"/>
        </w:numPr>
        <w:pBdr>
          <w:top w:val="none" w:color="000000" w:sz="4" w:space="0"/>
          <w:left w:val="none" w:color="000000" w:sz="4" w:space="0"/>
          <w:bottom w:val="none" w:color="000000" w:sz="4" w:space="0"/>
          <w:right w:val="none" w:color="000000" w:sz="4" w:space="0"/>
        </w:pBdr>
        <w:spacing/>
        <w:ind w:right="0"/>
        <w:rPr>
          <w:rFonts w:ascii="Arial" w:hAnsi="Arial" w:cs="Arial"/>
          <w:sz w:val="20"/>
          <w:szCs w:val="20"/>
        </w:rPr>
      </w:pPr>
      <w:r>
        <w:rPr>
          <w:rFonts w:ascii="Arial" w:hAnsi="Arial" w:eastAsia="Arial" w:cs="Arial"/>
          <w:color w:val="000000"/>
          <w:sz w:val="20"/>
          <w:szCs w:val="20"/>
        </w:rPr>
        <w:t xml:space="preserve">Category ranking and momentum.</w:t>
      </w:r>
      <w:r>
        <w:rPr>
          <w:rFonts w:ascii="Arial" w:hAnsi="Arial" w:eastAsia="Arial" w:cs="Arial"/>
          <w:sz w:val="20"/>
          <w:szCs w:val="20"/>
        </w:rPr>
      </w:r>
    </w:p>
    <w:p>
      <w:pPr>
        <w:pStyle w:val="664"/>
        <w:numPr>
          <w:ilvl w:val="0"/>
          <w:numId w:val="18"/>
        </w:numPr>
        <w:pBdr>
          <w:top w:val="none" w:color="000000" w:sz="4" w:space="0"/>
          <w:left w:val="none" w:color="000000" w:sz="4" w:space="0"/>
          <w:bottom w:val="none" w:color="000000" w:sz="4" w:space="0"/>
          <w:right w:val="none" w:color="000000" w:sz="4" w:space="0"/>
        </w:pBdr>
        <w:spacing/>
        <w:ind w:right="0"/>
        <w:rPr>
          <w:rFonts w:ascii="Arial" w:hAnsi="Arial" w:cs="Arial"/>
          <w:sz w:val="20"/>
          <w:szCs w:val="20"/>
        </w:rPr>
      </w:pPr>
      <w:r>
        <w:rPr>
          <w:rFonts w:ascii="Arial" w:hAnsi="Arial" w:eastAsia="Arial" w:cs="Arial"/>
          <w:color w:val="000000"/>
          <w:sz w:val="20"/>
          <w:szCs w:val="20"/>
        </w:rPr>
        <w:t xml:space="preserve">Confidence bands and scenario toggle.</w:t>
      </w:r>
      <w:r>
        <w:rPr>
          <w:rFonts w:ascii="Arial" w:hAnsi="Arial" w:eastAsia="Arial" w:cs="Arial"/>
          <w:sz w:val="20"/>
          <w:szCs w:val="20"/>
        </w:rPr>
      </w:r>
    </w:p>
    <w:p>
      <w:pPr>
        <w:pStyle w:val="664"/>
        <w:numPr>
          <w:ilvl w:val="0"/>
          <w:numId w:val="19"/>
        </w:numPr>
        <w:pBdr>
          <w:top w:val="none" w:color="000000" w:sz="4" w:space="0"/>
          <w:left w:val="none" w:color="000000" w:sz="4" w:space="0"/>
          <w:bottom w:val="none" w:color="000000" w:sz="4" w:space="0"/>
          <w:right w:val="none" w:color="000000" w:sz="4" w:space="0"/>
        </w:pBdr>
        <w:spacing/>
        <w:ind w:right="0"/>
        <w:rPr>
          <w:rFonts w:ascii="Arial" w:hAnsi="Arial" w:cs="Arial"/>
          <w:sz w:val="20"/>
          <w:szCs w:val="20"/>
        </w:rPr>
      </w:pPr>
      <w:r>
        <w:rPr>
          <w:rFonts w:ascii="Arial" w:hAnsi="Arial" w:eastAsia="Arial" w:cs="Arial"/>
          <w:b/>
          <w:color w:val="000000"/>
          <w:sz w:val="20"/>
          <w:szCs w:val="20"/>
        </w:rPr>
        <w:t xml:space="preserve">Sector drill-down</w:t>
      </w:r>
      <w:r>
        <w:rPr>
          <w:rFonts w:ascii="Arial" w:hAnsi="Arial" w:eastAsia="Arial" w:cs="Arial"/>
          <w:sz w:val="20"/>
          <w:szCs w:val="20"/>
        </w:rPr>
      </w:r>
    </w:p>
    <w:p>
      <w:pPr>
        <w:pStyle w:val="664"/>
        <w:numPr>
          <w:ilvl w:val="0"/>
          <w:numId w:val="20"/>
        </w:numPr>
        <w:pBdr>
          <w:top w:val="none" w:color="000000" w:sz="4" w:space="0"/>
          <w:left w:val="none" w:color="000000" w:sz="4" w:space="0"/>
          <w:bottom w:val="none" w:color="000000" w:sz="4" w:space="0"/>
          <w:right w:val="none" w:color="000000" w:sz="4" w:space="0"/>
        </w:pBdr>
        <w:spacing/>
        <w:ind w:right="0"/>
        <w:rPr>
          <w:rFonts w:ascii="Arial" w:hAnsi="Arial" w:cs="Arial"/>
          <w:sz w:val="20"/>
          <w:szCs w:val="20"/>
        </w:rPr>
      </w:pPr>
      <w:r>
        <w:rPr>
          <w:rFonts w:ascii="Arial" w:hAnsi="Arial" w:eastAsia="Arial" w:cs="Arial"/>
          <w:color w:val="000000"/>
          <w:sz w:val="20"/>
          <w:szCs w:val="20"/>
        </w:rPr>
        <w:t xml:space="preserve">Fashion, beauty, lifestyle, food, and AI shopping tabs.</w:t>
      </w:r>
      <w:r>
        <w:rPr>
          <w:rFonts w:ascii="Arial" w:hAnsi="Arial" w:eastAsia="Arial" w:cs="Arial"/>
          <w:sz w:val="20"/>
          <w:szCs w:val="20"/>
        </w:rPr>
      </w:r>
    </w:p>
    <w:p>
      <w:pPr>
        <w:pStyle w:val="664"/>
        <w:numPr>
          <w:ilvl w:val="0"/>
          <w:numId w:val="20"/>
        </w:numPr>
        <w:pBdr>
          <w:top w:val="none" w:color="000000" w:sz="4" w:space="0"/>
          <w:left w:val="none" w:color="000000" w:sz="4" w:space="0"/>
          <w:bottom w:val="none" w:color="000000" w:sz="4" w:space="0"/>
          <w:right w:val="none" w:color="000000" w:sz="4" w:space="0"/>
        </w:pBdr>
        <w:spacing/>
        <w:ind w:right="0"/>
        <w:rPr>
          <w:rFonts w:ascii="Arial" w:hAnsi="Arial" w:cs="Arial"/>
          <w:sz w:val="20"/>
          <w:szCs w:val="20"/>
        </w:rPr>
      </w:pPr>
      <w:r>
        <w:rPr>
          <w:rFonts w:ascii="Arial" w:hAnsi="Arial" w:eastAsia="Arial" w:cs="Arial"/>
          <w:color w:val="000000"/>
          <w:sz w:val="20"/>
          <w:szCs w:val="20"/>
        </w:rPr>
        <w:t xml:space="preserve">Source comparison chart for each sector.</w:t>
      </w:r>
      <w:r>
        <w:rPr>
          <w:rFonts w:ascii="Arial" w:hAnsi="Arial" w:eastAsia="Arial" w:cs="Arial"/>
          <w:sz w:val="20"/>
          <w:szCs w:val="20"/>
        </w:rPr>
      </w:r>
    </w:p>
    <w:p>
      <w:pPr>
        <w:pStyle w:val="664"/>
        <w:numPr>
          <w:ilvl w:val="0"/>
          <w:numId w:val="21"/>
        </w:numPr>
        <w:pBdr>
          <w:top w:val="none" w:color="000000" w:sz="4" w:space="0"/>
          <w:left w:val="none" w:color="000000" w:sz="4" w:space="0"/>
          <w:bottom w:val="none" w:color="000000" w:sz="4" w:space="0"/>
          <w:right w:val="none" w:color="000000" w:sz="4" w:space="0"/>
        </w:pBdr>
        <w:spacing/>
        <w:ind w:right="0"/>
        <w:rPr>
          <w:rFonts w:ascii="Arial" w:hAnsi="Arial" w:cs="Arial"/>
          <w:sz w:val="20"/>
          <w:szCs w:val="20"/>
        </w:rPr>
      </w:pPr>
      <w:r>
        <w:rPr>
          <w:rFonts w:ascii="Arial" w:hAnsi="Arial" w:eastAsia="Arial" w:cs="Arial"/>
          <w:b/>
          <w:color w:val="000000"/>
          <w:sz w:val="20"/>
          <w:szCs w:val="20"/>
        </w:rPr>
        <w:t xml:space="preserve">Drivers</w:t>
      </w:r>
      <w:r>
        <w:rPr>
          <w:rFonts w:ascii="Arial" w:hAnsi="Arial" w:eastAsia="Arial" w:cs="Arial"/>
          <w:sz w:val="20"/>
          <w:szCs w:val="20"/>
        </w:rPr>
      </w:r>
    </w:p>
    <w:p>
      <w:pPr>
        <w:pStyle w:val="664"/>
        <w:numPr>
          <w:ilvl w:val="0"/>
          <w:numId w:val="22"/>
        </w:numPr>
        <w:pBdr>
          <w:top w:val="none" w:color="000000" w:sz="4" w:space="0"/>
          <w:left w:val="none" w:color="000000" w:sz="4" w:space="0"/>
          <w:bottom w:val="none" w:color="000000" w:sz="4" w:space="0"/>
          <w:right w:val="none" w:color="000000" w:sz="4" w:space="0"/>
        </w:pBdr>
        <w:spacing/>
        <w:ind w:right="0"/>
        <w:rPr>
          <w:rFonts w:ascii="Arial" w:hAnsi="Arial" w:cs="Arial"/>
          <w:sz w:val="20"/>
          <w:szCs w:val="20"/>
        </w:rPr>
      </w:pPr>
      <w:r>
        <w:rPr>
          <w:rFonts w:ascii="Arial" w:hAnsi="Arial" w:eastAsia="Arial" w:cs="Arial"/>
          <w:color w:val="000000"/>
          <w:sz w:val="20"/>
          <w:szCs w:val="20"/>
        </w:rPr>
        <w:t xml:space="preserve">Inflation, tariffs, wellness, personalization, digital discovery, loyalty shifts.</w:t>
      </w:r>
      <w:r>
        <w:rPr>
          <w:rFonts w:ascii="Arial" w:hAnsi="Arial" w:eastAsia="Arial" w:cs="Arial"/>
          <w:sz w:val="20"/>
          <w:szCs w:val="20"/>
        </w:rPr>
      </w:r>
    </w:p>
    <w:p>
      <w:pPr>
        <w:pStyle w:val="664"/>
        <w:numPr>
          <w:ilvl w:val="0"/>
          <w:numId w:val="22"/>
        </w:numPr>
        <w:pBdr>
          <w:top w:val="none" w:color="000000" w:sz="4" w:space="0"/>
          <w:left w:val="none" w:color="000000" w:sz="4" w:space="0"/>
          <w:bottom w:val="none" w:color="000000" w:sz="4" w:space="0"/>
          <w:right w:val="none" w:color="000000" w:sz="4" w:space="0"/>
        </w:pBdr>
        <w:spacing/>
        <w:ind w:right="0"/>
        <w:rPr>
          <w:rFonts w:ascii="Arial" w:hAnsi="Arial" w:cs="Arial"/>
          <w:sz w:val="20"/>
          <w:szCs w:val="20"/>
        </w:rPr>
      </w:pPr>
      <w:r>
        <w:rPr>
          <w:rFonts w:ascii="Arial" w:hAnsi="Arial" w:eastAsia="Arial" w:cs="Arial"/>
          <w:color w:val="000000"/>
          <w:sz w:val="20"/>
          <w:szCs w:val="20"/>
        </w:rPr>
        <w:t xml:space="preserve">Annotated macro timeline.</w:t>
      </w:r>
      <w:r>
        <w:rPr>
          <w:rFonts w:ascii="Arial" w:hAnsi="Arial" w:eastAsia="Arial" w:cs="Arial"/>
          <w:sz w:val="20"/>
          <w:szCs w:val="20"/>
        </w:rPr>
      </w:r>
    </w:p>
    <w:p>
      <w:pPr>
        <w:pStyle w:val="664"/>
        <w:numPr>
          <w:ilvl w:val="0"/>
          <w:numId w:val="23"/>
        </w:numPr>
        <w:pBdr>
          <w:top w:val="none" w:color="000000" w:sz="4" w:space="0"/>
          <w:left w:val="none" w:color="000000" w:sz="4" w:space="0"/>
          <w:bottom w:val="none" w:color="000000" w:sz="4" w:space="0"/>
          <w:right w:val="none" w:color="000000" w:sz="4" w:space="0"/>
        </w:pBdr>
        <w:spacing/>
        <w:ind w:right="0"/>
        <w:rPr>
          <w:rFonts w:ascii="Arial" w:hAnsi="Arial" w:cs="Arial"/>
          <w:sz w:val="20"/>
          <w:szCs w:val="20"/>
        </w:rPr>
      </w:pPr>
      <w:r>
        <w:rPr>
          <w:rFonts w:ascii="Arial" w:hAnsi="Arial" w:eastAsia="Arial" w:cs="Arial"/>
          <w:b/>
          <w:color w:val="000000"/>
          <w:sz w:val="20"/>
          <w:szCs w:val="20"/>
        </w:rPr>
        <w:t xml:space="preserve">Signals</w:t>
      </w:r>
      <w:r>
        <w:rPr>
          <w:rFonts w:ascii="Arial" w:hAnsi="Arial" w:eastAsia="Arial" w:cs="Arial"/>
          <w:sz w:val="20"/>
          <w:szCs w:val="20"/>
        </w:rPr>
      </w:r>
    </w:p>
    <w:p>
      <w:pPr>
        <w:pStyle w:val="664"/>
        <w:numPr>
          <w:ilvl w:val="0"/>
          <w:numId w:val="24"/>
        </w:numPr>
        <w:pBdr>
          <w:top w:val="none" w:color="000000" w:sz="4" w:space="0"/>
          <w:left w:val="none" w:color="000000" w:sz="4" w:space="0"/>
          <w:bottom w:val="none" w:color="000000" w:sz="4" w:space="0"/>
          <w:right w:val="none" w:color="000000" w:sz="4" w:space="0"/>
        </w:pBdr>
        <w:spacing/>
        <w:ind w:right="0"/>
        <w:rPr>
          <w:rFonts w:ascii="Arial" w:hAnsi="Arial" w:cs="Arial"/>
          <w:sz w:val="20"/>
          <w:szCs w:val="20"/>
        </w:rPr>
      </w:pPr>
      <w:r>
        <w:rPr>
          <w:rFonts w:ascii="Arial" w:hAnsi="Arial" w:eastAsia="Arial" w:cs="Arial"/>
          <w:color w:val="000000"/>
          <w:sz w:val="20"/>
          <w:szCs w:val="20"/>
        </w:rPr>
        <w:t xml:space="preserve">Raw source inputs, recent updates, and methodology notes.</w:t>
      </w:r>
      <w:r>
        <w:rPr>
          <w:rFonts w:ascii="Arial" w:hAnsi="Arial" w:eastAsia="Arial" w:cs="Arial"/>
          <w:sz w:val="20"/>
          <w:szCs w:val="20"/>
        </w:rPr>
      </w:r>
    </w:p>
    <w:p>
      <w:pPr>
        <w:pStyle w:val="139"/>
        <w:pBdr>
          <w:top w:val="none" w:color="000000" w:sz="4" w:space="0"/>
          <w:left w:val="none" w:color="000000" w:sz="4" w:space="0"/>
          <w:bottom w:val="none" w:color="000000" w:sz="4" w:space="0"/>
          <w:right w:val="none" w:color="000000" w:sz="4" w:space="0"/>
        </w:pBdr>
        <w:spacing/>
        <w:ind w:right="0" w:firstLine="0" w:left="0"/>
        <w:rPr>
          <w:rFonts w:ascii="Arial" w:hAnsi="Arial" w:cs="Arial"/>
          <w:sz w:val="20"/>
          <w:szCs w:val="20"/>
        </w:rPr>
      </w:pPr>
      <w:r>
        <w:rPr>
          <w:rFonts w:ascii="Arial" w:hAnsi="Arial" w:eastAsia="Arial" w:cs="Arial"/>
          <w:b/>
          <w:color w:val="000000"/>
          <w:sz w:val="20"/>
          <w:szCs w:val="20"/>
        </w:rPr>
        <w:t xml:space="preserve">Implementation stack</w:t>
      </w:r>
      <w:r>
        <w:rPr>
          <w:rFonts w:ascii="Arial" w:hAnsi="Arial" w:eastAsia="Arial" w:cs="Arial"/>
          <w:sz w:val="20"/>
          <w:szCs w:val="20"/>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0"/>
          <w:szCs w:val="20"/>
        </w:rPr>
      </w:pPr>
      <w:r>
        <w:rPr>
          <w:rFonts w:ascii="Arial" w:hAnsi="Arial" w:eastAsia="Arial" w:cs="Arial"/>
          <w:color w:val="000000"/>
          <w:sz w:val="20"/>
          <w:szCs w:val="20"/>
        </w:rPr>
        <w:t xml:space="preserve">A strong build would be:</w:t>
      </w:r>
      <w:r>
        <w:rPr>
          <w:rFonts w:ascii="Arial" w:hAnsi="Arial" w:eastAsia="Arial" w:cs="Arial"/>
          <w:sz w:val="20"/>
          <w:szCs w:val="20"/>
        </w:rPr>
      </w:r>
    </w:p>
    <w:p>
      <w:pPr>
        <w:pStyle w:val="664"/>
        <w:numPr>
          <w:ilvl w:val="0"/>
          <w:numId w:val="25"/>
        </w:numPr>
        <w:pBdr>
          <w:top w:val="none" w:color="000000" w:sz="4" w:space="0"/>
          <w:left w:val="none" w:color="000000" w:sz="4" w:space="0"/>
          <w:bottom w:val="none" w:color="000000" w:sz="4" w:space="0"/>
          <w:right w:val="none" w:color="000000" w:sz="4" w:space="0"/>
        </w:pBdr>
        <w:spacing/>
        <w:ind w:right="0"/>
        <w:rPr>
          <w:rFonts w:ascii="Arial" w:hAnsi="Arial" w:cs="Arial"/>
          <w:sz w:val="20"/>
          <w:szCs w:val="20"/>
        </w:rPr>
      </w:pPr>
      <w:r>
        <w:rPr>
          <w:rFonts w:ascii="Arial" w:hAnsi="Arial" w:eastAsia="Arial" w:cs="Arial"/>
          <w:b/>
          <w:color w:val="000000"/>
          <w:sz w:val="20"/>
          <w:szCs w:val="20"/>
        </w:rPr>
        <w:t xml:space="preserve">Frontend:</w:t>
      </w:r>
      <w:r>
        <w:rPr>
          <w:rFonts w:ascii="Arial" w:hAnsi="Arial" w:eastAsia="Arial" w:cs="Arial"/>
          <w:color w:val="000000"/>
          <w:sz w:val="20"/>
          <w:szCs w:val="20"/>
        </w:rPr>
        <w:t xml:space="preserve"> Next.js or React with Plotly, ECharts, or Apache ECharts for fast interactions.</w:t>
      </w:r>
      <w:r>
        <w:rPr>
          <w:rFonts w:ascii="Arial" w:hAnsi="Arial" w:eastAsia="Arial" w:cs="Arial"/>
          <w:sz w:val="20"/>
          <w:szCs w:val="20"/>
        </w:rPr>
      </w:r>
    </w:p>
    <w:p>
      <w:pPr>
        <w:pStyle w:val="664"/>
        <w:numPr>
          <w:ilvl w:val="0"/>
          <w:numId w:val="25"/>
        </w:numPr>
        <w:pBdr>
          <w:top w:val="none" w:color="000000" w:sz="4" w:space="0"/>
          <w:left w:val="none" w:color="000000" w:sz="4" w:space="0"/>
          <w:bottom w:val="none" w:color="000000" w:sz="4" w:space="0"/>
          <w:right w:val="none" w:color="000000" w:sz="4" w:space="0"/>
        </w:pBdr>
        <w:spacing/>
        <w:ind w:right="0"/>
        <w:rPr>
          <w:rFonts w:ascii="Arial" w:hAnsi="Arial" w:cs="Arial"/>
          <w:sz w:val="20"/>
          <w:szCs w:val="20"/>
        </w:rPr>
      </w:pPr>
      <w:r>
        <w:rPr>
          <w:rFonts w:ascii="Arial" w:hAnsi="Arial" w:eastAsia="Arial" w:cs="Arial"/>
          <w:b/>
          <w:color w:val="000000"/>
          <w:sz w:val="20"/>
          <w:szCs w:val="20"/>
        </w:rPr>
        <w:t xml:space="preserve">Backend:</w:t>
      </w:r>
      <w:r>
        <w:rPr>
          <w:rFonts w:ascii="Arial" w:hAnsi="Arial" w:eastAsia="Arial" w:cs="Arial"/>
          <w:color w:val="000000"/>
          <w:sz w:val="20"/>
          <w:szCs w:val="20"/>
        </w:rPr>
        <w:t xml:space="preserve"> FastAPI or Node API for scheduled ingestion and scoring.</w:t>
      </w:r>
      <w:r>
        <w:rPr>
          <w:rFonts w:ascii="Arial" w:hAnsi="Arial" w:eastAsia="Arial" w:cs="Arial"/>
          <w:sz w:val="20"/>
          <w:szCs w:val="20"/>
        </w:rPr>
      </w:r>
    </w:p>
    <w:p>
      <w:pPr>
        <w:pStyle w:val="664"/>
        <w:numPr>
          <w:ilvl w:val="0"/>
          <w:numId w:val="25"/>
        </w:numPr>
        <w:pBdr>
          <w:top w:val="none" w:color="000000" w:sz="4" w:space="0"/>
          <w:left w:val="none" w:color="000000" w:sz="4" w:space="0"/>
          <w:bottom w:val="none" w:color="000000" w:sz="4" w:space="0"/>
          <w:right w:val="none" w:color="000000" w:sz="4" w:space="0"/>
        </w:pBdr>
        <w:spacing/>
        <w:ind w:right="0"/>
        <w:rPr>
          <w:rFonts w:ascii="Arial" w:hAnsi="Arial" w:cs="Arial"/>
          <w:sz w:val="20"/>
          <w:szCs w:val="20"/>
        </w:rPr>
      </w:pPr>
      <w:r>
        <w:rPr>
          <w:rFonts w:ascii="Arial" w:hAnsi="Arial" w:eastAsia="Arial" w:cs="Arial"/>
          <w:b/>
          <w:color w:val="000000"/>
          <w:sz w:val="20"/>
          <w:szCs w:val="20"/>
        </w:rPr>
        <w:t xml:space="preserve">Storage:</w:t>
      </w:r>
      <w:r>
        <w:rPr>
          <w:rFonts w:ascii="Arial" w:hAnsi="Arial" w:eastAsia="Arial" w:cs="Arial"/>
          <w:color w:val="000000"/>
          <w:sz w:val="20"/>
          <w:szCs w:val="20"/>
        </w:rPr>
        <w:t xml:space="preserve"> PostgreSQL for structured signals, plus object storage for snapshots.</w:t>
      </w:r>
      <w:r>
        <w:rPr>
          <w:rFonts w:ascii="Arial" w:hAnsi="Arial" w:eastAsia="Arial" w:cs="Arial"/>
          <w:sz w:val="20"/>
          <w:szCs w:val="20"/>
        </w:rPr>
      </w:r>
    </w:p>
    <w:p>
      <w:pPr>
        <w:pStyle w:val="664"/>
        <w:numPr>
          <w:ilvl w:val="0"/>
          <w:numId w:val="25"/>
        </w:numPr>
        <w:pBdr>
          <w:top w:val="none" w:color="000000" w:sz="4" w:space="0"/>
          <w:left w:val="none" w:color="000000" w:sz="4" w:space="0"/>
          <w:bottom w:val="none" w:color="000000" w:sz="4" w:space="0"/>
          <w:right w:val="none" w:color="000000" w:sz="4" w:space="0"/>
        </w:pBdr>
        <w:spacing/>
        <w:ind w:right="0"/>
        <w:rPr>
          <w:rFonts w:ascii="Arial" w:hAnsi="Arial" w:cs="Arial"/>
          <w:sz w:val="20"/>
          <w:szCs w:val="20"/>
        </w:rPr>
      </w:pPr>
      <w:r>
        <w:rPr>
          <w:rFonts w:ascii="Arial" w:hAnsi="Arial" w:eastAsia="Arial" w:cs="Arial"/>
          <w:b/>
          <w:color w:val="000000"/>
          <w:sz w:val="20"/>
          <w:szCs w:val="20"/>
        </w:rPr>
        <w:t xml:space="preserve">Scheduling:</w:t>
      </w:r>
      <w:r>
        <w:rPr>
          <w:rFonts w:ascii="Arial" w:hAnsi="Arial" w:eastAsia="Arial" w:cs="Arial"/>
          <w:color w:val="000000"/>
          <w:sz w:val="20"/>
          <w:szCs w:val="20"/>
        </w:rPr>
        <w:t xml:space="preserve"> nightly ETL plus monthly model refresh.</w:t>
      </w:r>
      <w:r>
        <w:rPr>
          <w:rFonts w:ascii="Arial" w:hAnsi="Arial" w:eastAsia="Arial" w:cs="Arial"/>
          <w:sz w:val="20"/>
          <w:szCs w:val="20"/>
        </w:rPr>
      </w:r>
    </w:p>
    <w:p>
      <w:pPr>
        <w:pStyle w:val="664"/>
        <w:numPr>
          <w:ilvl w:val="0"/>
          <w:numId w:val="25"/>
        </w:numPr>
        <w:pBdr>
          <w:top w:val="none" w:color="000000" w:sz="4" w:space="0"/>
          <w:left w:val="none" w:color="000000" w:sz="4" w:space="0"/>
          <w:bottom w:val="none" w:color="000000" w:sz="4" w:space="0"/>
          <w:right w:val="none" w:color="000000" w:sz="4" w:space="0"/>
        </w:pBdr>
        <w:spacing/>
        <w:ind w:right="0"/>
        <w:rPr>
          <w:rFonts w:ascii="Arial" w:hAnsi="Arial" w:cs="Arial"/>
          <w:sz w:val="20"/>
          <w:szCs w:val="20"/>
        </w:rPr>
      </w:pPr>
      <w:r>
        <w:rPr>
          <w:rFonts w:ascii="Arial" w:hAnsi="Arial" w:eastAsia="Arial" w:cs="Arial"/>
          <w:b/>
          <w:color w:val="000000"/>
          <w:sz w:val="20"/>
          <w:szCs w:val="20"/>
        </w:rPr>
        <w:t xml:space="preserve">Auth:</w:t>
      </w:r>
      <w:r>
        <w:rPr>
          <w:rFonts w:ascii="Arial" w:hAnsi="Arial" w:eastAsia="Arial" w:cs="Arial"/>
          <w:color w:val="000000"/>
          <w:sz w:val="20"/>
          <w:szCs w:val="20"/>
        </w:rPr>
        <w:t xml:space="preserve"> role-based access if source licenses require it.</w:t>
      </w:r>
      <w:r>
        <w:rPr>
          <w:rFonts w:ascii="Arial" w:hAnsi="Arial" w:eastAsia="Arial" w:cs="Arial"/>
          <w:sz w:val="20"/>
          <w:szCs w:val="20"/>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0"/>
          <w:szCs w:val="20"/>
        </w:rPr>
      </w:pPr>
      <w:r>
        <w:rPr>
          <w:rFonts w:ascii="Arial" w:hAnsi="Arial" w:eastAsia="Arial" w:cs="Arial"/>
          <w:color w:val="000000"/>
          <w:sz w:val="20"/>
          <w:szCs w:val="20"/>
        </w:rPr>
        <w:t xml:space="preserve">For live use, keep source ingestion modular:</w:t>
      </w:r>
      <w:r>
        <w:rPr>
          <w:rFonts w:ascii="Arial" w:hAnsi="Arial" w:eastAsia="Arial" w:cs="Arial"/>
          <w:sz w:val="20"/>
          <w:szCs w:val="20"/>
        </w:rPr>
      </w:r>
    </w:p>
    <w:p>
      <w:pPr>
        <w:pStyle w:val="664"/>
        <w:numPr>
          <w:ilvl w:val="0"/>
          <w:numId w:val="26"/>
        </w:numPr>
        <w:pBdr>
          <w:top w:val="none" w:color="000000" w:sz="4" w:space="0"/>
          <w:left w:val="none" w:color="000000" w:sz="4" w:space="0"/>
          <w:bottom w:val="none" w:color="000000" w:sz="4" w:space="0"/>
          <w:right w:val="none" w:color="000000" w:sz="4" w:space="0"/>
        </w:pBdr>
        <w:spacing/>
        <w:ind w:right="0"/>
        <w:rPr>
          <w:rFonts w:ascii="Arial" w:hAnsi="Arial" w:cs="Arial"/>
          <w:sz w:val="20"/>
          <w:szCs w:val="20"/>
        </w:rPr>
      </w:pPr>
      <w:r>
        <w:rPr>
          <w:rFonts w:ascii="Arial" w:hAnsi="Arial" w:eastAsia="Arial" w:cs="Arial"/>
          <w:color w:val="000000"/>
          <w:sz w:val="20"/>
          <w:szCs w:val="20"/>
        </w:rPr>
        <w:t xml:space="preserve">Trendalytics connector for trend score exports or API feeds.</w:t>
      </w:r>
      <w:r>
        <w:rPr>
          <w:rFonts w:ascii="Arial" w:hAnsi="Arial" w:eastAsia="Arial" w:cs="Arial"/>
          <w:sz w:val="20"/>
          <w:szCs w:val="20"/>
        </w:rPr>
      </w:r>
    </w:p>
    <w:p>
      <w:pPr>
        <w:pStyle w:val="664"/>
        <w:numPr>
          <w:ilvl w:val="0"/>
          <w:numId w:val="26"/>
        </w:numPr>
        <w:pBdr>
          <w:top w:val="none" w:color="000000" w:sz="4" w:space="0"/>
          <w:left w:val="none" w:color="000000" w:sz="4" w:space="0"/>
          <w:bottom w:val="none" w:color="000000" w:sz="4" w:space="0"/>
          <w:right w:val="none" w:color="000000" w:sz="4" w:space="0"/>
        </w:pBdr>
        <w:spacing/>
        <w:ind w:right="0"/>
        <w:rPr>
          <w:rFonts w:ascii="Arial" w:hAnsi="Arial" w:cs="Arial"/>
          <w:sz w:val="20"/>
          <w:szCs w:val="20"/>
        </w:rPr>
      </w:pPr>
      <w:r>
        <w:rPr>
          <w:rFonts w:ascii="Arial" w:hAnsi="Arial" w:eastAsia="Arial" w:cs="Arial"/>
          <w:color w:val="000000"/>
          <w:sz w:val="20"/>
          <w:szCs w:val="20"/>
        </w:rPr>
        <w:t xml:space="preserve">WGSN connector for forecast narratives and TrendCurve AI outputs.</w:t>
      </w:r>
      <w:r>
        <w:rPr>
          <w:rFonts w:ascii="Arial" w:hAnsi="Arial" w:eastAsia="Arial" w:cs="Arial"/>
          <w:sz w:val="20"/>
          <w:szCs w:val="20"/>
        </w:rPr>
      </w:r>
    </w:p>
    <w:p>
      <w:pPr>
        <w:pStyle w:val="664"/>
        <w:numPr>
          <w:ilvl w:val="0"/>
          <w:numId w:val="26"/>
        </w:numPr>
        <w:pBdr>
          <w:top w:val="none" w:color="000000" w:sz="4" w:space="0"/>
          <w:left w:val="none" w:color="000000" w:sz="4" w:space="0"/>
          <w:bottom w:val="none" w:color="000000" w:sz="4" w:space="0"/>
          <w:right w:val="none" w:color="000000" w:sz="4" w:space="0"/>
        </w:pBdr>
        <w:spacing/>
        <w:ind w:right="0"/>
        <w:rPr>
          <w:rFonts w:ascii="Arial" w:hAnsi="Arial" w:cs="Arial"/>
          <w:sz w:val="20"/>
          <w:szCs w:val="20"/>
        </w:rPr>
      </w:pPr>
      <w:r>
        <w:rPr>
          <w:rFonts w:ascii="Arial" w:hAnsi="Arial" w:eastAsia="Arial" w:cs="Arial"/>
          <w:color w:val="000000"/>
          <w:sz w:val="20"/>
          <w:szCs w:val="20"/>
        </w:rPr>
        <w:t xml:space="preserve">McKinsey parser for published ConsumerWise indicators.</w:t>
      </w:r>
      <w:r>
        <w:rPr>
          <w:rFonts w:ascii="Arial" w:hAnsi="Arial" w:eastAsia="Arial" w:cs="Arial"/>
          <w:sz w:val="20"/>
          <w:szCs w:val="20"/>
        </w:rPr>
      </w:r>
    </w:p>
    <w:p>
      <w:pPr>
        <w:pStyle w:val="664"/>
        <w:numPr>
          <w:ilvl w:val="0"/>
          <w:numId w:val="26"/>
        </w:numPr>
        <w:pBdr>
          <w:top w:val="none" w:color="000000" w:sz="4" w:space="0"/>
          <w:left w:val="none" w:color="000000" w:sz="4" w:space="0"/>
          <w:bottom w:val="none" w:color="000000" w:sz="4" w:space="0"/>
          <w:right w:val="none" w:color="000000" w:sz="4" w:space="0"/>
        </w:pBdr>
        <w:spacing/>
        <w:ind w:right="0"/>
        <w:rPr>
          <w:rFonts w:ascii="Arial" w:hAnsi="Arial" w:cs="Arial"/>
          <w:sz w:val="20"/>
          <w:szCs w:val="20"/>
        </w:rPr>
      </w:pPr>
      <w:r>
        <w:rPr>
          <w:rFonts w:ascii="Arial" w:hAnsi="Arial" w:eastAsia="Arial" w:cs="Arial"/>
          <w:color w:val="000000"/>
          <w:sz w:val="20"/>
          <w:szCs w:val="20"/>
        </w:rPr>
        <w:t xml:space="preserve">NRF connector for retail sales forecast and macro updates.fashionunited+3</w:t>
      </w:r>
      <w:r>
        <w:rPr>
          <w:rFonts w:ascii="Arial" w:hAnsi="Arial" w:eastAsia="Arial" w:cs="Arial"/>
          <w:sz w:val="20"/>
          <w:szCs w:val="20"/>
        </w:rPr>
      </w:r>
    </w:p>
    <w:p>
      <w:pPr>
        <w:pBdr/>
        <w:spacing/>
        <w:ind/>
        <w:rPr>
          <w:rFonts w:ascii="Arial" w:hAnsi="Arial" w:cs="Arial"/>
          <w:sz w:val="20"/>
          <w:szCs w:val="20"/>
          <w:highlight w:val="none"/>
        </w:rPr>
      </w:pPr>
      <w:r>
        <w:rPr>
          <w:rFonts w:ascii="Arial" w:hAnsi="Arial" w:eastAsia="Arial" w:cs="Arial"/>
          <w:sz w:val="20"/>
          <w:szCs w:val="20"/>
          <w:highlight w:val="none"/>
        </w:rPr>
      </w:r>
      <w:r>
        <w:rPr>
          <w:rFonts w:ascii="Arial" w:hAnsi="Arial" w:eastAsia="Arial" w:cs="Arial"/>
          <w:sz w:val="20"/>
          <w:szCs w:val="20"/>
          <w:highlight w:val="none"/>
        </w:rPr>
      </w:r>
    </w:p>
    <w:p>
      <w:pPr>
        <w:pBdr/>
        <w:spacing/>
        <w:ind/>
        <w:rPr>
          <w:rFonts w:ascii="Arial" w:hAnsi="Arial" w:cs="Arial"/>
          <w:sz w:val="20"/>
          <w:szCs w:val="20"/>
          <w:highlight w:val="none"/>
        </w:rPr>
      </w:pPr>
      <w:r>
        <w:rPr>
          <w:rFonts w:ascii="Arial" w:hAnsi="Arial" w:eastAsia="Arial" w:cs="Arial"/>
          <w:sz w:val="20"/>
          <w:szCs w:val="20"/>
        </w:rPr>
        <w:t xml:space="preserve"># 2027 USA &amp; EU Consumer Trends Report: Retail, Food, and Shopping</w:t>
      </w:r>
      <w:r>
        <w:rPr>
          <w:rFonts w:ascii="Arial" w:hAnsi="Arial" w:eastAsia="Arial" w:cs="Arial"/>
          <w:sz w:val="20"/>
          <w:szCs w:val="20"/>
        </w:rPr>
      </w:r>
    </w:p>
    <w:p>
      <w:pPr>
        <w:pBdr/>
        <w:spacing/>
        <w:ind/>
        <w:rPr>
          <w:rFonts w:ascii="Arial" w:hAnsi="Arial" w:cs="Arial"/>
          <w:sz w:val="20"/>
          <w:szCs w:val="20"/>
        </w:rPr>
      </w:pPr>
      <w:r>
        <w:rPr>
          <w:rFonts w:ascii="Arial" w:hAnsi="Arial" w:eastAsia="Arial" w:cs="Arial"/>
          <w:sz w:val="20"/>
          <w:szCs w:val="20"/>
        </w:rPr>
      </w:r>
      <w:r>
        <w:rPr>
          <w:rFonts w:ascii="Arial" w:hAnsi="Arial" w:eastAsia="Arial" w:cs="Arial"/>
          <w:sz w:val="20"/>
          <w:szCs w:val="20"/>
        </w:rPr>
      </w:r>
    </w:p>
    <w:p>
      <w:pPr>
        <w:pBdr/>
        <w:spacing/>
        <w:ind/>
        <w:rPr>
          <w:rFonts w:ascii="Arial" w:hAnsi="Arial" w:cs="Arial"/>
          <w:sz w:val="20"/>
          <w:szCs w:val="20"/>
        </w:rPr>
      </w:pPr>
      <w:r>
        <w:rPr>
          <w:rFonts w:ascii="Arial" w:hAnsi="Arial" w:eastAsia="Arial" w:cs="Arial"/>
          <w:sz w:val="20"/>
          <w:szCs w:val="20"/>
        </w:rPr>
        <w:t xml:space="preserve">## Executive summary</w:t>
      </w:r>
      <w:r>
        <w:rPr>
          <w:rFonts w:ascii="Arial" w:hAnsi="Arial" w:eastAsia="Arial" w:cs="Arial"/>
          <w:sz w:val="20"/>
          <w:szCs w:val="20"/>
        </w:rPr>
      </w:r>
    </w:p>
    <w:p>
      <w:pPr>
        <w:pBdr/>
        <w:spacing/>
        <w:ind/>
        <w:rPr>
          <w:rFonts w:ascii="Arial" w:hAnsi="Arial" w:cs="Arial"/>
          <w:sz w:val="20"/>
          <w:szCs w:val="20"/>
        </w:rPr>
      </w:pPr>
      <w:r>
        <w:rPr>
          <w:rFonts w:ascii="Arial" w:hAnsi="Arial" w:eastAsia="Arial" w:cs="Arial"/>
          <w:sz w:val="20"/>
          <w:szCs w:val="20"/>
        </w:rPr>
        <w:t xml:space="preserve">Consumer demand heading into 2027 is likely to be shaped by a tension between constrained household budgets and rising expectations for richer, more human shopping experiences.[1][2][3][4] Across the source set, three themes recur: AI-enabled shopping and f</w:t>
      </w:r>
      <w:r>
        <w:rPr>
          <w:rFonts w:ascii="Arial" w:hAnsi="Arial" w:eastAsia="Arial" w:cs="Arial"/>
          <w:sz w:val="20"/>
          <w:szCs w:val="20"/>
        </w:rPr>
        <w:t xml:space="preserve">orecasting, emotional and community-led consumption, and stronger value sensitivity under inflation and tariff pressure.[5][6][1][4]</w:t>
      </w:r>
      <w:r>
        <w:rPr>
          <w:rFonts w:ascii="Arial" w:hAnsi="Arial" w:eastAsia="Arial" w:cs="Arial"/>
          <w:sz w:val="20"/>
          <w:szCs w:val="20"/>
        </w:rPr>
      </w:r>
    </w:p>
    <w:p>
      <w:pPr>
        <w:pBdr/>
        <w:spacing/>
        <w:ind/>
        <w:rPr>
          <w:rFonts w:ascii="Arial" w:hAnsi="Arial" w:cs="Arial"/>
          <w:sz w:val="20"/>
          <w:szCs w:val="20"/>
        </w:rPr>
      </w:pPr>
      <w:r>
        <w:rPr>
          <w:rFonts w:ascii="Arial" w:hAnsi="Arial" w:eastAsia="Arial" w:cs="Arial"/>
          <w:sz w:val="20"/>
          <w:szCs w:val="20"/>
        </w:rPr>
      </w:r>
      <w:r>
        <w:rPr>
          <w:rFonts w:ascii="Arial" w:hAnsi="Arial" w:eastAsia="Arial" w:cs="Arial"/>
          <w:sz w:val="20"/>
          <w:szCs w:val="20"/>
        </w:rPr>
      </w:r>
    </w:p>
    <w:p>
      <w:pPr>
        <w:pBdr/>
        <w:spacing/>
        <w:ind/>
        <w:rPr>
          <w:rFonts w:ascii="Arial" w:hAnsi="Arial" w:cs="Arial"/>
          <w:sz w:val="20"/>
          <w:szCs w:val="20"/>
        </w:rPr>
      </w:pPr>
      <w:r>
        <w:rPr>
          <w:rFonts w:ascii="Arial" w:hAnsi="Arial" w:eastAsia="Arial" w:cs="Arial"/>
          <w:sz w:val="20"/>
          <w:szCs w:val="20"/>
        </w:rPr>
        <w:t xml:space="preserve">Beauty is one of the clearest high-growth reference markets for consumer products, with McKinsey projecting the global beauty market to reach approximately $580 billion by 2027, growing about 6 percent annually.[7][8] In US retail overall, NRF forecasts 202</w:t>
      </w:r>
      <w:r>
        <w:rPr>
          <w:rFonts w:ascii="Arial" w:hAnsi="Arial" w:eastAsia="Arial" w:cs="Arial"/>
          <w:sz w:val="20"/>
          <w:szCs w:val="20"/>
        </w:rPr>
        <w:t xml:space="preserve">6 sales at $5.6 trillion, up 4.4 percent year over year, which provides a near-term baseline for 2027 scenario planning even though NRF has not yet published a formal 2027 topline forecast in the material reviewed.[2]</w:t>
      </w:r>
      <w:r>
        <w:rPr>
          <w:rFonts w:ascii="Arial" w:hAnsi="Arial" w:eastAsia="Arial" w:cs="Arial"/>
          <w:sz w:val="20"/>
          <w:szCs w:val="20"/>
        </w:rPr>
      </w:r>
    </w:p>
    <w:p>
      <w:pPr>
        <w:pBdr/>
        <w:spacing/>
        <w:ind/>
        <w:rPr>
          <w:rFonts w:ascii="Arial" w:hAnsi="Arial" w:cs="Arial"/>
          <w:sz w:val="20"/>
          <w:szCs w:val="20"/>
        </w:rPr>
      </w:pPr>
      <w:r>
        <w:rPr>
          <w:rFonts w:ascii="Arial" w:hAnsi="Arial" w:eastAsia="Arial" w:cs="Arial"/>
          <w:sz w:val="20"/>
          <w:szCs w:val="20"/>
        </w:rPr>
      </w:r>
      <w:r>
        <w:rPr>
          <w:rFonts w:ascii="Arial" w:hAnsi="Arial" w:eastAsia="Arial" w:cs="Arial"/>
          <w:sz w:val="20"/>
          <w:szCs w:val="20"/>
        </w:rPr>
      </w:r>
    </w:p>
    <w:p>
      <w:pPr>
        <w:pBdr/>
        <w:spacing/>
        <w:ind/>
        <w:rPr>
          <w:rFonts w:ascii="Arial" w:hAnsi="Arial" w:cs="Arial"/>
          <w:sz w:val="20"/>
          <w:szCs w:val="20"/>
        </w:rPr>
      </w:pPr>
      <w:r>
        <w:rPr>
          <w:rFonts w:ascii="Arial" w:hAnsi="Arial" w:eastAsia="Arial" w:cs="Arial"/>
          <w:sz w:val="20"/>
          <w:szCs w:val="20"/>
        </w:rPr>
        <w:t xml:space="preserve">For operators in the USA and EU, the most practical implication is that winning in 2027 will require pairing efficiency with trust: precise personalization, clear AI transparency, value architecture, and store or digital formats that reduce friction while s</w:t>
      </w:r>
      <w:r>
        <w:rPr>
          <w:rFonts w:ascii="Arial" w:hAnsi="Arial" w:eastAsia="Arial" w:cs="Arial"/>
          <w:sz w:val="20"/>
          <w:szCs w:val="20"/>
        </w:rPr>
        <w:t xml:space="preserve">till creating emotional resonance.[1][3][4][6]</w:t>
      </w:r>
      <w:r>
        <w:rPr>
          <w:rFonts w:ascii="Arial" w:hAnsi="Arial" w:eastAsia="Arial" w:cs="Arial"/>
          <w:sz w:val="20"/>
          <w:szCs w:val="20"/>
        </w:rPr>
      </w:r>
    </w:p>
    <w:p>
      <w:pPr>
        <w:pBdr/>
        <w:spacing/>
        <w:ind/>
        <w:rPr>
          <w:rFonts w:ascii="Arial" w:hAnsi="Arial" w:cs="Arial"/>
          <w:sz w:val="20"/>
          <w:szCs w:val="20"/>
        </w:rPr>
      </w:pPr>
      <w:r>
        <w:rPr>
          <w:rFonts w:ascii="Arial" w:hAnsi="Arial" w:cs="Arial"/>
          <w:sz w:val="20"/>
          <w:szCs w:val="20"/>
        </w:rPr>
      </w:r>
      <w:r>
        <w:rPr>
          <w:rFonts w:ascii="Arial" w:hAnsi="Arial" w:cs="Arial"/>
          <w:sz w:val="20"/>
          <w:szCs w:val="20"/>
        </w:rPr>
      </w:r>
    </w:p>
    <w:p>
      <w:pPr>
        <w:pBdr/>
        <w:spacing/>
        <w:ind/>
        <w:rPr>
          <w:rFonts w:ascii="Arial" w:hAnsi="Arial" w:cs="Arial"/>
          <w:sz w:val="20"/>
          <w:szCs w:val="20"/>
        </w:rPr>
      </w:pPr>
      <w:r>
        <w:rPr>
          <w:rFonts w:ascii="Arial" w:hAnsi="Arial" w:cs="Arial"/>
          <w:sz w:val="20"/>
          <w:szCs w:val="20"/>
        </w:rPr>
      </w:r>
      <w:r>
        <w:rPr>
          <w:rFonts w:ascii="Arial" w:hAnsi="Arial" w:cs="Arial"/>
          <w:sz w:val="20"/>
          <w:szCs w:val="20"/>
        </w:rPr>
      </w:r>
    </w:p>
    <w:p>
      <w:pPr>
        <w:pBdr/>
        <w:spacing/>
        <w:ind/>
        <w:rPr>
          <w:rFonts w:ascii="Arial" w:hAnsi="Arial" w:cs="Arial"/>
          <w:sz w:val="20"/>
          <w:szCs w:val="20"/>
        </w:rPr>
      </w:pPr>
      <w:r>
        <w:rPr>
          <w:rFonts w:ascii="Arial" w:hAnsi="Arial" w:eastAsia="Arial" w:cs="Arial"/>
          <w:sz w:val="20"/>
          <w:szCs w:val="20"/>
        </w:rPr>
      </w:r>
      <w:r>
        <w:rPr>
          <w:rFonts w:ascii="Arial" w:hAnsi="Arial" w:eastAsia="Arial" w:cs="Arial"/>
          <w:sz w:val="20"/>
          <w:szCs w:val="20"/>
        </w:rPr>
      </w:r>
    </w:p>
    <w:p>
      <w:pPr>
        <w:pBdr/>
        <w:spacing/>
        <w:ind/>
        <w:rPr>
          <w:rFonts w:ascii="Arial" w:hAnsi="Arial" w:cs="Arial"/>
          <w:sz w:val="20"/>
          <w:szCs w:val="20"/>
        </w:rPr>
      </w:pPr>
      <w:r>
        <w:rPr>
          <w:rFonts w:ascii="Arial" w:hAnsi="Arial" w:eastAsia="Arial" w:cs="Arial"/>
          <w:sz w:val="20"/>
          <w:szCs w:val="20"/>
        </w:rPr>
        <w:t xml:space="preserve">## Source scope and limitations</w:t>
      </w:r>
      <w:r>
        <w:rPr>
          <w:rFonts w:ascii="Arial" w:hAnsi="Arial" w:eastAsia="Arial" w:cs="Arial"/>
          <w:sz w:val="20"/>
          <w:szCs w:val="20"/>
        </w:rPr>
      </w:r>
    </w:p>
    <w:p>
      <w:pPr>
        <w:pBdr/>
        <w:spacing/>
        <w:ind/>
        <w:rPr>
          <w:rFonts w:ascii="Arial" w:hAnsi="Arial" w:cs="Arial"/>
          <w:sz w:val="20"/>
          <w:szCs w:val="20"/>
        </w:rPr>
      </w:pPr>
      <w:r>
        <w:rPr>
          <w:rFonts w:ascii="Arial" w:hAnsi="Arial" w:eastAsia="Arial" w:cs="Arial"/>
          <w:sz w:val="20"/>
          <w:szCs w:val="20"/>
        </w:rPr>
        <w:t xml:space="preserve">This report synthesizes public-facing material from Trendalytics, WGSN and WGSN TrendCurve AI references, McKinsey ConsumerWise and related McKinsey consumer reports, and NRF.[5][6][3][4][2][1] Public pages from Trendalytics and WGSN emphasize directional i</w:t>
      </w:r>
      <w:r>
        <w:rPr>
          <w:rFonts w:ascii="Arial" w:hAnsi="Arial" w:eastAsia="Arial" w:cs="Arial"/>
          <w:sz w:val="20"/>
          <w:szCs w:val="20"/>
        </w:rPr>
        <w:t xml:space="preserve">ntelligence and methodology more than full proprietary numeric forecasts, so several sections rely on qualitative signals rather than complete market-size datasets for the EU and for food-specific 2027 forecasts.[5][6][9]</w:t>
      </w:r>
      <w:r>
        <w:rPr>
          <w:rFonts w:ascii="Arial" w:hAnsi="Arial" w:eastAsia="Arial" w:cs="Arial"/>
          <w:sz w:val="20"/>
          <w:szCs w:val="20"/>
        </w:rPr>
      </w:r>
    </w:p>
    <w:p>
      <w:pPr>
        <w:pBdr/>
        <w:spacing/>
        <w:ind/>
        <w:rPr>
          <w:rFonts w:ascii="Arial" w:hAnsi="Arial" w:cs="Arial"/>
          <w:sz w:val="20"/>
          <w:szCs w:val="20"/>
        </w:rPr>
      </w:pPr>
      <w:r>
        <w:rPr>
          <w:rFonts w:ascii="Arial" w:hAnsi="Arial" w:eastAsia="Arial" w:cs="Arial"/>
          <w:sz w:val="20"/>
          <w:szCs w:val="20"/>
        </w:rPr>
      </w:r>
      <w:r>
        <w:rPr>
          <w:rFonts w:ascii="Arial" w:hAnsi="Arial" w:eastAsia="Arial" w:cs="Arial"/>
          <w:sz w:val="20"/>
          <w:szCs w:val="20"/>
        </w:rPr>
      </w:r>
    </w:p>
    <w:p>
      <w:pPr>
        <w:pBdr/>
        <w:spacing/>
        <w:ind/>
        <w:rPr>
          <w:rFonts w:ascii="Arial" w:hAnsi="Arial" w:cs="Arial"/>
          <w:sz w:val="20"/>
          <w:szCs w:val="20"/>
        </w:rPr>
      </w:pPr>
      <w:r>
        <w:rPr>
          <w:rFonts w:ascii="Arial" w:hAnsi="Arial" w:eastAsia="Arial" w:cs="Arial"/>
          <w:sz w:val="20"/>
          <w:szCs w:val="20"/>
        </w:rPr>
        <w:t xml:space="preserve">Because the retrieved public evidence base is richer for the US than for the EU, EU implications in this report are framed as strategic read-throughs from global and Western-market signals rather than as stand-alone EU market forecasts.[3][9][7] Where exact</w:t>
      </w:r>
      <w:r>
        <w:rPr>
          <w:rFonts w:ascii="Arial" w:hAnsi="Arial" w:eastAsia="Arial" w:cs="Arial"/>
          <w:sz w:val="20"/>
          <w:szCs w:val="20"/>
        </w:rPr>
        <w:t xml:space="preserve"> 2027 figures were not published in accessible source pages, the report labels them as directional or scenario-based instead of presenting unsupported estimates.[2][5]</w:t>
      </w:r>
      <w:r>
        <w:rPr>
          <w:rFonts w:ascii="Arial" w:hAnsi="Arial" w:eastAsia="Arial" w:cs="Arial"/>
          <w:sz w:val="20"/>
          <w:szCs w:val="20"/>
        </w:rPr>
      </w:r>
    </w:p>
    <w:p>
      <w:pPr>
        <w:pBdr/>
        <w:spacing/>
        <w:ind/>
        <w:rPr>
          <w:rFonts w:ascii="Arial" w:hAnsi="Arial" w:cs="Arial"/>
          <w:sz w:val="20"/>
          <w:szCs w:val="20"/>
        </w:rPr>
      </w:pPr>
      <w:r>
        <w:rPr>
          <w:rFonts w:ascii="Arial" w:hAnsi="Arial" w:eastAsia="Arial" w:cs="Arial"/>
          <w:sz w:val="20"/>
          <w:szCs w:val="20"/>
        </w:rPr>
      </w:r>
      <w:r>
        <w:rPr>
          <w:rFonts w:ascii="Arial" w:hAnsi="Arial" w:eastAsia="Arial" w:cs="Arial"/>
          <w:sz w:val="20"/>
          <w:szCs w:val="20"/>
        </w:rPr>
      </w:r>
    </w:p>
    <w:p>
      <w:pPr>
        <w:pBdr/>
        <w:spacing/>
        <w:ind/>
        <w:rPr>
          <w:rFonts w:ascii="Arial" w:hAnsi="Arial" w:cs="Arial"/>
          <w:sz w:val="20"/>
          <w:szCs w:val="20"/>
        </w:rPr>
      </w:pPr>
      <w:r>
        <w:rPr>
          <w:rFonts w:ascii="Arial" w:hAnsi="Arial" w:eastAsia="Arial" w:cs="Arial"/>
          <w:sz w:val="20"/>
          <w:szCs w:val="20"/>
        </w:rPr>
        <w:t xml:space="preserve">## What the sources signal</w:t>
      </w:r>
      <w:r>
        <w:rPr>
          <w:rFonts w:ascii="Arial" w:hAnsi="Arial" w:eastAsia="Arial" w:cs="Arial"/>
          <w:sz w:val="20"/>
          <w:szCs w:val="20"/>
        </w:rPr>
      </w:r>
    </w:p>
    <w:p>
      <w:pPr>
        <w:pBdr/>
        <w:spacing/>
        <w:ind/>
        <w:rPr>
          <w:rFonts w:ascii="Arial" w:hAnsi="Arial" w:cs="Arial"/>
          <w:sz w:val="20"/>
          <w:szCs w:val="20"/>
        </w:rPr>
      </w:pPr>
      <w:r>
        <w:rPr>
          <w:rFonts w:ascii="Arial" w:hAnsi="Arial" w:eastAsia="Arial" w:cs="Arial"/>
          <w:sz w:val="20"/>
          <w:szCs w:val="20"/>
        </w:rPr>
        <w:t xml:space="preserve">### Trendalytics</w:t>
      </w:r>
      <w:r>
        <w:rPr>
          <w:rFonts w:ascii="Arial" w:hAnsi="Arial" w:eastAsia="Arial" w:cs="Arial"/>
          <w:sz w:val="20"/>
          <w:szCs w:val="20"/>
        </w:rPr>
      </w:r>
    </w:p>
    <w:p>
      <w:pPr>
        <w:pBdr/>
        <w:spacing/>
        <w:ind/>
        <w:rPr>
          <w:rFonts w:ascii="Arial" w:hAnsi="Arial" w:cs="Arial"/>
          <w:sz w:val="20"/>
          <w:szCs w:val="20"/>
        </w:rPr>
      </w:pPr>
      <w:r>
        <w:rPr>
          <w:rFonts w:ascii="Arial" w:hAnsi="Arial" w:eastAsia="Arial" w:cs="Arial"/>
          <w:sz w:val="20"/>
          <w:szCs w:val="20"/>
        </w:rPr>
        <w:t xml:space="preserve">Trendalytics positions AI forecasting as a way to predict upcoming trends across fashion, beauty, retail, home décor, and lifestyle, with an emphasis on retail trend analysis, buying habits, and cultural or seasonal pattern detection for the 2025 to 2027 ho</w:t>
      </w:r>
      <w:r>
        <w:rPr>
          <w:rFonts w:ascii="Arial" w:hAnsi="Arial" w:eastAsia="Arial" w:cs="Arial"/>
          <w:sz w:val="20"/>
          <w:szCs w:val="20"/>
        </w:rPr>
        <w:t xml:space="preserve">rizon.[5][10] The strongest implication for 2027 is operational: assortments, campaign timing, and category bets are becoming more data-led and faster-cycle, which favors retailers that can turn trend signals into inventory and merchandising actions quickly</w:t>
      </w:r>
      <w:r>
        <w:rPr>
          <w:rFonts w:ascii="Arial" w:hAnsi="Arial" w:eastAsia="Arial" w:cs="Arial"/>
          <w:sz w:val="20"/>
          <w:szCs w:val="20"/>
        </w:rPr>
        <w:t xml:space="preserve">.[5][10]</w:t>
      </w:r>
      <w:r>
        <w:rPr>
          <w:rFonts w:ascii="Arial" w:hAnsi="Arial" w:eastAsia="Arial" w:cs="Arial"/>
          <w:sz w:val="20"/>
          <w:szCs w:val="20"/>
        </w:rPr>
      </w:r>
    </w:p>
    <w:p>
      <w:pPr>
        <w:pBdr/>
        <w:spacing/>
        <w:ind/>
        <w:rPr>
          <w:rFonts w:ascii="Arial" w:hAnsi="Arial" w:cs="Arial"/>
          <w:sz w:val="20"/>
          <w:szCs w:val="20"/>
        </w:rPr>
      </w:pPr>
      <w:r>
        <w:rPr>
          <w:rFonts w:ascii="Arial" w:hAnsi="Arial" w:eastAsia="Arial" w:cs="Arial"/>
          <w:sz w:val="20"/>
          <w:szCs w:val="20"/>
        </w:rPr>
      </w:r>
      <w:r>
        <w:rPr>
          <w:rFonts w:ascii="Arial" w:hAnsi="Arial" w:eastAsia="Arial" w:cs="Arial"/>
          <w:sz w:val="20"/>
          <w:szCs w:val="20"/>
        </w:rPr>
      </w:r>
    </w:p>
    <w:p>
      <w:pPr>
        <w:pBdr/>
        <w:spacing/>
        <w:ind/>
        <w:rPr>
          <w:rFonts w:ascii="Arial" w:hAnsi="Arial" w:cs="Arial"/>
          <w:sz w:val="20"/>
          <w:szCs w:val="20"/>
        </w:rPr>
      </w:pPr>
      <w:r>
        <w:rPr>
          <w:rFonts w:ascii="Arial" w:hAnsi="Arial" w:eastAsia="Arial" w:cs="Arial"/>
          <w:sz w:val="20"/>
          <w:szCs w:val="20"/>
        </w:rPr>
        <w:t xml:space="preserve">### WGSN and TrendCurve AI</w:t>
      </w:r>
      <w:r>
        <w:rPr>
          <w:rFonts w:ascii="Arial" w:hAnsi="Arial" w:eastAsia="Arial" w:cs="Arial"/>
          <w:sz w:val="20"/>
          <w:szCs w:val="20"/>
        </w:rPr>
      </w:r>
    </w:p>
    <w:p>
      <w:pPr>
        <w:pBdr/>
        <w:spacing/>
        <w:ind/>
        <w:rPr>
          <w:rFonts w:ascii="Arial" w:hAnsi="Arial" w:cs="Arial"/>
          <w:sz w:val="20"/>
          <w:szCs w:val="20"/>
        </w:rPr>
      </w:pPr>
      <w:r>
        <w:rPr>
          <w:rFonts w:ascii="Arial" w:hAnsi="Arial" w:eastAsia="Arial" w:cs="Arial"/>
          <w:sz w:val="20"/>
          <w:szCs w:val="20"/>
        </w:rPr>
        <w:t xml:space="preserve">WGSN says its TrendCurve AI model uses multiple data sources and deep machine-learning algorithms to generate projections across thousands of items, silhouettes, colors, prints, and design details.[6] In its Future Consumer 2027 work, WGSN argues that emoti</w:t>
      </w:r>
      <w:r>
        <w:rPr>
          <w:rFonts w:ascii="Arial" w:hAnsi="Arial" w:eastAsia="Arial" w:cs="Arial"/>
          <w:sz w:val="20"/>
          <w:szCs w:val="20"/>
        </w:rPr>
        <w:t xml:space="preserve">ons will be a core purchase driver and highlights themes such as deeper connection, relief from digital overload, coexistence of polarities, and play as a strategic pillar of well-being.[3][9][4]</w:t>
      </w:r>
      <w:r>
        <w:rPr>
          <w:rFonts w:ascii="Arial" w:hAnsi="Arial" w:eastAsia="Arial" w:cs="Arial"/>
          <w:sz w:val="20"/>
          <w:szCs w:val="20"/>
        </w:rPr>
      </w:r>
    </w:p>
    <w:p>
      <w:pPr>
        <w:pBdr/>
        <w:spacing/>
        <w:ind/>
        <w:rPr>
          <w:rFonts w:ascii="Arial" w:hAnsi="Arial" w:cs="Arial"/>
          <w:sz w:val="20"/>
          <w:szCs w:val="20"/>
        </w:rPr>
      </w:pPr>
      <w:r>
        <w:rPr>
          <w:rFonts w:ascii="Arial" w:hAnsi="Arial" w:eastAsia="Arial" w:cs="Arial"/>
          <w:sz w:val="20"/>
          <w:szCs w:val="20"/>
        </w:rPr>
      </w:r>
      <w:r>
        <w:rPr>
          <w:rFonts w:ascii="Arial" w:hAnsi="Arial" w:eastAsia="Arial" w:cs="Arial"/>
          <w:sz w:val="20"/>
          <w:szCs w:val="20"/>
        </w:rPr>
      </w:r>
    </w:p>
    <w:p>
      <w:pPr>
        <w:pBdr/>
        <w:spacing/>
        <w:ind/>
        <w:rPr>
          <w:rFonts w:ascii="Arial" w:hAnsi="Arial" w:cs="Arial"/>
          <w:sz w:val="20"/>
          <w:szCs w:val="20"/>
        </w:rPr>
      </w:pPr>
      <w:r>
        <w:rPr>
          <w:rFonts w:ascii="Arial" w:hAnsi="Arial" w:eastAsia="Arial" w:cs="Arial"/>
          <w:sz w:val="20"/>
          <w:szCs w:val="20"/>
        </w:rPr>
        <w:t xml:space="preserve">WGSN also cites concrete signals behind this framing: 54 percent of global consumers say they want a feeling of joy when shopping online, while a Harvard Business Review study cited by WGSN says fully connected customers are 52 percent more valuable.[3] NRF</w:t>
      </w:r>
      <w:r>
        <w:rPr>
          <w:rFonts w:ascii="Arial" w:hAnsi="Arial" w:eastAsia="Arial" w:cs="Arial"/>
          <w:sz w:val="20"/>
          <w:szCs w:val="20"/>
        </w:rPr>
        <w:t xml:space="preserve">’s coverage of WGSN futurist Cassandra Napoli adds that 82 percent of consumers want to learn more about AI, suggesting that AI adoption in commerce must be matched by education and transparency.[4]</w:t>
      </w:r>
      <w:r>
        <w:rPr>
          <w:rFonts w:ascii="Arial" w:hAnsi="Arial" w:eastAsia="Arial" w:cs="Arial"/>
          <w:sz w:val="20"/>
          <w:szCs w:val="20"/>
        </w:rPr>
      </w:r>
    </w:p>
    <w:p>
      <w:pPr>
        <w:pBdr/>
        <w:spacing/>
        <w:ind/>
        <w:rPr>
          <w:rFonts w:ascii="Arial" w:hAnsi="Arial" w:cs="Arial"/>
          <w:sz w:val="20"/>
          <w:szCs w:val="20"/>
        </w:rPr>
      </w:pPr>
      <w:r>
        <w:rPr>
          <w:rFonts w:ascii="Arial" w:hAnsi="Arial" w:eastAsia="Arial" w:cs="Arial"/>
          <w:sz w:val="20"/>
          <w:szCs w:val="20"/>
        </w:rPr>
      </w:r>
      <w:r>
        <w:rPr>
          <w:rFonts w:ascii="Arial" w:hAnsi="Arial" w:eastAsia="Arial" w:cs="Arial"/>
          <w:sz w:val="20"/>
          <w:szCs w:val="20"/>
        </w:rPr>
      </w:r>
    </w:p>
    <w:p>
      <w:pPr>
        <w:pBdr/>
        <w:spacing/>
        <w:ind/>
        <w:rPr>
          <w:rFonts w:ascii="Arial" w:hAnsi="Arial" w:cs="Arial"/>
          <w:sz w:val="20"/>
          <w:szCs w:val="20"/>
        </w:rPr>
      </w:pPr>
      <w:r>
        <w:rPr>
          <w:rFonts w:ascii="Arial" w:hAnsi="Arial" w:eastAsia="Arial" w:cs="Arial"/>
          <w:sz w:val="20"/>
          <w:szCs w:val="20"/>
        </w:rPr>
        <w:t xml:space="preserve">### McKinsey ConsumerWise</w:t>
      </w:r>
      <w:r>
        <w:rPr>
          <w:rFonts w:ascii="Arial" w:hAnsi="Arial" w:eastAsia="Arial" w:cs="Arial"/>
          <w:sz w:val="20"/>
          <w:szCs w:val="20"/>
        </w:rPr>
      </w:r>
    </w:p>
    <w:p>
      <w:pPr>
        <w:pBdr/>
        <w:spacing/>
        <w:ind/>
        <w:rPr>
          <w:rFonts w:ascii="Arial" w:hAnsi="Arial" w:cs="Arial"/>
          <w:sz w:val="20"/>
          <w:szCs w:val="20"/>
        </w:rPr>
      </w:pPr>
      <w:r>
        <w:rPr>
          <w:rFonts w:ascii="Arial" w:hAnsi="Arial" w:eastAsia="Arial" w:cs="Arial"/>
          <w:sz w:val="20"/>
          <w:szCs w:val="20"/>
        </w:rPr>
        <w:t xml:space="preserve">McKinsey’s ConsumerWise research points to a consumer who is still spending, but with sharper scrutiny on affordability and trade-offs.[1][11] In the US, 43 percent of consumers cite rising prices or inflation as their top concern and 29 percent cite tariff</w:t>
      </w:r>
      <w:r>
        <w:rPr>
          <w:rFonts w:ascii="Arial" w:hAnsi="Arial" w:eastAsia="Arial" w:cs="Arial"/>
          <w:sz w:val="20"/>
          <w:szCs w:val="20"/>
        </w:rPr>
        <w:t xml:space="preserve"> policies, indicating that value positioning will remain central to retail and food strategies going into 2027.[1][11]</w:t>
      </w:r>
      <w:r>
        <w:rPr>
          <w:rFonts w:ascii="Arial" w:hAnsi="Arial" w:eastAsia="Arial" w:cs="Arial"/>
          <w:sz w:val="20"/>
          <w:szCs w:val="20"/>
        </w:rPr>
      </w:r>
    </w:p>
    <w:p>
      <w:pPr>
        <w:pBdr/>
        <w:spacing/>
        <w:ind/>
        <w:rPr>
          <w:rFonts w:ascii="Arial" w:hAnsi="Arial" w:cs="Arial"/>
          <w:sz w:val="20"/>
          <w:szCs w:val="20"/>
        </w:rPr>
      </w:pPr>
      <w:r>
        <w:rPr>
          <w:rFonts w:ascii="Arial" w:hAnsi="Arial" w:eastAsia="Arial" w:cs="Arial"/>
          <w:sz w:val="20"/>
          <w:szCs w:val="20"/>
        </w:rPr>
      </w:r>
      <w:r>
        <w:rPr>
          <w:rFonts w:ascii="Arial" w:hAnsi="Arial" w:eastAsia="Arial" w:cs="Arial"/>
          <w:sz w:val="20"/>
          <w:szCs w:val="20"/>
        </w:rPr>
      </w:r>
    </w:p>
    <w:p>
      <w:pPr>
        <w:pBdr/>
        <w:spacing/>
        <w:ind/>
        <w:rPr>
          <w:rFonts w:ascii="Arial" w:hAnsi="Arial" w:cs="Arial"/>
          <w:sz w:val="20"/>
          <w:szCs w:val="20"/>
        </w:rPr>
      </w:pPr>
      <w:r>
        <w:rPr>
          <w:rFonts w:ascii="Arial" w:hAnsi="Arial" w:eastAsia="Arial" w:cs="Arial"/>
          <w:sz w:val="20"/>
          <w:szCs w:val="20"/>
        </w:rPr>
        <w:t xml:space="preserve">McKinsey’s category view also identifies beauty as a standout growth market: global beauty retail sales are projected to reach about $580 billion by 2027 at roughly 6 percent annual growth.[7][8] That is useful beyond beauty itself because it signals where </w:t>
      </w:r>
      <w:r>
        <w:rPr>
          <w:rFonts w:ascii="Arial" w:hAnsi="Arial" w:eastAsia="Arial" w:cs="Arial"/>
          <w:sz w:val="20"/>
          <w:szCs w:val="20"/>
        </w:rPr>
        <w:t xml:space="preserve">premiumization, wellness, self-care, and personalization can still outperform despite broader pressure on discretionary spending.[8][12]</w:t>
      </w:r>
      <w:r>
        <w:rPr>
          <w:rFonts w:ascii="Arial" w:hAnsi="Arial" w:eastAsia="Arial" w:cs="Arial"/>
          <w:sz w:val="20"/>
          <w:szCs w:val="20"/>
        </w:rPr>
      </w:r>
    </w:p>
    <w:p>
      <w:pPr>
        <w:pBdr/>
        <w:spacing/>
        <w:ind/>
        <w:rPr>
          <w:rFonts w:ascii="Arial" w:hAnsi="Arial" w:cs="Arial"/>
          <w:sz w:val="20"/>
          <w:szCs w:val="20"/>
        </w:rPr>
      </w:pPr>
      <w:r>
        <w:rPr>
          <w:rFonts w:ascii="Arial" w:hAnsi="Arial" w:eastAsia="Arial" w:cs="Arial"/>
          <w:sz w:val="20"/>
          <w:szCs w:val="20"/>
        </w:rPr>
      </w:r>
      <w:r>
        <w:rPr>
          <w:rFonts w:ascii="Arial" w:hAnsi="Arial" w:eastAsia="Arial" w:cs="Arial"/>
          <w:sz w:val="20"/>
          <w:szCs w:val="20"/>
        </w:rPr>
      </w:r>
    </w:p>
    <w:p>
      <w:pPr>
        <w:pBdr/>
        <w:spacing/>
        <w:ind/>
        <w:rPr>
          <w:rFonts w:ascii="Arial" w:hAnsi="Arial" w:cs="Arial"/>
          <w:sz w:val="20"/>
          <w:szCs w:val="20"/>
        </w:rPr>
      </w:pPr>
      <w:r>
        <w:rPr>
          <w:rFonts w:ascii="Arial" w:hAnsi="Arial" w:eastAsia="Arial" w:cs="Arial"/>
          <w:sz w:val="20"/>
          <w:szCs w:val="20"/>
        </w:rPr>
        <w:t xml:space="preserve">### NRF</w:t>
      </w:r>
      <w:r>
        <w:rPr>
          <w:rFonts w:ascii="Arial" w:hAnsi="Arial" w:eastAsia="Arial" w:cs="Arial"/>
          <w:sz w:val="20"/>
          <w:szCs w:val="20"/>
        </w:rPr>
      </w:r>
    </w:p>
    <w:p>
      <w:pPr>
        <w:pBdr/>
        <w:spacing/>
        <w:ind/>
        <w:rPr>
          <w:rFonts w:ascii="Arial" w:hAnsi="Arial" w:cs="Arial"/>
          <w:sz w:val="20"/>
          <w:szCs w:val="20"/>
        </w:rPr>
      </w:pPr>
      <w:r>
        <w:rPr>
          <w:rFonts w:ascii="Arial" w:hAnsi="Arial" w:eastAsia="Arial" w:cs="Arial"/>
          <w:sz w:val="20"/>
          <w:szCs w:val="20"/>
        </w:rPr>
        <w:t xml:space="preserve">NRF’s public material provides a retail operating lens rather than long-range category forecasting.[2][13][4] Its 2027-oriented coverage emphasizes community, human connection, responsible AI, digital decluttering, customer-service resilience, and playful o</w:t>
      </w:r>
      <w:r>
        <w:rPr>
          <w:rFonts w:ascii="Arial" w:hAnsi="Arial" w:eastAsia="Arial" w:cs="Arial"/>
          <w:sz w:val="20"/>
          <w:szCs w:val="20"/>
        </w:rPr>
        <w:t xml:space="preserve">r gamified experiences as emerging expectations for retail brands.[4]</w:t>
      </w:r>
      <w:r>
        <w:rPr>
          <w:rFonts w:ascii="Arial" w:hAnsi="Arial" w:eastAsia="Arial" w:cs="Arial"/>
          <w:sz w:val="20"/>
          <w:szCs w:val="20"/>
        </w:rPr>
      </w:r>
    </w:p>
    <w:p>
      <w:pPr>
        <w:pBdr/>
        <w:spacing/>
        <w:ind/>
        <w:rPr>
          <w:rFonts w:ascii="Arial" w:hAnsi="Arial" w:cs="Arial"/>
          <w:sz w:val="20"/>
          <w:szCs w:val="20"/>
        </w:rPr>
      </w:pPr>
      <w:r>
        <w:rPr>
          <w:rFonts w:ascii="Arial" w:hAnsi="Arial" w:eastAsia="Arial" w:cs="Arial"/>
          <w:sz w:val="20"/>
          <w:szCs w:val="20"/>
        </w:rPr>
      </w:r>
      <w:r>
        <w:rPr>
          <w:rFonts w:ascii="Arial" w:hAnsi="Arial" w:eastAsia="Arial" w:cs="Arial"/>
          <w:sz w:val="20"/>
          <w:szCs w:val="20"/>
        </w:rPr>
      </w:r>
    </w:p>
    <w:p>
      <w:pPr>
        <w:pBdr/>
        <w:spacing/>
        <w:ind/>
        <w:rPr>
          <w:rFonts w:ascii="Arial" w:hAnsi="Arial" w:cs="Arial"/>
          <w:sz w:val="20"/>
          <w:szCs w:val="20"/>
        </w:rPr>
      </w:pPr>
      <w:r>
        <w:rPr>
          <w:rFonts w:ascii="Arial" w:hAnsi="Arial" w:eastAsia="Arial" w:cs="Arial"/>
          <w:sz w:val="20"/>
          <w:szCs w:val="20"/>
        </w:rPr>
        <w:t xml:space="preserve">## Key metrics</w:t>
      </w:r>
      <w:r>
        <w:rPr>
          <w:rFonts w:ascii="Arial" w:hAnsi="Arial" w:eastAsia="Arial" w:cs="Arial"/>
          <w:sz w:val="20"/>
          <w:szCs w:val="20"/>
        </w:rPr>
      </w:r>
    </w:p>
    <w:p>
      <w:pPr>
        <w:pBdr/>
        <w:spacing/>
        <w:ind/>
        <w:rPr>
          <w:rFonts w:ascii="Arial" w:hAnsi="Arial" w:cs="Arial"/>
          <w:sz w:val="20"/>
          <w:szCs w:val="20"/>
        </w:rPr>
      </w:pPr>
      <w:r>
        <w:rPr>
          <w:rFonts w:ascii="Arial" w:hAnsi="Arial" w:eastAsia="Arial" w:cs="Arial"/>
          <w:sz w:val="20"/>
          <w:szCs w:val="20"/>
        </w:rPr>
        <w:t xml:space="preserve">| Metric | Figure | Relevance for 2027 planning |</w:t>
      </w:r>
      <w:r>
        <w:rPr>
          <w:rFonts w:ascii="Arial" w:hAnsi="Arial" w:eastAsia="Arial" w:cs="Arial"/>
          <w:sz w:val="20"/>
          <w:szCs w:val="20"/>
        </w:rPr>
      </w:r>
    </w:p>
    <w:p>
      <w:pPr>
        <w:pBdr/>
        <w:spacing/>
        <w:ind/>
        <w:rPr>
          <w:rFonts w:ascii="Arial" w:hAnsi="Arial" w:cs="Arial"/>
          <w:sz w:val="20"/>
          <w:szCs w:val="20"/>
        </w:rPr>
      </w:pPr>
      <w:r>
        <w:rPr>
          <w:rFonts w:ascii="Arial" w:hAnsi="Arial" w:eastAsia="Arial" w:cs="Arial"/>
          <w:sz w:val="20"/>
          <w:szCs w:val="20"/>
        </w:rPr>
        <w:t xml:space="preserve">|---|---:|---|</w:t>
      </w:r>
      <w:r>
        <w:rPr>
          <w:rFonts w:ascii="Arial" w:hAnsi="Arial" w:eastAsia="Arial" w:cs="Arial"/>
          <w:sz w:val="20"/>
          <w:szCs w:val="20"/>
        </w:rPr>
      </w:r>
    </w:p>
    <w:p>
      <w:pPr>
        <w:pBdr/>
        <w:spacing/>
        <w:ind/>
        <w:rPr>
          <w:rFonts w:ascii="Arial" w:hAnsi="Arial" w:cs="Arial"/>
          <w:sz w:val="20"/>
          <w:szCs w:val="20"/>
        </w:rPr>
      </w:pPr>
      <w:r>
        <w:rPr>
          <w:rFonts w:ascii="Arial" w:hAnsi="Arial" w:eastAsia="Arial" w:cs="Arial"/>
          <w:sz w:val="20"/>
          <w:szCs w:val="20"/>
        </w:rPr>
        <w:t xml:space="preserve">| Global beauty market retail sales by 2027 | Approximately $580B [7][8] | Indicates continued headroom for beauty, wellness, and premium self-care |</w:t>
      </w:r>
      <w:r>
        <w:rPr>
          <w:rFonts w:ascii="Arial" w:hAnsi="Arial" w:eastAsia="Arial" w:cs="Arial"/>
          <w:sz w:val="20"/>
          <w:szCs w:val="20"/>
        </w:rPr>
      </w:r>
    </w:p>
    <w:p>
      <w:pPr>
        <w:pBdr/>
        <w:spacing/>
        <w:ind/>
        <w:rPr>
          <w:rFonts w:ascii="Arial" w:hAnsi="Arial" w:cs="Arial"/>
          <w:sz w:val="20"/>
          <w:szCs w:val="20"/>
        </w:rPr>
      </w:pPr>
      <w:r>
        <w:rPr>
          <w:rFonts w:ascii="Arial" w:hAnsi="Arial" w:eastAsia="Arial" w:cs="Arial"/>
          <w:sz w:val="20"/>
          <w:szCs w:val="20"/>
        </w:rPr>
        <w:t xml:space="preserve">| Beauty market annual growth | Approximately 6% [7][8] | Suggests resilient consumer appetite in selective discretionary categories |</w:t>
      </w:r>
      <w:r>
        <w:rPr>
          <w:rFonts w:ascii="Arial" w:hAnsi="Arial" w:eastAsia="Arial" w:cs="Arial"/>
          <w:sz w:val="20"/>
          <w:szCs w:val="20"/>
        </w:rPr>
      </w:r>
    </w:p>
    <w:p>
      <w:pPr>
        <w:pBdr/>
        <w:spacing/>
        <w:ind/>
        <w:rPr>
          <w:rFonts w:ascii="Arial" w:hAnsi="Arial" w:cs="Arial"/>
          <w:sz w:val="20"/>
          <w:szCs w:val="20"/>
        </w:rPr>
      </w:pPr>
      <w:r>
        <w:rPr>
          <w:rFonts w:ascii="Arial" w:hAnsi="Arial" w:eastAsia="Arial" w:cs="Arial"/>
          <w:sz w:val="20"/>
          <w:szCs w:val="20"/>
        </w:rPr>
        <w:t xml:space="preserve">| US retail sales in 2026 | $5.6T [2] | Baseline for sizing 2027 US retail scenarios |</w:t>
      </w:r>
      <w:r>
        <w:rPr>
          <w:rFonts w:ascii="Arial" w:hAnsi="Arial" w:eastAsia="Arial" w:cs="Arial"/>
          <w:sz w:val="20"/>
          <w:szCs w:val="20"/>
        </w:rPr>
      </w:r>
    </w:p>
    <w:p>
      <w:pPr>
        <w:pBdr/>
        <w:spacing/>
        <w:ind/>
        <w:rPr>
          <w:rFonts w:ascii="Arial" w:hAnsi="Arial" w:cs="Arial"/>
          <w:sz w:val="20"/>
          <w:szCs w:val="20"/>
        </w:rPr>
      </w:pPr>
      <w:r>
        <w:rPr>
          <w:rFonts w:ascii="Arial" w:hAnsi="Arial" w:eastAsia="Arial" w:cs="Arial"/>
          <w:sz w:val="20"/>
          <w:szCs w:val="20"/>
        </w:rPr>
        <w:t xml:space="preserve">| US retail sales growth in 2026 | 4.4% [2] | Signals moderate expansion despite macro uncertainty |</w:t>
      </w:r>
      <w:r>
        <w:rPr>
          <w:rFonts w:ascii="Arial" w:hAnsi="Arial" w:eastAsia="Arial" w:cs="Arial"/>
          <w:sz w:val="20"/>
          <w:szCs w:val="20"/>
        </w:rPr>
      </w:r>
    </w:p>
    <w:p>
      <w:pPr>
        <w:pBdr/>
        <w:spacing/>
        <w:ind/>
        <w:rPr>
          <w:rFonts w:ascii="Arial" w:hAnsi="Arial" w:cs="Arial"/>
          <w:sz w:val="20"/>
          <w:szCs w:val="20"/>
        </w:rPr>
      </w:pPr>
      <w:r>
        <w:rPr>
          <w:rFonts w:ascii="Arial" w:hAnsi="Arial" w:eastAsia="Arial" w:cs="Arial"/>
          <w:sz w:val="20"/>
          <w:szCs w:val="20"/>
        </w:rPr>
        <w:t xml:space="preserve">| US consumers citing inflation as top concern | 43% [1][11] | Supports value-led pricing, promotions, and pack architecture |</w:t>
      </w:r>
      <w:r>
        <w:rPr>
          <w:rFonts w:ascii="Arial" w:hAnsi="Arial" w:eastAsia="Arial" w:cs="Arial"/>
          <w:sz w:val="20"/>
          <w:szCs w:val="20"/>
        </w:rPr>
      </w:r>
    </w:p>
    <w:p>
      <w:pPr>
        <w:pBdr/>
        <w:spacing/>
        <w:ind/>
        <w:rPr>
          <w:rFonts w:ascii="Arial" w:hAnsi="Arial" w:cs="Arial"/>
          <w:sz w:val="20"/>
          <w:szCs w:val="20"/>
        </w:rPr>
      </w:pPr>
      <w:r>
        <w:rPr>
          <w:rFonts w:ascii="Arial" w:hAnsi="Arial" w:eastAsia="Arial" w:cs="Arial"/>
          <w:sz w:val="20"/>
          <w:szCs w:val="20"/>
        </w:rPr>
        <w:t xml:space="preserve">| US consumers citing tariffs as top concern | 29% [1][11] | Raises sourcing and price-pass-through risk |</w:t>
      </w:r>
      <w:r>
        <w:rPr>
          <w:rFonts w:ascii="Arial" w:hAnsi="Arial" w:eastAsia="Arial" w:cs="Arial"/>
          <w:sz w:val="20"/>
          <w:szCs w:val="20"/>
        </w:rPr>
      </w:r>
    </w:p>
    <w:p>
      <w:pPr>
        <w:pBdr/>
        <w:spacing/>
        <w:ind/>
        <w:rPr>
          <w:rFonts w:ascii="Arial" w:hAnsi="Arial" w:cs="Arial"/>
          <w:sz w:val="20"/>
          <w:szCs w:val="20"/>
        </w:rPr>
      </w:pPr>
      <w:r>
        <w:rPr>
          <w:rFonts w:ascii="Arial" w:hAnsi="Arial" w:eastAsia="Arial" w:cs="Arial"/>
          <w:sz w:val="20"/>
          <w:szCs w:val="20"/>
        </w:rPr>
        <w:t xml:space="preserve">| Consumers wanting to learn more about AI | 82% [4] | Favors transparent AI shopping assistants and explainable personalization |</w:t>
      </w:r>
      <w:r>
        <w:rPr>
          <w:rFonts w:ascii="Arial" w:hAnsi="Arial" w:eastAsia="Arial" w:cs="Arial"/>
          <w:sz w:val="20"/>
          <w:szCs w:val="20"/>
        </w:rPr>
      </w:r>
    </w:p>
    <w:p>
      <w:pPr>
        <w:pBdr/>
        <w:spacing/>
        <w:ind/>
        <w:rPr>
          <w:rFonts w:ascii="Arial" w:hAnsi="Arial" w:cs="Arial"/>
          <w:sz w:val="20"/>
          <w:szCs w:val="20"/>
        </w:rPr>
      </w:pPr>
      <w:r>
        <w:rPr>
          <w:rFonts w:ascii="Arial" w:hAnsi="Arial" w:eastAsia="Arial" w:cs="Arial"/>
          <w:sz w:val="20"/>
          <w:szCs w:val="20"/>
        </w:rPr>
        <w:t xml:space="preserve">| Consumers wanting joy in online shopping | 54% [3] | Supports playful UX, discovery, and emotionally resonant digital retail |</w:t>
      </w:r>
      <w:r>
        <w:rPr>
          <w:rFonts w:ascii="Arial" w:hAnsi="Arial" w:eastAsia="Arial" w:cs="Arial"/>
          <w:sz w:val="20"/>
          <w:szCs w:val="20"/>
        </w:rPr>
      </w:r>
    </w:p>
    <w:p>
      <w:pPr>
        <w:pBdr/>
        <w:spacing/>
        <w:ind/>
        <w:rPr>
          <w:rFonts w:ascii="Arial" w:hAnsi="Arial" w:cs="Arial"/>
          <w:sz w:val="20"/>
          <w:szCs w:val="20"/>
        </w:rPr>
      </w:pPr>
      <w:r>
        <w:rPr>
          <w:rFonts w:ascii="Arial" w:hAnsi="Arial" w:eastAsia="Arial" w:cs="Arial"/>
          <w:sz w:val="20"/>
          <w:szCs w:val="20"/>
        </w:rPr>
        <w:t xml:space="preserve">| Fully connected customers more valuable | 52% more valuable [3] | Justifies community-building and loyalty ecosystems |</w:t>
      </w:r>
      <w:r>
        <w:rPr>
          <w:rFonts w:ascii="Arial" w:hAnsi="Arial" w:eastAsia="Arial" w:cs="Arial"/>
          <w:sz w:val="20"/>
          <w:szCs w:val="20"/>
        </w:rPr>
      </w:r>
    </w:p>
    <w:p>
      <w:pPr>
        <w:pBdr/>
        <w:spacing/>
        <w:ind/>
        <w:rPr>
          <w:rFonts w:ascii="Arial" w:hAnsi="Arial" w:cs="Arial"/>
          <w:sz w:val="20"/>
          <w:szCs w:val="20"/>
        </w:rPr>
      </w:pPr>
      <w:r>
        <w:rPr>
          <w:rFonts w:ascii="Arial" w:hAnsi="Arial" w:eastAsia="Arial" w:cs="Arial"/>
          <w:sz w:val="20"/>
          <w:szCs w:val="20"/>
        </w:rPr>
        <w:t xml:space="preserve">| Zalphas prioritizing spending time with friends | 66% [4] | Suggests social and group-oriented retail experiences |</w:t>
      </w:r>
      <w:r>
        <w:rPr>
          <w:rFonts w:ascii="Arial" w:hAnsi="Arial" w:eastAsia="Arial" w:cs="Arial"/>
          <w:sz w:val="20"/>
          <w:szCs w:val="20"/>
        </w:rPr>
      </w:r>
    </w:p>
    <w:p>
      <w:pPr>
        <w:pBdr/>
        <w:spacing/>
        <w:ind/>
        <w:rPr>
          <w:rFonts w:ascii="Arial" w:hAnsi="Arial" w:cs="Arial"/>
          <w:sz w:val="20"/>
          <w:szCs w:val="20"/>
        </w:rPr>
      </w:pPr>
      <w:r>
        <w:rPr>
          <w:rFonts w:ascii="Arial" w:hAnsi="Arial" w:eastAsia="Arial" w:cs="Arial"/>
          <w:sz w:val="20"/>
          <w:szCs w:val="20"/>
        </w:rPr>
      </w:r>
      <w:r>
        <w:rPr>
          <w:rFonts w:ascii="Arial" w:hAnsi="Arial" w:eastAsia="Arial" w:cs="Arial"/>
          <w:sz w:val="20"/>
          <w:szCs w:val="20"/>
        </w:rPr>
      </w:r>
    </w:p>
    <w:p>
      <w:pPr>
        <w:pBdr/>
        <w:spacing/>
        <w:ind/>
        <w:rPr>
          <w:rFonts w:ascii="Arial" w:hAnsi="Arial" w:cs="Arial"/>
          <w:sz w:val="20"/>
          <w:szCs w:val="20"/>
        </w:rPr>
      </w:pPr>
      <w:r>
        <w:rPr>
          <w:rFonts w:ascii="Arial" w:hAnsi="Arial" w:eastAsia="Arial" w:cs="Arial"/>
          <w:sz w:val="20"/>
          <w:szCs w:val="20"/>
        </w:rPr>
      </w:r>
      <w:r>
        <w:rPr>
          <w:rFonts w:ascii="Arial" w:hAnsi="Arial" w:eastAsia="Arial" w:cs="Arial"/>
          <w:sz w:val="20"/>
          <w:szCs w:val="20"/>
        </w:rPr>
      </w:r>
    </w:p>
    <w:p>
      <w:pPr>
        <w:pBdr/>
        <w:spacing/>
        <w:ind/>
        <w:rPr>
          <w:rFonts w:ascii="Arial" w:hAnsi="Arial" w:cs="Arial"/>
          <w:sz w:val="20"/>
          <w:szCs w:val="20"/>
        </w:rPr>
      </w:pPr>
      <w:r>
        <w:rPr>
          <w:rFonts w:ascii="Arial" w:hAnsi="Arial" w:eastAsia="Arial" w:cs="Arial"/>
          <w:sz w:val="20"/>
          <w:szCs w:val="20"/>
        </w:rPr>
      </w:r>
      <w:r>
        <w:rPr>
          <w:rFonts w:ascii="Arial" w:hAnsi="Arial" w:eastAsia="Arial" w:cs="Arial"/>
          <w:sz w:val="20"/>
          <w:szCs w:val="20"/>
        </w:rPr>
      </w:r>
    </w:p>
    <w:p>
      <w:pPr>
        <w:pBdr/>
        <w:spacing/>
        <w:ind/>
        <w:rPr>
          <w:rFonts w:ascii="Arial" w:hAnsi="Arial" w:cs="Arial"/>
          <w:sz w:val="20"/>
          <w:szCs w:val="20"/>
        </w:rPr>
      </w:pPr>
      <w:r>
        <w:rPr>
          <w:rFonts w:ascii="Arial" w:hAnsi="Arial" w:eastAsia="Arial" w:cs="Arial"/>
          <w:sz w:val="20"/>
          <w:szCs w:val="20"/>
        </w:rPr>
        <w:t xml:space="preserve">## Trend comparison</w:t>
      </w:r>
      <w:r>
        <w:rPr>
          <w:rFonts w:ascii="Arial" w:hAnsi="Arial" w:eastAsia="Arial" w:cs="Arial"/>
          <w:sz w:val="20"/>
          <w:szCs w:val="20"/>
        </w:rPr>
      </w:r>
    </w:p>
    <w:p>
      <w:pPr>
        <w:pBdr/>
        <w:spacing/>
        <w:ind/>
        <w:rPr>
          <w:rFonts w:ascii="Arial" w:hAnsi="Arial" w:cs="Arial"/>
          <w:sz w:val="20"/>
          <w:szCs w:val="20"/>
        </w:rPr>
      </w:pPr>
      <w:r>
        <w:rPr>
          <w:rFonts w:ascii="Arial" w:hAnsi="Arial" w:eastAsia="Arial" w:cs="Arial"/>
          <w:sz w:val="20"/>
          <w:szCs w:val="20"/>
        </w:rPr>
        <w:t xml:space="preserve">| Theme | USA outlook | EU outlook | Evidence base |</w:t>
      </w:r>
      <w:r>
        <w:rPr>
          <w:rFonts w:ascii="Arial" w:hAnsi="Arial" w:eastAsia="Arial" w:cs="Arial"/>
          <w:sz w:val="20"/>
          <w:szCs w:val="20"/>
        </w:rPr>
      </w:r>
    </w:p>
    <w:p>
      <w:pPr>
        <w:pBdr/>
        <w:spacing/>
        <w:ind/>
        <w:rPr>
          <w:rFonts w:ascii="Arial" w:hAnsi="Arial" w:cs="Arial"/>
          <w:sz w:val="20"/>
          <w:szCs w:val="20"/>
        </w:rPr>
      </w:pPr>
      <w:r>
        <w:rPr>
          <w:rFonts w:ascii="Arial" w:hAnsi="Arial" w:eastAsia="Arial" w:cs="Arial"/>
          <w:sz w:val="20"/>
          <w:szCs w:val="20"/>
        </w:rPr>
        <w:t xml:space="preserve">|---|---|---|---|</w:t>
      </w:r>
      <w:r>
        <w:rPr>
          <w:rFonts w:ascii="Arial" w:hAnsi="Arial" w:eastAsia="Arial" w:cs="Arial"/>
          <w:sz w:val="20"/>
          <w:szCs w:val="20"/>
        </w:rPr>
      </w:r>
    </w:p>
    <w:p>
      <w:pPr>
        <w:pBdr/>
        <w:spacing/>
        <w:ind/>
        <w:rPr>
          <w:rFonts w:ascii="Arial" w:hAnsi="Arial" w:cs="Arial"/>
          <w:sz w:val="20"/>
          <w:szCs w:val="20"/>
        </w:rPr>
      </w:pPr>
      <w:r>
        <w:rPr>
          <w:rFonts w:ascii="Arial" w:hAnsi="Arial" w:eastAsia="Arial" w:cs="Arial"/>
          <w:sz w:val="20"/>
          <w:szCs w:val="20"/>
        </w:rPr>
        <w:t xml:space="preserve">| AI shopping and personalization | Strong adoption potential, but trust and explanation matter because consumers want to understand AI better.[4] | Likely strong demand in digitally mature markets, with greater emphasis on trust, transparency, and human ov</w:t>
      </w:r>
      <w:r>
        <w:rPr>
          <w:rFonts w:ascii="Arial" w:hAnsi="Arial" w:eastAsia="Arial" w:cs="Arial"/>
          <w:sz w:val="20"/>
          <w:szCs w:val="20"/>
        </w:rPr>
        <w:t xml:space="preserve">ersight as a strategic requirement.[3][9] | WGSN, NRF |</w:t>
      </w:r>
      <w:r>
        <w:rPr>
          <w:rFonts w:ascii="Arial" w:hAnsi="Arial" w:eastAsia="Arial" w:cs="Arial"/>
          <w:sz w:val="20"/>
          <w:szCs w:val="20"/>
        </w:rPr>
      </w:r>
    </w:p>
    <w:p>
      <w:pPr>
        <w:pBdr/>
        <w:spacing/>
        <w:ind/>
        <w:rPr>
          <w:rFonts w:ascii="Arial" w:hAnsi="Arial" w:cs="Arial"/>
          <w:sz w:val="20"/>
          <w:szCs w:val="20"/>
        </w:rPr>
      </w:pPr>
      <w:r>
        <w:rPr>
          <w:rFonts w:ascii="Arial" w:hAnsi="Arial" w:eastAsia="Arial" w:cs="Arial"/>
          <w:sz w:val="20"/>
          <w:szCs w:val="20"/>
        </w:rPr>
        <w:t xml:space="preserve">| Value sensitivity | Inflation and tariffs are already reshaping US spending choices and promotional behavior.[1][11] | Similar value-seeking logic likely applies across Europe where consumers also face cost pressure, though the retrieved pages provide few</w:t>
      </w:r>
      <w:r>
        <w:rPr>
          <w:rFonts w:ascii="Arial" w:hAnsi="Arial" w:eastAsia="Arial" w:cs="Arial"/>
          <w:sz w:val="20"/>
          <w:szCs w:val="20"/>
        </w:rPr>
        <w:t xml:space="preserve">er public EU-specific figures.[3][9] | McKinsey, WGSN |</w:t>
      </w:r>
      <w:r>
        <w:rPr>
          <w:rFonts w:ascii="Arial" w:hAnsi="Arial" w:eastAsia="Arial" w:cs="Arial"/>
          <w:sz w:val="20"/>
          <w:szCs w:val="20"/>
        </w:rPr>
      </w:r>
    </w:p>
    <w:p>
      <w:pPr>
        <w:pBdr/>
        <w:spacing/>
        <w:ind/>
        <w:rPr>
          <w:rFonts w:ascii="Arial" w:hAnsi="Arial" w:cs="Arial"/>
          <w:sz w:val="20"/>
          <w:szCs w:val="20"/>
        </w:rPr>
      </w:pPr>
      <w:r>
        <w:rPr>
          <w:rFonts w:ascii="Arial" w:hAnsi="Arial" w:eastAsia="Arial" w:cs="Arial"/>
          <w:sz w:val="20"/>
          <w:szCs w:val="20"/>
        </w:rPr>
        <w:t xml:space="preserve">| Emotional retail | Joy, play, and connection are becoming commercial levers rather than soft branding ideas.[3][4] | Emotional resonance and community formats appear equally relevant, especially where online and offline channels are blending.[3][9] | WGSN</w:t>
      </w:r>
      <w:r>
        <w:rPr>
          <w:rFonts w:ascii="Arial" w:hAnsi="Arial" w:eastAsia="Arial" w:cs="Arial"/>
          <w:sz w:val="20"/>
          <w:szCs w:val="20"/>
        </w:rPr>
        <w:t xml:space="preserve">, NRF |</w:t>
      </w:r>
      <w:r>
        <w:rPr>
          <w:rFonts w:ascii="Arial" w:hAnsi="Arial" w:eastAsia="Arial" w:cs="Arial"/>
          <w:sz w:val="20"/>
          <w:szCs w:val="20"/>
        </w:rPr>
      </w:r>
    </w:p>
    <w:p>
      <w:pPr>
        <w:pBdr/>
        <w:spacing/>
        <w:ind/>
        <w:rPr>
          <w:rFonts w:ascii="Arial" w:hAnsi="Arial" w:cs="Arial"/>
          <w:sz w:val="20"/>
          <w:szCs w:val="20"/>
        </w:rPr>
      </w:pPr>
      <w:r>
        <w:rPr>
          <w:rFonts w:ascii="Arial" w:hAnsi="Arial" w:eastAsia="Arial" w:cs="Arial"/>
          <w:sz w:val="20"/>
          <w:szCs w:val="20"/>
        </w:rPr>
        <w:t xml:space="preserve">| Food and grocery shopping | Automation, predictive ordering, self-checkout, and hybrid shopping are accelerating.[14] | Similar omnichannel grocery patterns are plausible in Europe, especially in convenience-led urban markets, though this source is direct</w:t>
      </w:r>
      <w:r>
        <w:rPr>
          <w:rFonts w:ascii="Arial" w:hAnsi="Arial" w:eastAsia="Arial" w:cs="Arial"/>
          <w:sz w:val="20"/>
          <w:szCs w:val="20"/>
        </w:rPr>
        <w:t xml:space="preserve">ional rather than one of the core named providers.[14] | Supplemental directional source |</w:t>
      </w:r>
      <w:r>
        <w:rPr>
          <w:rFonts w:ascii="Arial" w:hAnsi="Arial" w:eastAsia="Arial" w:cs="Arial"/>
          <w:sz w:val="20"/>
          <w:szCs w:val="20"/>
        </w:rPr>
      </w:r>
    </w:p>
    <w:p>
      <w:pPr>
        <w:pBdr/>
        <w:spacing/>
        <w:ind/>
        <w:rPr>
          <w:rFonts w:ascii="Arial" w:hAnsi="Arial" w:cs="Arial"/>
          <w:sz w:val="20"/>
          <w:szCs w:val="20"/>
        </w:rPr>
      </w:pPr>
      <w:r>
        <w:rPr>
          <w:rFonts w:ascii="Arial" w:hAnsi="Arial" w:eastAsia="Arial" w:cs="Arial"/>
          <w:sz w:val="20"/>
          <w:szCs w:val="20"/>
        </w:rPr>
        <w:t xml:space="preserve">| Premiumization | Selective premium categories such as beauty can still grow even under tighter budgets.[7][8] | Likely to hold where wellness, efficacy, and self-care justify spend, but assortment discipline matters.[7][8] | McKinsey |</w:t>
      </w:r>
      <w:r>
        <w:rPr>
          <w:rFonts w:ascii="Arial" w:hAnsi="Arial" w:eastAsia="Arial" w:cs="Arial"/>
          <w:sz w:val="20"/>
          <w:szCs w:val="20"/>
        </w:rPr>
      </w:r>
    </w:p>
    <w:p>
      <w:pPr>
        <w:pBdr/>
        <w:spacing/>
        <w:ind/>
        <w:rPr>
          <w:rFonts w:ascii="Arial" w:hAnsi="Arial" w:cs="Arial"/>
          <w:sz w:val="20"/>
          <w:szCs w:val="20"/>
        </w:rPr>
      </w:pPr>
      <w:r>
        <w:rPr>
          <w:rFonts w:ascii="Arial" w:hAnsi="Arial" w:eastAsia="Arial" w:cs="Arial"/>
          <w:sz w:val="20"/>
          <w:szCs w:val="20"/>
        </w:rPr>
      </w:r>
      <w:r>
        <w:rPr>
          <w:rFonts w:ascii="Arial" w:hAnsi="Arial" w:eastAsia="Arial" w:cs="Arial"/>
          <w:sz w:val="20"/>
          <w:szCs w:val="20"/>
        </w:rPr>
      </w:r>
    </w:p>
    <w:p>
      <w:pPr>
        <w:pBdr/>
        <w:spacing/>
        <w:ind/>
        <w:rPr>
          <w:rFonts w:ascii="Arial" w:hAnsi="Arial" w:cs="Arial"/>
          <w:sz w:val="20"/>
          <w:szCs w:val="20"/>
        </w:rPr>
      </w:pPr>
      <w:r>
        <w:rPr>
          <w:rFonts w:ascii="Arial" w:hAnsi="Arial" w:eastAsia="Arial" w:cs="Arial"/>
          <w:sz w:val="20"/>
          <w:szCs w:val="20"/>
        </w:rPr>
        <w:t xml:space="preserve">## Retail and shopping trends for 2027</w:t>
      </w:r>
      <w:r>
        <w:rPr>
          <w:rFonts w:ascii="Arial" w:hAnsi="Arial" w:eastAsia="Arial" w:cs="Arial"/>
          <w:sz w:val="20"/>
          <w:szCs w:val="20"/>
        </w:rPr>
      </w:r>
    </w:p>
    <w:p>
      <w:pPr>
        <w:pBdr/>
        <w:spacing/>
        <w:ind/>
        <w:rPr>
          <w:rFonts w:ascii="Arial" w:hAnsi="Arial" w:cs="Arial"/>
          <w:sz w:val="20"/>
          <w:szCs w:val="20"/>
        </w:rPr>
      </w:pPr>
      <w:r>
        <w:rPr>
          <w:rFonts w:ascii="Arial" w:hAnsi="Arial" w:eastAsia="Arial" w:cs="Arial"/>
          <w:sz w:val="20"/>
          <w:szCs w:val="20"/>
        </w:rPr>
        <w:t xml:space="preserve">The clearest cross-source retail trend is AI-supported commerce, from product forecasting and merchandising decisions to customer-facing personalization.[5][6][4] By 2027, AI is likely to be less of a novelty layer and more of a core retail operating system</w:t>
      </w:r>
      <w:r>
        <w:rPr>
          <w:rFonts w:ascii="Arial" w:hAnsi="Arial" w:eastAsia="Arial" w:cs="Arial"/>
          <w:sz w:val="20"/>
          <w:szCs w:val="20"/>
        </w:rPr>
        <w:t xml:space="preserve">, but brands that do not explain how AI is used may face trust friction even if the functionality is useful.[4][3]</w:t>
      </w:r>
      <w:r>
        <w:rPr>
          <w:rFonts w:ascii="Arial" w:hAnsi="Arial" w:eastAsia="Arial" w:cs="Arial"/>
          <w:sz w:val="20"/>
          <w:szCs w:val="20"/>
        </w:rPr>
      </w:r>
    </w:p>
    <w:p>
      <w:pPr>
        <w:pBdr/>
        <w:spacing/>
        <w:ind/>
        <w:rPr>
          <w:rFonts w:ascii="Arial" w:hAnsi="Arial" w:cs="Arial"/>
          <w:sz w:val="20"/>
          <w:szCs w:val="20"/>
        </w:rPr>
      </w:pPr>
      <w:r>
        <w:rPr>
          <w:rFonts w:ascii="Arial" w:hAnsi="Arial" w:eastAsia="Arial" w:cs="Arial"/>
          <w:sz w:val="20"/>
          <w:szCs w:val="20"/>
        </w:rPr>
      </w:r>
      <w:r>
        <w:rPr>
          <w:rFonts w:ascii="Arial" w:hAnsi="Arial" w:eastAsia="Arial" w:cs="Arial"/>
          <w:sz w:val="20"/>
          <w:szCs w:val="20"/>
        </w:rPr>
      </w:r>
    </w:p>
    <w:p>
      <w:pPr>
        <w:pBdr/>
        <w:spacing/>
        <w:ind/>
        <w:rPr>
          <w:rFonts w:ascii="Arial" w:hAnsi="Arial" w:cs="Arial"/>
          <w:sz w:val="20"/>
          <w:szCs w:val="20"/>
        </w:rPr>
      </w:pPr>
      <w:r>
        <w:rPr>
          <w:rFonts w:ascii="Arial" w:hAnsi="Arial" w:eastAsia="Arial" w:cs="Arial"/>
          <w:sz w:val="20"/>
          <w:szCs w:val="20"/>
        </w:rPr>
        <w:t xml:space="preserve">A second major shift is toward emotionally intelligent retail.[3][4] WGSN’s Future Consumer framing and NRF’s recap both indicate that play, connection, and relief from digital fatigue are becoming differentiators, which means retailers may need fewer noisy</w:t>
      </w:r>
      <w:r>
        <w:rPr>
          <w:rFonts w:ascii="Arial" w:hAnsi="Arial" w:eastAsia="Arial" w:cs="Arial"/>
          <w:sz w:val="20"/>
          <w:szCs w:val="20"/>
        </w:rPr>
        <w:t xml:space="preserve"> touchpoints and more meaningful ones.[3][4]</w:t>
      </w:r>
      <w:r>
        <w:rPr>
          <w:rFonts w:ascii="Arial" w:hAnsi="Arial" w:eastAsia="Arial" w:cs="Arial"/>
          <w:sz w:val="20"/>
          <w:szCs w:val="20"/>
        </w:rPr>
      </w:r>
    </w:p>
    <w:p>
      <w:pPr>
        <w:pBdr/>
        <w:spacing/>
        <w:ind/>
        <w:rPr>
          <w:rFonts w:ascii="Arial" w:hAnsi="Arial" w:cs="Arial"/>
          <w:sz w:val="20"/>
          <w:szCs w:val="20"/>
        </w:rPr>
      </w:pPr>
      <w:r>
        <w:rPr>
          <w:rFonts w:ascii="Arial" w:hAnsi="Arial" w:eastAsia="Arial" w:cs="Arial"/>
          <w:sz w:val="20"/>
          <w:szCs w:val="20"/>
        </w:rPr>
      </w:r>
      <w:r>
        <w:rPr>
          <w:rFonts w:ascii="Arial" w:hAnsi="Arial" w:eastAsia="Arial" w:cs="Arial"/>
          <w:sz w:val="20"/>
          <w:szCs w:val="20"/>
        </w:rPr>
      </w:r>
    </w:p>
    <w:p>
      <w:pPr>
        <w:pBdr/>
        <w:spacing/>
        <w:ind/>
        <w:rPr>
          <w:rFonts w:ascii="Arial" w:hAnsi="Arial" w:cs="Arial"/>
          <w:sz w:val="20"/>
          <w:szCs w:val="20"/>
        </w:rPr>
      </w:pPr>
      <w:r>
        <w:rPr>
          <w:rFonts w:ascii="Arial" w:hAnsi="Arial" w:eastAsia="Arial" w:cs="Arial"/>
          <w:sz w:val="20"/>
          <w:szCs w:val="20"/>
        </w:rPr>
        <w:t xml:space="preserve">A third trend is community-led experience design.[4][9] Younger consumers’ emphasis on friendship, connection, and shared activities implies opportunity for stores, loyalty programs, and brand ecosystems that create social participation rather than only tra</w:t>
      </w:r>
      <w:r>
        <w:rPr>
          <w:rFonts w:ascii="Arial" w:hAnsi="Arial" w:eastAsia="Arial" w:cs="Arial"/>
          <w:sz w:val="20"/>
          <w:szCs w:val="20"/>
        </w:rPr>
        <w:t xml:space="preserve">nsactional convenience.[4]</w:t>
      </w:r>
      <w:r>
        <w:rPr>
          <w:rFonts w:ascii="Arial" w:hAnsi="Arial" w:eastAsia="Arial" w:cs="Arial"/>
          <w:sz w:val="20"/>
          <w:szCs w:val="20"/>
        </w:rPr>
      </w:r>
    </w:p>
    <w:p>
      <w:pPr>
        <w:pBdr/>
        <w:spacing/>
        <w:ind/>
        <w:rPr>
          <w:rFonts w:ascii="Arial" w:hAnsi="Arial" w:cs="Arial"/>
          <w:sz w:val="20"/>
          <w:szCs w:val="20"/>
        </w:rPr>
      </w:pPr>
      <w:r>
        <w:rPr>
          <w:rFonts w:ascii="Arial" w:hAnsi="Arial" w:eastAsia="Arial" w:cs="Arial"/>
          <w:sz w:val="20"/>
          <w:szCs w:val="20"/>
        </w:rPr>
      </w:r>
      <w:r>
        <w:rPr>
          <w:rFonts w:ascii="Arial" w:hAnsi="Arial" w:eastAsia="Arial" w:cs="Arial"/>
          <w:sz w:val="20"/>
          <w:szCs w:val="20"/>
        </w:rPr>
      </w:r>
    </w:p>
    <w:p>
      <w:pPr>
        <w:pBdr/>
        <w:spacing/>
        <w:ind/>
        <w:rPr>
          <w:rFonts w:ascii="Arial" w:hAnsi="Arial" w:cs="Arial"/>
          <w:sz w:val="20"/>
          <w:szCs w:val="20"/>
        </w:rPr>
      </w:pPr>
      <w:r>
        <w:rPr>
          <w:rFonts w:ascii="Arial" w:hAnsi="Arial" w:eastAsia="Arial" w:cs="Arial"/>
          <w:sz w:val="20"/>
          <w:szCs w:val="20"/>
        </w:rPr>
        <w:t xml:space="preserve">## Food trends for 2027</w:t>
      </w:r>
      <w:r>
        <w:rPr>
          <w:rFonts w:ascii="Arial" w:hAnsi="Arial" w:eastAsia="Arial" w:cs="Arial"/>
          <w:sz w:val="20"/>
          <w:szCs w:val="20"/>
        </w:rPr>
      </w:r>
    </w:p>
    <w:p>
      <w:pPr>
        <w:pBdr/>
        <w:spacing/>
        <w:ind/>
        <w:rPr>
          <w:rFonts w:ascii="Arial" w:hAnsi="Arial" w:cs="Arial"/>
          <w:sz w:val="20"/>
          <w:szCs w:val="20"/>
        </w:rPr>
      </w:pPr>
      <w:r>
        <w:rPr>
          <w:rFonts w:ascii="Arial" w:hAnsi="Arial" w:eastAsia="Arial" w:cs="Arial"/>
          <w:sz w:val="20"/>
          <w:szCs w:val="20"/>
        </w:rPr>
        <w:t xml:space="preserve">The named source set is thinner on food-specific 2027 public metrics than on general retail and beauty, but the directional signals still matter.[14][2] Food and grocery shopping is moving toward hybrid journeys, predictive reordering, self-checkout, and mo</w:t>
      </w:r>
      <w:r>
        <w:rPr>
          <w:rFonts w:ascii="Arial" w:hAnsi="Arial" w:eastAsia="Arial" w:cs="Arial"/>
          <w:sz w:val="20"/>
          <w:szCs w:val="20"/>
        </w:rPr>
        <w:t xml:space="preserve">re individualized recommendations, all of which align with the broader AI and convenience narrative visible across retail.[14][4]</w:t>
      </w:r>
      <w:r>
        <w:rPr>
          <w:rFonts w:ascii="Arial" w:hAnsi="Arial" w:eastAsia="Arial" w:cs="Arial"/>
          <w:sz w:val="20"/>
          <w:szCs w:val="20"/>
        </w:rPr>
      </w:r>
    </w:p>
    <w:p>
      <w:pPr>
        <w:pBdr/>
        <w:spacing/>
        <w:ind/>
        <w:rPr>
          <w:rFonts w:ascii="Arial" w:hAnsi="Arial" w:cs="Arial"/>
          <w:sz w:val="20"/>
          <w:szCs w:val="20"/>
        </w:rPr>
      </w:pPr>
      <w:r>
        <w:rPr>
          <w:rFonts w:ascii="Arial" w:hAnsi="Arial" w:eastAsia="Arial" w:cs="Arial"/>
          <w:sz w:val="20"/>
          <w:szCs w:val="20"/>
        </w:rPr>
      </w:r>
      <w:r>
        <w:rPr>
          <w:rFonts w:ascii="Arial" w:hAnsi="Arial" w:eastAsia="Arial" w:cs="Arial"/>
          <w:sz w:val="20"/>
          <w:szCs w:val="20"/>
        </w:rPr>
      </w:r>
    </w:p>
    <w:p>
      <w:pPr>
        <w:pBdr/>
        <w:spacing/>
        <w:ind/>
        <w:rPr>
          <w:rFonts w:ascii="Arial" w:hAnsi="Arial" w:cs="Arial"/>
          <w:sz w:val="20"/>
          <w:szCs w:val="20"/>
        </w:rPr>
      </w:pPr>
      <w:r>
        <w:rPr>
          <w:rFonts w:ascii="Arial" w:hAnsi="Arial" w:eastAsia="Arial" w:cs="Arial"/>
          <w:sz w:val="20"/>
          <w:szCs w:val="20"/>
        </w:rPr>
        <w:t xml:space="preserve">For food retail, the likely tension in 2027 is between affordability and premium discovery.[14][1] Consumers may continue to protect staple spending while selectively trading up in categories linked to wellness, localism, indulgence, or experiential formats</w:t>
      </w:r>
      <w:r>
        <w:rPr>
          <w:rFonts w:ascii="Arial" w:hAnsi="Arial" w:eastAsia="Arial" w:cs="Arial"/>
          <w:sz w:val="20"/>
          <w:szCs w:val="20"/>
        </w:rPr>
        <w:t xml:space="preserve"> such as in-store cafés and curated specialty sections.[14][8]</w:t>
      </w:r>
      <w:r>
        <w:rPr>
          <w:rFonts w:ascii="Arial" w:hAnsi="Arial" w:eastAsia="Arial" w:cs="Arial"/>
          <w:sz w:val="20"/>
          <w:szCs w:val="20"/>
        </w:rPr>
      </w:r>
    </w:p>
    <w:p>
      <w:pPr>
        <w:pBdr/>
        <w:spacing/>
        <w:ind/>
        <w:rPr>
          <w:rFonts w:ascii="Arial" w:hAnsi="Arial" w:cs="Arial"/>
          <w:sz w:val="20"/>
          <w:szCs w:val="20"/>
        </w:rPr>
      </w:pPr>
      <w:r>
        <w:rPr>
          <w:rFonts w:ascii="Arial" w:hAnsi="Arial" w:eastAsia="Arial" w:cs="Arial"/>
          <w:sz w:val="20"/>
          <w:szCs w:val="20"/>
        </w:rPr>
      </w:r>
      <w:r>
        <w:rPr>
          <w:rFonts w:ascii="Arial" w:hAnsi="Arial" w:eastAsia="Arial" w:cs="Arial"/>
          <w:sz w:val="20"/>
          <w:szCs w:val="20"/>
        </w:rPr>
      </w:r>
    </w:p>
    <w:p>
      <w:pPr>
        <w:pBdr/>
        <w:spacing/>
        <w:ind/>
        <w:rPr>
          <w:rFonts w:ascii="Arial" w:hAnsi="Arial" w:cs="Arial"/>
          <w:sz w:val="20"/>
          <w:szCs w:val="20"/>
        </w:rPr>
      </w:pPr>
      <w:r>
        <w:rPr>
          <w:rFonts w:ascii="Arial" w:hAnsi="Arial" w:eastAsia="Arial" w:cs="Arial"/>
          <w:sz w:val="20"/>
          <w:szCs w:val="20"/>
        </w:rPr>
        <w:t xml:space="preserve">## Risks</w:t>
      </w:r>
      <w:r>
        <w:rPr>
          <w:rFonts w:ascii="Arial" w:hAnsi="Arial" w:eastAsia="Arial" w:cs="Arial"/>
          <w:sz w:val="20"/>
          <w:szCs w:val="20"/>
        </w:rPr>
      </w:r>
    </w:p>
    <w:p>
      <w:pPr>
        <w:pBdr/>
        <w:spacing/>
        <w:ind/>
        <w:rPr>
          <w:rFonts w:ascii="Arial" w:hAnsi="Arial" w:cs="Arial"/>
          <w:sz w:val="20"/>
          <w:szCs w:val="20"/>
        </w:rPr>
      </w:pPr>
      <w:r>
        <w:rPr>
          <w:rFonts w:ascii="Arial" w:hAnsi="Arial" w:eastAsia="Arial" w:cs="Arial"/>
          <w:sz w:val="20"/>
          <w:szCs w:val="20"/>
        </w:rPr>
        <w:t xml:space="preserve">- Margin compression from inflation, tariffs, and cost pass-through could erode discretionary demand and force more promotional intensity.[1][11]</w:t>
      </w:r>
      <w:r>
        <w:rPr>
          <w:rFonts w:ascii="Arial" w:hAnsi="Arial" w:eastAsia="Arial" w:cs="Arial"/>
          <w:sz w:val="20"/>
          <w:szCs w:val="20"/>
        </w:rPr>
      </w:r>
    </w:p>
    <w:p>
      <w:pPr>
        <w:pBdr/>
        <w:spacing/>
        <w:ind/>
        <w:rPr>
          <w:rFonts w:ascii="Arial" w:hAnsi="Arial" w:cs="Arial"/>
          <w:sz w:val="20"/>
          <w:szCs w:val="20"/>
        </w:rPr>
      </w:pPr>
      <w:r>
        <w:rPr>
          <w:rFonts w:ascii="Arial" w:hAnsi="Arial" w:eastAsia="Arial" w:cs="Arial"/>
          <w:sz w:val="20"/>
          <w:szCs w:val="20"/>
        </w:rPr>
        <w:t xml:space="preserve">- AI adoption without transparency may trigger mistrust, especially as consumer curiosity about AI is paired with a desire for safety and understanding.[4]</w:t>
      </w:r>
      <w:r>
        <w:rPr>
          <w:rFonts w:ascii="Arial" w:hAnsi="Arial" w:eastAsia="Arial" w:cs="Arial"/>
          <w:sz w:val="20"/>
          <w:szCs w:val="20"/>
        </w:rPr>
      </w:r>
    </w:p>
    <w:p>
      <w:pPr>
        <w:pBdr/>
        <w:spacing/>
        <w:ind/>
        <w:rPr>
          <w:rFonts w:ascii="Arial" w:hAnsi="Arial" w:cs="Arial"/>
          <w:sz w:val="20"/>
          <w:szCs w:val="20"/>
        </w:rPr>
      </w:pPr>
      <w:r>
        <w:rPr>
          <w:rFonts w:ascii="Arial" w:hAnsi="Arial" w:eastAsia="Arial" w:cs="Arial"/>
          <w:sz w:val="20"/>
          <w:szCs w:val="20"/>
        </w:rPr>
        <w:t xml:space="preserve">- Over-digitization can backfire if it adds cognitive load instead of reducing it; WGSN and NRF both point to digital fatigue and the rise of "ping minimalism."[4][3]</w:t>
      </w:r>
      <w:r>
        <w:rPr>
          <w:rFonts w:ascii="Arial" w:hAnsi="Arial" w:eastAsia="Arial" w:cs="Arial"/>
          <w:sz w:val="20"/>
          <w:szCs w:val="20"/>
        </w:rPr>
      </w:r>
    </w:p>
    <w:p>
      <w:pPr>
        <w:pBdr/>
        <w:spacing/>
        <w:ind/>
        <w:rPr>
          <w:rFonts w:ascii="Arial" w:hAnsi="Arial" w:cs="Arial"/>
          <w:sz w:val="20"/>
          <w:szCs w:val="20"/>
        </w:rPr>
      </w:pPr>
      <w:r>
        <w:rPr>
          <w:rFonts w:ascii="Arial" w:hAnsi="Arial" w:eastAsia="Arial" w:cs="Arial"/>
          <w:sz w:val="20"/>
          <w:szCs w:val="20"/>
        </w:rPr>
        <w:t xml:space="preserve">- Forecast dependence can create false precision if teams treat directional trend tools as guarantees rather than scenario inputs.[5][6]</w:t>
      </w:r>
      <w:r>
        <w:rPr>
          <w:rFonts w:ascii="Arial" w:hAnsi="Arial" w:eastAsia="Arial" w:cs="Arial"/>
          <w:sz w:val="20"/>
          <w:szCs w:val="20"/>
        </w:rPr>
      </w:r>
    </w:p>
    <w:p>
      <w:pPr>
        <w:pBdr/>
        <w:spacing/>
        <w:ind/>
        <w:rPr>
          <w:rFonts w:ascii="Arial" w:hAnsi="Arial" w:cs="Arial"/>
          <w:sz w:val="20"/>
          <w:szCs w:val="20"/>
        </w:rPr>
      </w:pPr>
      <w:r>
        <w:rPr>
          <w:rFonts w:ascii="Arial" w:hAnsi="Arial" w:eastAsia="Arial" w:cs="Arial"/>
          <w:sz w:val="20"/>
          <w:szCs w:val="20"/>
        </w:rPr>
      </w:r>
      <w:r>
        <w:rPr>
          <w:rFonts w:ascii="Arial" w:hAnsi="Arial" w:eastAsia="Arial" w:cs="Arial"/>
          <w:sz w:val="20"/>
          <w:szCs w:val="20"/>
        </w:rPr>
      </w:r>
    </w:p>
    <w:p>
      <w:pPr>
        <w:pBdr/>
        <w:spacing/>
        <w:ind/>
        <w:rPr>
          <w:rFonts w:ascii="Arial" w:hAnsi="Arial" w:cs="Arial"/>
          <w:sz w:val="20"/>
          <w:szCs w:val="20"/>
        </w:rPr>
      </w:pPr>
      <w:r>
        <w:rPr>
          <w:rFonts w:ascii="Arial" w:hAnsi="Arial" w:eastAsia="Arial" w:cs="Arial"/>
          <w:sz w:val="20"/>
          <w:szCs w:val="20"/>
        </w:rPr>
        <w:t xml:space="preserve">## Opportunities</w:t>
      </w:r>
      <w:r>
        <w:rPr>
          <w:rFonts w:ascii="Arial" w:hAnsi="Arial" w:eastAsia="Arial" w:cs="Arial"/>
          <w:sz w:val="20"/>
          <w:szCs w:val="20"/>
        </w:rPr>
      </w:r>
    </w:p>
    <w:p>
      <w:pPr>
        <w:pBdr/>
        <w:spacing/>
        <w:ind/>
        <w:rPr>
          <w:rFonts w:ascii="Arial" w:hAnsi="Arial" w:cs="Arial"/>
          <w:sz w:val="20"/>
          <w:szCs w:val="20"/>
        </w:rPr>
      </w:pPr>
      <w:r>
        <w:rPr>
          <w:rFonts w:ascii="Arial" w:hAnsi="Arial" w:eastAsia="Arial" w:cs="Arial"/>
          <w:sz w:val="20"/>
          <w:szCs w:val="20"/>
        </w:rPr>
        <w:t xml:space="preserve">- Build explainable personalization, such as clear recommendation logic, preference controls, and visible consumer benefit statements.[4][3]</w:t>
      </w:r>
      <w:r>
        <w:rPr>
          <w:rFonts w:ascii="Arial" w:hAnsi="Arial" w:eastAsia="Arial" w:cs="Arial"/>
          <w:sz w:val="20"/>
          <w:szCs w:val="20"/>
        </w:rPr>
      </w:r>
    </w:p>
    <w:p>
      <w:pPr>
        <w:pBdr/>
        <w:spacing/>
        <w:ind/>
        <w:rPr>
          <w:rFonts w:ascii="Arial" w:hAnsi="Arial" w:cs="Arial"/>
          <w:sz w:val="20"/>
          <w:szCs w:val="20"/>
        </w:rPr>
      </w:pPr>
      <w:r>
        <w:rPr>
          <w:rFonts w:ascii="Arial" w:hAnsi="Arial" w:eastAsia="Arial" w:cs="Arial"/>
          <w:sz w:val="20"/>
          <w:szCs w:val="20"/>
        </w:rPr>
        <w:t xml:space="preserve">- Rebalance category portfolios toward resilient pockets of premiumization, especially beauty, wellness, and self-care adjacencies.[7][8]</w:t>
      </w:r>
      <w:r>
        <w:rPr>
          <w:rFonts w:ascii="Arial" w:hAnsi="Arial" w:eastAsia="Arial" w:cs="Arial"/>
          <w:sz w:val="20"/>
          <w:szCs w:val="20"/>
        </w:rPr>
      </w:r>
    </w:p>
    <w:p>
      <w:pPr>
        <w:pBdr/>
        <w:spacing/>
        <w:ind/>
        <w:rPr>
          <w:rFonts w:ascii="Arial" w:hAnsi="Arial" w:cs="Arial"/>
          <w:sz w:val="20"/>
          <w:szCs w:val="20"/>
        </w:rPr>
      </w:pPr>
      <w:r>
        <w:rPr>
          <w:rFonts w:ascii="Arial" w:hAnsi="Arial" w:eastAsia="Arial" w:cs="Arial"/>
          <w:sz w:val="20"/>
          <w:szCs w:val="20"/>
        </w:rPr>
        <w:t xml:space="preserve">- Invest in community and loyalty models that create belonging, because connection appears to correlate with greater customer value.[3][4]</w:t>
      </w:r>
      <w:r>
        <w:rPr>
          <w:rFonts w:ascii="Arial" w:hAnsi="Arial" w:eastAsia="Arial" w:cs="Arial"/>
          <w:sz w:val="20"/>
          <w:szCs w:val="20"/>
        </w:rPr>
      </w:r>
    </w:p>
    <w:p>
      <w:pPr>
        <w:pBdr/>
        <w:spacing/>
        <w:ind/>
        <w:rPr>
          <w:rFonts w:ascii="Arial" w:hAnsi="Arial" w:cs="Arial"/>
          <w:sz w:val="20"/>
          <w:szCs w:val="20"/>
        </w:rPr>
      </w:pPr>
      <w:r>
        <w:rPr>
          <w:rFonts w:ascii="Arial" w:hAnsi="Arial" w:eastAsia="Arial" w:cs="Arial"/>
          <w:sz w:val="20"/>
          <w:szCs w:val="20"/>
        </w:rPr>
        <w:t xml:space="preserve">- Design lower-friction omnichannel journeys in food and shopping, including predictive baskets, assisted discovery, and seamless checkout.[14][4]</w:t>
      </w:r>
      <w:r>
        <w:rPr>
          <w:rFonts w:ascii="Arial" w:hAnsi="Arial" w:eastAsia="Arial" w:cs="Arial"/>
          <w:sz w:val="20"/>
          <w:szCs w:val="20"/>
        </w:rPr>
      </w:r>
    </w:p>
    <w:p>
      <w:pPr>
        <w:pBdr/>
        <w:spacing/>
        <w:ind/>
        <w:rPr>
          <w:rFonts w:ascii="Arial" w:hAnsi="Arial" w:cs="Arial"/>
          <w:sz w:val="20"/>
          <w:szCs w:val="20"/>
        </w:rPr>
      </w:pPr>
      <w:r>
        <w:rPr>
          <w:rFonts w:ascii="Arial" w:hAnsi="Arial" w:eastAsia="Arial" w:cs="Arial"/>
          <w:sz w:val="20"/>
          <w:szCs w:val="20"/>
        </w:rPr>
        <w:t xml:space="preserve">- Use AI forecasting tools to shorten trend-response cycles in merchandising, inventory, and campaign planning.[5][6][10]</w:t>
      </w:r>
      <w:r>
        <w:rPr>
          <w:rFonts w:ascii="Arial" w:hAnsi="Arial" w:eastAsia="Arial" w:cs="Arial"/>
          <w:sz w:val="20"/>
          <w:szCs w:val="20"/>
        </w:rPr>
      </w:r>
    </w:p>
    <w:p>
      <w:pPr>
        <w:pBdr/>
        <w:spacing/>
        <w:ind/>
        <w:rPr>
          <w:rFonts w:ascii="Arial" w:hAnsi="Arial" w:cs="Arial"/>
          <w:sz w:val="20"/>
          <w:szCs w:val="20"/>
        </w:rPr>
      </w:pPr>
      <w:r>
        <w:rPr>
          <w:rFonts w:ascii="Arial" w:hAnsi="Arial" w:eastAsia="Arial" w:cs="Arial"/>
          <w:sz w:val="20"/>
          <w:szCs w:val="20"/>
        </w:rPr>
      </w:r>
      <w:r>
        <w:rPr>
          <w:rFonts w:ascii="Arial" w:hAnsi="Arial" w:eastAsia="Arial" w:cs="Arial"/>
          <w:sz w:val="20"/>
          <w:szCs w:val="20"/>
        </w:rPr>
      </w:r>
    </w:p>
    <w:p>
      <w:pPr>
        <w:pBdr/>
        <w:spacing/>
        <w:ind/>
        <w:rPr>
          <w:rFonts w:ascii="Arial" w:hAnsi="Arial" w:cs="Arial"/>
          <w:sz w:val="20"/>
          <w:szCs w:val="20"/>
        </w:rPr>
      </w:pPr>
      <w:r>
        <w:rPr>
          <w:rFonts w:ascii="Arial" w:hAnsi="Arial" w:eastAsia="Arial" w:cs="Arial"/>
          <w:sz w:val="20"/>
          <w:szCs w:val="20"/>
        </w:rPr>
        <w:t xml:space="preserve">## Strategic implications for USA and EU operators</w:t>
      </w:r>
      <w:r>
        <w:rPr>
          <w:rFonts w:ascii="Arial" w:hAnsi="Arial" w:eastAsia="Arial" w:cs="Arial"/>
          <w:sz w:val="20"/>
          <w:szCs w:val="20"/>
        </w:rPr>
      </w:r>
    </w:p>
    <w:p>
      <w:pPr>
        <w:pBdr/>
        <w:spacing/>
        <w:ind/>
        <w:rPr>
          <w:rFonts w:ascii="Arial" w:hAnsi="Arial" w:cs="Arial"/>
          <w:sz w:val="20"/>
          <w:szCs w:val="20"/>
        </w:rPr>
      </w:pPr>
      <w:r>
        <w:rPr>
          <w:rFonts w:ascii="Arial" w:hAnsi="Arial" w:eastAsia="Arial" w:cs="Arial"/>
          <w:sz w:val="20"/>
          <w:szCs w:val="20"/>
        </w:rPr>
        <w:t xml:space="preserve">For US operators, 2027 planning should assume continued consumer resilience but ongoing budget sensitivity, making price architecture, private label strategy, and promotion design essential alongside experience innovation.[2][1] For EU operators, the same c</w:t>
      </w:r>
      <w:r>
        <w:rPr>
          <w:rFonts w:ascii="Arial" w:hAnsi="Arial" w:eastAsia="Arial" w:cs="Arial"/>
          <w:sz w:val="20"/>
          <w:szCs w:val="20"/>
        </w:rPr>
        <w:t xml:space="preserve">onsumer logic likely applies, but successful execution may depend even more on trust, quality signaling, and blending digital efficiency with human reassurance.[3][9]</w:t>
      </w:r>
      <w:r>
        <w:rPr>
          <w:rFonts w:ascii="Arial" w:hAnsi="Arial" w:eastAsia="Arial" w:cs="Arial"/>
          <w:sz w:val="20"/>
          <w:szCs w:val="20"/>
        </w:rPr>
      </w:r>
    </w:p>
    <w:p>
      <w:pPr>
        <w:pBdr/>
        <w:spacing/>
        <w:ind/>
        <w:rPr>
          <w:rFonts w:ascii="Arial" w:hAnsi="Arial" w:cs="Arial"/>
          <w:sz w:val="20"/>
          <w:szCs w:val="20"/>
        </w:rPr>
      </w:pPr>
      <w:r>
        <w:rPr>
          <w:rFonts w:ascii="Arial" w:hAnsi="Arial" w:eastAsia="Arial" w:cs="Arial"/>
          <w:sz w:val="20"/>
          <w:szCs w:val="20"/>
        </w:rPr>
      </w:r>
      <w:r>
        <w:rPr>
          <w:rFonts w:ascii="Arial" w:hAnsi="Arial" w:eastAsia="Arial" w:cs="Arial"/>
          <w:sz w:val="20"/>
          <w:szCs w:val="20"/>
        </w:rPr>
      </w:r>
    </w:p>
    <w:p>
      <w:pPr>
        <w:pBdr/>
        <w:spacing/>
        <w:ind/>
        <w:rPr>
          <w:rFonts w:ascii="Arial" w:hAnsi="Arial" w:cs="Arial"/>
          <w:sz w:val="20"/>
          <w:szCs w:val="20"/>
        </w:rPr>
      </w:pPr>
      <w:r>
        <w:rPr>
          <w:rFonts w:ascii="Arial" w:hAnsi="Arial" w:eastAsia="Arial" w:cs="Arial"/>
          <w:sz w:val="20"/>
          <w:szCs w:val="20"/>
        </w:rPr>
        <w:t xml:space="preserve">Across both regions, the stronger strategic pattern is not “tech versus human,” but “tech in service of human outcomes.”[4][3] Retailers that combine forecasting, personalization, and automation with emotional relevance, community, and transparency are bett</w:t>
      </w:r>
      <w:r>
        <w:rPr>
          <w:rFonts w:ascii="Arial" w:hAnsi="Arial" w:eastAsia="Arial" w:cs="Arial"/>
          <w:sz w:val="20"/>
          <w:szCs w:val="20"/>
        </w:rPr>
        <w:t xml:space="preserve">er positioned to capture 2027 demand.[5][6][3][4]</w:t>
      </w:r>
      <w:r>
        <w:rPr>
          <w:rFonts w:ascii="Arial" w:hAnsi="Arial" w:eastAsia="Arial" w:cs="Arial"/>
          <w:sz w:val="20"/>
          <w:szCs w:val="20"/>
        </w:rPr>
      </w:r>
    </w:p>
    <w:p>
      <w:pPr>
        <w:pBdr/>
        <w:spacing/>
        <w:ind/>
        <w:rPr>
          <w:rFonts w:ascii="Arial" w:hAnsi="Arial" w:cs="Arial"/>
          <w:sz w:val="20"/>
          <w:szCs w:val="20"/>
        </w:rPr>
      </w:pPr>
      <w:r>
        <w:rPr>
          <w:rFonts w:ascii="Arial" w:hAnsi="Arial" w:eastAsia="Arial" w:cs="Arial"/>
          <w:sz w:val="20"/>
          <w:szCs w:val="20"/>
        </w:rPr>
      </w:r>
      <w:r>
        <w:rPr>
          <w:rFonts w:ascii="Arial" w:hAnsi="Arial" w:eastAsia="Arial" w:cs="Arial"/>
          <w:sz w:val="20"/>
          <w:szCs w:val="20"/>
        </w:rPr>
      </w:r>
    </w:p>
    <w:p>
      <w:pPr>
        <w:pBdr/>
        <w:spacing/>
        <w:ind/>
        <w:rPr>
          <w:rFonts w:ascii="Arial" w:hAnsi="Arial" w:cs="Arial"/>
          <w:sz w:val="20"/>
          <w:szCs w:val="20"/>
        </w:rPr>
      </w:pPr>
      <w:r>
        <w:rPr>
          <w:rFonts w:ascii="Arial" w:hAnsi="Arial" w:eastAsia="Arial" w:cs="Arial"/>
          <w:sz w:val="20"/>
          <w:szCs w:val="20"/>
        </w:rPr>
        <w:t xml:space="preserve">## Charts</w:t>
      </w:r>
      <w:r>
        <w:rPr>
          <w:rFonts w:ascii="Arial" w:hAnsi="Arial" w:eastAsia="Arial" w:cs="Arial"/>
          <w:sz w:val="20"/>
          <w:szCs w:val="20"/>
        </w:rPr>
      </w:r>
    </w:p>
    <w:p>
      <w:pPr>
        <w:pBdr/>
        <w:spacing/>
        <w:ind/>
        <w:rPr>
          <w:rFonts w:ascii="Arial" w:hAnsi="Arial" w:cs="Arial"/>
          <w:sz w:val="20"/>
          <w:szCs w:val="20"/>
        </w:rPr>
      </w:pPr>
      <w:r>
        <w:rPr>
          <w:rFonts w:ascii="Arial" w:hAnsi="Arial" w:eastAsia="Arial" w:cs="Arial"/>
          <w:sz w:val="20"/>
          <w:szCs w:val="20"/>
        </w:rPr>
        <w:t xml:space="preserve">### Consumer signals</w:t>
      </w:r>
      <w:r>
        <w:rPr>
          <w:rFonts w:ascii="Arial" w:hAnsi="Arial" w:eastAsia="Arial" w:cs="Arial"/>
          <w:sz w:val="20"/>
          <w:szCs w:val="20"/>
        </w:rPr>
      </w:r>
      <w:r>
        <w:rPr>
          <w:rFonts w:ascii="Arial" w:hAnsi="Arial" w:eastAsia="Arial" w:cs="Arial"/>
          <w:sz w:val="20"/>
          <w:szCs w:val="20"/>
        </w:rPr>
      </w:r>
    </w:p>
    <w:p>
      <w:pPr>
        <w:pBdr/>
        <w:spacing/>
        <w:ind/>
        <w:rPr>
          <w:rFonts w:ascii="Arial" w:hAnsi="Arial" w:cs="Arial"/>
          <w:sz w:val="20"/>
          <w:szCs w:val="20"/>
        </w:rPr>
      </w:pPr>
      <w:r>
        <w:rPr>
          <w:rFonts w:ascii="Arial" w:hAnsi="Arial" w:eastAsia="Arial" w:cs="Arial"/>
          <w:sz w:val="20"/>
          <w:szCs w:val="20"/>
        </w:rPr>
        <w:t xml:space="preserve">### Market scale references</w:t>
      </w:r>
      <w:r>
        <w:rPr>
          <w:rFonts w:ascii="Arial" w:hAnsi="Arial" w:eastAsia="Arial" w:cs="Arial"/>
          <w:sz w:val="20"/>
          <w:szCs w:val="20"/>
        </w:rPr>
      </w:r>
      <w:r>
        <w:rPr>
          <w:rFonts w:ascii="Arial" w:hAnsi="Arial" w:eastAsia="Arial" w:cs="Arial"/>
          <w:sz w:val="20"/>
          <w:szCs w:val="20"/>
        </w:rPr>
      </w:r>
    </w:p>
    <w:p>
      <w:pPr>
        <w:pBdr/>
        <w:spacing/>
        <w:ind/>
        <w:rPr>
          <w:rFonts w:ascii="Arial" w:hAnsi="Arial" w:cs="Arial"/>
          <w:sz w:val="20"/>
          <w:szCs w:val="20"/>
        </w:rPr>
      </w:pPr>
      <w:r>
        <w:rPr>
          <w:rFonts w:ascii="Arial" w:hAnsi="Arial" w:eastAsia="Arial" w:cs="Arial"/>
          <w:sz w:val="20"/>
          <w:szCs w:val="20"/>
          <w:highlight w:val="none"/>
        </w:rPr>
        <w:t xml:space="preserve"># 2027 USA &amp; EU Consumer Trends Report: Retail, Food, and Shopping</w:t>
      </w:r>
      <w:r>
        <w:rPr>
          <w:rFonts w:ascii="Arial" w:hAnsi="Arial" w:eastAsia="Arial" w:cs="Arial"/>
          <w:sz w:val="20"/>
          <w:szCs w:val="20"/>
        </w:rPr>
      </w:r>
    </w:p>
    <w:p>
      <w:pPr>
        <w:pBdr/>
        <w:spacing/>
        <w:ind/>
        <w:rPr>
          <w:rFonts w:ascii="Arial" w:hAnsi="Arial" w:cs="Arial"/>
          <w:sz w:val="20"/>
          <w:szCs w:val="20"/>
        </w:rPr>
      </w:pPr>
      <w:r>
        <w:rPr>
          <w:rFonts w:ascii="Arial" w:hAnsi="Arial" w:eastAsia="Arial" w:cs="Arial"/>
          <w:sz w:val="20"/>
          <w:szCs w:val="20"/>
          <w:highlight w:val="none"/>
        </w:rPr>
      </w:r>
      <w:r>
        <w:rPr>
          <w:rFonts w:ascii="Arial" w:hAnsi="Arial" w:eastAsia="Arial" w:cs="Arial"/>
          <w:sz w:val="20"/>
          <w:szCs w:val="20"/>
        </w:rPr>
      </w:r>
    </w:p>
    <w:p>
      <w:pPr>
        <w:pBdr/>
        <w:spacing/>
        <w:ind/>
        <w:rPr>
          <w:rFonts w:ascii="Arial" w:hAnsi="Arial" w:cs="Arial"/>
          <w:sz w:val="20"/>
          <w:szCs w:val="20"/>
        </w:rPr>
      </w:pPr>
      <w:r>
        <w:rPr>
          <w:rFonts w:ascii="Arial" w:hAnsi="Arial" w:eastAsia="Arial" w:cs="Arial"/>
          <w:sz w:val="20"/>
          <w:szCs w:val="20"/>
          <w:highlight w:val="none"/>
        </w:rPr>
        <w:t xml:space="preserve">## Executive summary</w:t>
      </w:r>
      <w:r>
        <w:rPr>
          <w:rFonts w:ascii="Arial" w:hAnsi="Arial" w:eastAsia="Arial" w:cs="Arial"/>
          <w:sz w:val="20"/>
          <w:szCs w:val="20"/>
        </w:rPr>
      </w:r>
    </w:p>
    <w:p>
      <w:pPr>
        <w:pBdr/>
        <w:spacing/>
        <w:ind/>
        <w:rPr>
          <w:rFonts w:ascii="Arial" w:hAnsi="Arial" w:cs="Arial"/>
          <w:sz w:val="20"/>
          <w:szCs w:val="20"/>
        </w:rPr>
      </w:pPr>
      <w:r>
        <w:rPr>
          <w:rFonts w:ascii="Arial" w:hAnsi="Arial" w:eastAsia="Arial" w:cs="Arial"/>
          <w:sz w:val="20"/>
          <w:szCs w:val="20"/>
          <w:highlight w:val="none"/>
        </w:rPr>
        <w:t xml:space="preserve">Consumer demand heading into 2027 is likely to be shaped by a tension between constrained household budgets and rising expectations for richer, more human shopping experiences.[1][2][3][4] Across the source set, three themes recur: AI-enabled shopping and f</w:t>
      </w:r>
      <w:r>
        <w:rPr>
          <w:rFonts w:ascii="Arial" w:hAnsi="Arial" w:eastAsia="Arial" w:cs="Arial"/>
          <w:sz w:val="20"/>
          <w:szCs w:val="20"/>
          <w:highlight w:val="none"/>
        </w:rPr>
        <w:t xml:space="preserve">orecasting, emotional and community-led consumption, and stronger value sensitivity under inflation and tariff pressure.[5][6][1][4]</w:t>
      </w:r>
      <w:r>
        <w:rPr>
          <w:rFonts w:ascii="Arial" w:hAnsi="Arial" w:eastAsia="Arial" w:cs="Arial"/>
          <w:sz w:val="20"/>
          <w:szCs w:val="20"/>
        </w:rPr>
      </w:r>
    </w:p>
    <w:p>
      <w:pPr>
        <w:pBdr/>
        <w:spacing/>
        <w:ind/>
        <w:rPr>
          <w:rFonts w:ascii="Arial" w:hAnsi="Arial" w:cs="Arial"/>
          <w:sz w:val="20"/>
          <w:szCs w:val="20"/>
        </w:rPr>
      </w:pPr>
      <w:r>
        <w:rPr>
          <w:rFonts w:ascii="Arial" w:hAnsi="Arial" w:eastAsia="Arial" w:cs="Arial"/>
          <w:sz w:val="20"/>
          <w:szCs w:val="20"/>
          <w:highlight w:val="none"/>
        </w:rPr>
      </w:r>
      <w:r>
        <w:rPr>
          <w:rFonts w:ascii="Arial" w:hAnsi="Arial" w:eastAsia="Arial" w:cs="Arial"/>
          <w:sz w:val="20"/>
          <w:szCs w:val="20"/>
        </w:rPr>
      </w:r>
    </w:p>
    <w:p>
      <w:pPr>
        <w:pBdr/>
        <w:spacing/>
        <w:ind/>
        <w:rPr>
          <w:rFonts w:ascii="Arial" w:hAnsi="Arial" w:cs="Arial"/>
          <w:sz w:val="20"/>
          <w:szCs w:val="20"/>
        </w:rPr>
      </w:pPr>
      <w:r>
        <w:rPr>
          <w:rFonts w:ascii="Arial" w:hAnsi="Arial" w:eastAsia="Arial" w:cs="Arial"/>
          <w:sz w:val="20"/>
          <w:szCs w:val="20"/>
          <w:highlight w:val="none"/>
        </w:rPr>
        <w:t xml:space="preserve">Beauty is one of the clearest high-growth reference markets for consumer products, with McKinsey projecting the global beauty market to reach approximately $580 billion by 2027, growing about 6 percent annually.[7][8] In US retail overall, NRF forecasts 202</w:t>
      </w:r>
      <w:r>
        <w:rPr>
          <w:rFonts w:ascii="Arial" w:hAnsi="Arial" w:eastAsia="Arial" w:cs="Arial"/>
          <w:sz w:val="20"/>
          <w:szCs w:val="20"/>
          <w:highlight w:val="none"/>
        </w:rPr>
        <w:t xml:space="preserve">6 sales at $5.6 trillion, up 4.4 percent year over year, which provides a near-term baseline for 2027 scenario planning even though NRF has not yet published a formal 2027 topline forecast in the material reviewed.[2]</w:t>
      </w:r>
      <w:r>
        <w:rPr>
          <w:rFonts w:ascii="Arial" w:hAnsi="Arial" w:eastAsia="Arial" w:cs="Arial"/>
          <w:sz w:val="20"/>
          <w:szCs w:val="20"/>
        </w:rPr>
      </w:r>
    </w:p>
    <w:p>
      <w:pPr>
        <w:pBdr/>
        <w:spacing/>
        <w:ind/>
        <w:rPr>
          <w:rFonts w:ascii="Arial" w:hAnsi="Arial" w:cs="Arial"/>
          <w:sz w:val="20"/>
          <w:szCs w:val="20"/>
        </w:rPr>
      </w:pPr>
      <w:r>
        <w:rPr>
          <w:rFonts w:ascii="Arial" w:hAnsi="Arial" w:eastAsia="Arial" w:cs="Arial"/>
          <w:sz w:val="20"/>
          <w:szCs w:val="20"/>
          <w:highlight w:val="none"/>
        </w:rPr>
      </w:r>
      <w:r>
        <w:rPr>
          <w:rFonts w:ascii="Arial" w:hAnsi="Arial" w:eastAsia="Arial" w:cs="Arial"/>
          <w:sz w:val="20"/>
          <w:szCs w:val="20"/>
        </w:rPr>
      </w:r>
    </w:p>
    <w:p>
      <w:pPr>
        <w:pBdr/>
        <w:spacing/>
        <w:ind/>
        <w:rPr>
          <w:rFonts w:ascii="Arial" w:hAnsi="Arial" w:cs="Arial"/>
          <w:sz w:val="20"/>
          <w:szCs w:val="20"/>
        </w:rPr>
      </w:pPr>
      <w:r>
        <w:rPr>
          <w:rFonts w:ascii="Arial" w:hAnsi="Arial" w:eastAsia="Arial" w:cs="Arial"/>
          <w:sz w:val="20"/>
          <w:szCs w:val="20"/>
          <w:highlight w:val="none"/>
        </w:rPr>
        <w:t xml:space="preserve">For operators in the USA and EU, the most practical implication is that winning in 2027 will require pairing efficiency with trust: precise personalization, clear AI transparency, value architecture, and store or digital formats that reduce friction while s</w:t>
      </w:r>
      <w:r>
        <w:rPr>
          <w:rFonts w:ascii="Arial" w:hAnsi="Arial" w:eastAsia="Arial" w:cs="Arial"/>
          <w:sz w:val="20"/>
          <w:szCs w:val="20"/>
          <w:highlight w:val="none"/>
        </w:rPr>
        <w:t xml:space="preserve">till creating emotional resonance.[1][3][4][6]</w:t>
      </w:r>
      <w:r>
        <w:rPr>
          <w:rFonts w:ascii="Arial" w:hAnsi="Arial" w:eastAsia="Arial" w:cs="Arial"/>
          <w:sz w:val="20"/>
          <w:szCs w:val="20"/>
        </w:rPr>
      </w:r>
    </w:p>
    <w:p>
      <w:pPr>
        <w:pBdr/>
        <w:spacing/>
        <w:ind/>
        <w:rPr>
          <w:rFonts w:ascii="Arial" w:hAnsi="Arial" w:cs="Arial"/>
          <w:sz w:val="20"/>
          <w:szCs w:val="20"/>
        </w:rPr>
      </w:pPr>
      <w:r>
        <w:rPr>
          <w:rFonts w:ascii="Arial" w:hAnsi="Arial" w:eastAsia="Arial" w:cs="Arial"/>
          <w:sz w:val="20"/>
          <w:szCs w:val="20"/>
          <w:highlight w:val="none"/>
        </w:rPr>
      </w:r>
      <w:r>
        <w:rPr>
          <w:rFonts w:ascii="Arial" w:hAnsi="Arial" w:eastAsia="Arial" w:cs="Arial"/>
          <w:sz w:val="20"/>
          <w:szCs w:val="20"/>
        </w:rPr>
      </w:r>
    </w:p>
    <w:p>
      <w:pPr>
        <w:pBdr/>
        <w:spacing/>
        <w:ind/>
        <w:rPr>
          <w:rFonts w:ascii="Arial" w:hAnsi="Arial" w:cs="Arial"/>
          <w:sz w:val="20"/>
          <w:szCs w:val="20"/>
        </w:rPr>
      </w:pPr>
      <w:r>
        <w:rPr>
          <w:rFonts w:ascii="Arial" w:hAnsi="Arial" w:eastAsia="Arial" w:cs="Arial"/>
          <w:sz w:val="20"/>
          <w:szCs w:val="20"/>
          <w:highlight w:val="none"/>
        </w:rPr>
        <w:t xml:space="preserve">## Source scope and limitations</w:t>
      </w:r>
      <w:r>
        <w:rPr>
          <w:rFonts w:ascii="Arial" w:hAnsi="Arial" w:eastAsia="Arial" w:cs="Arial"/>
          <w:sz w:val="20"/>
          <w:szCs w:val="20"/>
        </w:rPr>
      </w:r>
    </w:p>
    <w:p>
      <w:pPr>
        <w:pBdr/>
        <w:spacing/>
        <w:ind/>
        <w:rPr>
          <w:rFonts w:ascii="Arial" w:hAnsi="Arial" w:cs="Arial"/>
          <w:sz w:val="20"/>
          <w:szCs w:val="20"/>
        </w:rPr>
      </w:pPr>
      <w:r>
        <w:rPr>
          <w:rFonts w:ascii="Arial" w:hAnsi="Arial" w:eastAsia="Arial" w:cs="Arial"/>
          <w:sz w:val="20"/>
          <w:szCs w:val="20"/>
          <w:highlight w:val="none"/>
        </w:rPr>
        <w:t xml:space="preserve">This report synthesizes public-facing material from Trendalytics, WGSN and WGSN TrendCurve AI references, McKinsey ConsumerWise and related McKinsey consumer reports, and NRF.[5][6][3][4][2][1] Public pages from Trendalytics and WGSN emphasize directional i</w:t>
      </w:r>
      <w:r>
        <w:rPr>
          <w:rFonts w:ascii="Arial" w:hAnsi="Arial" w:eastAsia="Arial" w:cs="Arial"/>
          <w:sz w:val="20"/>
          <w:szCs w:val="20"/>
          <w:highlight w:val="none"/>
        </w:rPr>
        <w:t xml:space="preserve">ntelligence and methodology more than full proprietary numeric forecasts, so several sections rely on qualitative signals rather than complete market-size datasets for the EU and for food-specific 2027 forecasts.[5][6][9]</w:t>
      </w:r>
      <w:r>
        <w:rPr>
          <w:rFonts w:ascii="Arial" w:hAnsi="Arial" w:eastAsia="Arial" w:cs="Arial"/>
          <w:sz w:val="20"/>
          <w:szCs w:val="20"/>
        </w:rPr>
      </w:r>
    </w:p>
    <w:p>
      <w:pPr>
        <w:pBdr/>
        <w:spacing/>
        <w:ind/>
        <w:rPr>
          <w:rFonts w:ascii="Arial" w:hAnsi="Arial" w:cs="Arial"/>
          <w:sz w:val="20"/>
          <w:szCs w:val="20"/>
        </w:rPr>
      </w:pPr>
      <w:r>
        <w:rPr>
          <w:rFonts w:ascii="Arial" w:hAnsi="Arial" w:eastAsia="Arial" w:cs="Arial"/>
          <w:sz w:val="20"/>
          <w:szCs w:val="20"/>
          <w:highlight w:val="none"/>
        </w:rPr>
      </w:r>
      <w:r>
        <w:rPr>
          <w:rFonts w:ascii="Arial" w:hAnsi="Arial" w:eastAsia="Arial" w:cs="Arial"/>
          <w:sz w:val="20"/>
          <w:szCs w:val="20"/>
        </w:rPr>
      </w:r>
    </w:p>
    <w:p>
      <w:pPr>
        <w:pBdr/>
        <w:spacing/>
        <w:ind/>
        <w:rPr>
          <w:rFonts w:ascii="Arial" w:hAnsi="Arial" w:cs="Arial"/>
          <w:sz w:val="20"/>
          <w:szCs w:val="20"/>
        </w:rPr>
      </w:pPr>
      <w:r>
        <w:rPr>
          <w:rFonts w:ascii="Arial" w:hAnsi="Arial" w:eastAsia="Arial" w:cs="Arial"/>
          <w:sz w:val="20"/>
          <w:szCs w:val="20"/>
          <w:highlight w:val="none"/>
        </w:rPr>
        <w:t xml:space="preserve">Because the retrieved public evidence base is richer for the US than for the EU, EU implications in this report are framed as strategic read-throughs from global and Western-market signals rather than as stand-alone EU market forecasts.[3][9][7] Where exact</w:t>
      </w:r>
      <w:r>
        <w:rPr>
          <w:rFonts w:ascii="Arial" w:hAnsi="Arial" w:eastAsia="Arial" w:cs="Arial"/>
          <w:sz w:val="20"/>
          <w:szCs w:val="20"/>
          <w:highlight w:val="none"/>
        </w:rPr>
        <w:t xml:space="preserve"> 2027 figures were not published in accessible source pages, the report labels them as directional or scenario-based instead of presenting unsupported estimates.[2][5]</w:t>
      </w:r>
      <w:r>
        <w:rPr>
          <w:rFonts w:ascii="Arial" w:hAnsi="Arial" w:eastAsia="Arial" w:cs="Arial"/>
          <w:sz w:val="20"/>
          <w:szCs w:val="20"/>
        </w:rPr>
      </w:r>
    </w:p>
    <w:p>
      <w:pPr>
        <w:pBdr/>
        <w:spacing/>
        <w:ind/>
        <w:rPr>
          <w:rFonts w:ascii="Arial" w:hAnsi="Arial" w:cs="Arial"/>
          <w:sz w:val="20"/>
          <w:szCs w:val="20"/>
        </w:rPr>
      </w:pPr>
      <w:r>
        <w:rPr>
          <w:rFonts w:ascii="Arial" w:hAnsi="Arial" w:eastAsia="Arial" w:cs="Arial"/>
          <w:sz w:val="20"/>
          <w:szCs w:val="20"/>
          <w:highlight w:val="none"/>
        </w:rPr>
      </w:r>
      <w:r>
        <w:rPr>
          <w:rFonts w:ascii="Arial" w:hAnsi="Arial" w:eastAsia="Arial" w:cs="Arial"/>
          <w:sz w:val="20"/>
          <w:szCs w:val="20"/>
        </w:rPr>
      </w:r>
    </w:p>
    <w:p>
      <w:pPr>
        <w:pBdr/>
        <w:spacing/>
        <w:ind/>
        <w:rPr>
          <w:rFonts w:ascii="Arial" w:hAnsi="Arial" w:cs="Arial"/>
          <w:sz w:val="20"/>
          <w:szCs w:val="20"/>
        </w:rPr>
      </w:pPr>
      <w:r>
        <w:rPr>
          <w:rFonts w:ascii="Arial" w:hAnsi="Arial" w:eastAsia="Arial" w:cs="Arial"/>
          <w:sz w:val="20"/>
          <w:szCs w:val="20"/>
          <w:highlight w:val="none"/>
        </w:rPr>
        <w:t xml:space="preserve">## What the sources signal</w:t>
      </w:r>
      <w:r>
        <w:rPr>
          <w:rFonts w:ascii="Arial" w:hAnsi="Arial" w:eastAsia="Arial" w:cs="Arial"/>
          <w:sz w:val="20"/>
          <w:szCs w:val="20"/>
        </w:rPr>
      </w:r>
    </w:p>
    <w:p>
      <w:pPr>
        <w:pBdr/>
        <w:spacing/>
        <w:ind/>
        <w:rPr>
          <w:rFonts w:ascii="Arial" w:hAnsi="Arial" w:cs="Arial"/>
          <w:sz w:val="20"/>
          <w:szCs w:val="20"/>
        </w:rPr>
      </w:pPr>
      <w:r>
        <w:rPr>
          <w:rFonts w:ascii="Arial" w:hAnsi="Arial" w:eastAsia="Arial" w:cs="Arial"/>
          <w:sz w:val="20"/>
          <w:szCs w:val="20"/>
          <w:highlight w:val="none"/>
        </w:rPr>
        <w:t xml:space="preserve">### Trendalytics</w:t>
      </w:r>
      <w:r>
        <w:rPr>
          <w:rFonts w:ascii="Arial" w:hAnsi="Arial" w:eastAsia="Arial" w:cs="Arial"/>
          <w:sz w:val="20"/>
          <w:szCs w:val="20"/>
        </w:rPr>
      </w:r>
    </w:p>
    <w:p>
      <w:pPr>
        <w:pBdr/>
        <w:spacing/>
        <w:ind/>
        <w:rPr>
          <w:rFonts w:ascii="Arial" w:hAnsi="Arial" w:cs="Arial"/>
          <w:sz w:val="20"/>
          <w:szCs w:val="20"/>
        </w:rPr>
      </w:pPr>
      <w:r>
        <w:rPr>
          <w:rFonts w:ascii="Arial" w:hAnsi="Arial" w:eastAsia="Arial" w:cs="Arial"/>
          <w:sz w:val="20"/>
          <w:szCs w:val="20"/>
          <w:highlight w:val="none"/>
        </w:rPr>
        <w:t xml:space="preserve">Trendalytics positions AI forecasting as a way to predict upcoming trends across fashion, beauty, retail, home décor, and lifestyle, with an emphasis on retail trend analysis, buying habits, and cultural or seasonal pattern detection for the 2025 to 2027 ho</w:t>
      </w:r>
      <w:r>
        <w:rPr>
          <w:rFonts w:ascii="Arial" w:hAnsi="Arial" w:eastAsia="Arial" w:cs="Arial"/>
          <w:sz w:val="20"/>
          <w:szCs w:val="20"/>
          <w:highlight w:val="none"/>
        </w:rPr>
        <w:t xml:space="preserve">rizon.[5][10] The strongest implication for 2027 is operational: assortments, campaign timing, and category bets are becoming more data-led and faster-cycle, which favors retailers that can turn trend signals into inventory and merchandising actions quickly</w:t>
      </w:r>
      <w:r>
        <w:rPr>
          <w:rFonts w:ascii="Arial" w:hAnsi="Arial" w:eastAsia="Arial" w:cs="Arial"/>
          <w:sz w:val="20"/>
          <w:szCs w:val="20"/>
          <w:highlight w:val="none"/>
        </w:rPr>
        <w:t xml:space="preserve">.[5][10]</w:t>
      </w:r>
      <w:r>
        <w:rPr>
          <w:rFonts w:ascii="Arial" w:hAnsi="Arial" w:eastAsia="Arial" w:cs="Arial"/>
          <w:sz w:val="20"/>
          <w:szCs w:val="20"/>
        </w:rPr>
      </w:r>
    </w:p>
    <w:p>
      <w:pPr>
        <w:pBdr/>
        <w:spacing/>
        <w:ind/>
        <w:rPr>
          <w:rFonts w:ascii="Arial" w:hAnsi="Arial" w:cs="Arial"/>
          <w:sz w:val="20"/>
          <w:szCs w:val="20"/>
        </w:rPr>
      </w:pPr>
      <w:r>
        <w:rPr>
          <w:rFonts w:ascii="Arial" w:hAnsi="Arial" w:eastAsia="Arial" w:cs="Arial"/>
          <w:sz w:val="20"/>
          <w:szCs w:val="20"/>
          <w:highlight w:val="none"/>
        </w:rPr>
      </w:r>
      <w:r>
        <w:rPr>
          <w:rFonts w:ascii="Arial" w:hAnsi="Arial" w:eastAsia="Arial" w:cs="Arial"/>
          <w:sz w:val="20"/>
          <w:szCs w:val="20"/>
        </w:rPr>
      </w:r>
    </w:p>
    <w:p>
      <w:pPr>
        <w:pBdr/>
        <w:spacing/>
        <w:ind/>
        <w:rPr>
          <w:rFonts w:ascii="Arial" w:hAnsi="Arial" w:cs="Arial"/>
          <w:sz w:val="20"/>
          <w:szCs w:val="20"/>
        </w:rPr>
      </w:pPr>
      <w:r>
        <w:rPr>
          <w:rFonts w:ascii="Arial" w:hAnsi="Arial" w:eastAsia="Arial" w:cs="Arial"/>
          <w:sz w:val="20"/>
          <w:szCs w:val="20"/>
          <w:highlight w:val="none"/>
        </w:rPr>
        <w:t xml:space="preserve">### WGSN and TrendCurve AI</w:t>
      </w:r>
      <w:r>
        <w:rPr>
          <w:rFonts w:ascii="Arial" w:hAnsi="Arial" w:eastAsia="Arial" w:cs="Arial"/>
          <w:sz w:val="20"/>
          <w:szCs w:val="20"/>
        </w:rPr>
      </w:r>
    </w:p>
    <w:p>
      <w:pPr>
        <w:pBdr/>
        <w:spacing/>
        <w:ind/>
        <w:rPr>
          <w:rFonts w:ascii="Arial" w:hAnsi="Arial" w:cs="Arial"/>
          <w:sz w:val="20"/>
          <w:szCs w:val="20"/>
        </w:rPr>
      </w:pPr>
      <w:r>
        <w:rPr>
          <w:rFonts w:ascii="Arial" w:hAnsi="Arial" w:eastAsia="Arial" w:cs="Arial"/>
          <w:sz w:val="20"/>
          <w:szCs w:val="20"/>
          <w:highlight w:val="none"/>
        </w:rPr>
        <w:t xml:space="preserve">WGSN says its TrendCurve AI model uses multiple data sources and deep machine-learning algorithms to generate projections across thousands of items, silhouettes, colors, prints, and design details.[6] In its Future Consumer 2027 work, WGSN argues that emoti</w:t>
      </w:r>
      <w:r>
        <w:rPr>
          <w:rFonts w:ascii="Arial" w:hAnsi="Arial" w:eastAsia="Arial" w:cs="Arial"/>
          <w:sz w:val="20"/>
          <w:szCs w:val="20"/>
          <w:highlight w:val="none"/>
        </w:rPr>
        <w:t xml:space="preserve">ons will be a core purchase driver and highlights themes such as deeper connection, relief from digital overload, coexistence of polarities, and play as a strategic pillar of well-being.[3][9][4]</w:t>
      </w:r>
      <w:r>
        <w:rPr>
          <w:rFonts w:ascii="Arial" w:hAnsi="Arial" w:eastAsia="Arial" w:cs="Arial"/>
          <w:sz w:val="20"/>
          <w:szCs w:val="20"/>
        </w:rPr>
      </w:r>
    </w:p>
    <w:p>
      <w:pPr>
        <w:pBdr/>
        <w:spacing/>
        <w:ind/>
        <w:rPr>
          <w:rFonts w:ascii="Arial" w:hAnsi="Arial" w:cs="Arial"/>
          <w:sz w:val="20"/>
          <w:szCs w:val="20"/>
        </w:rPr>
      </w:pPr>
      <w:r>
        <w:rPr>
          <w:rFonts w:ascii="Arial" w:hAnsi="Arial" w:eastAsia="Arial" w:cs="Arial"/>
          <w:sz w:val="20"/>
          <w:szCs w:val="20"/>
          <w:highlight w:val="none"/>
        </w:rPr>
      </w:r>
      <w:r>
        <w:rPr>
          <w:rFonts w:ascii="Arial" w:hAnsi="Arial" w:eastAsia="Arial" w:cs="Arial"/>
          <w:sz w:val="20"/>
          <w:szCs w:val="20"/>
        </w:rPr>
      </w:r>
    </w:p>
    <w:p>
      <w:pPr>
        <w:pBdr/>
        <w:spacing/>
        <w:ind/>
        <w:rPr>
          <w:rFonts w:ascii="Arial" w:hAnsi="Arial" w:cs="Arial"/>
          <w:sz w:val="20"/>
          <w:szCs w:val="20"/>
        </w:rPr>
      </w:pPr>
      <w:r>
        <w:rPr>
          <w:rFonts w:ascii="Arial" w:hAnsi="Arial" w:eastAsia="Arial" w:cs="Arial"/>
          <w:sz w:val="20"/>
          <w:szCs w:val="20"/>
          <w:highlight w:val="none"/>
        </w:rPr>
        <w:t xml:space="preserve">WGSN also cites concrete signals behind this framing: 54 percent of global consumers say they want a feeling of joy when shopping online, while a Harvard Business Review study cited by WGSN says fully connected customers are 52 percent more valuable.[3] NRF</w:t>
      </w:r>
      <w:r>
        <w:rPr>
          <w:rFonts w:ascii="Arial" w:hAnsi="Arial" w:eastAsia="Arial" w:cs="Arial"/>
          <w:sz w:val="20"/>
          <w:szCs w:val="20"/>
          <w:highlight w:val="none"/>
        </w:rPr>
        <w:t xml:space="preserve">’s coverage of WGSN futurist Cassandra Napoli adds that 82 percent of consumers want to learn more about AI, suggesting that AI adoption in commerce must be matched by education and transparency.[4]</w:t>
      </w:r>
      <w:r>
        <w:rPr>
          <w:rFonts w:ascii="Arial" w:hAnsi="Arial" w:eastAsia="Arial" w:cs="Arial"/>
          <w:sz w:val="20"/>
          <w:szCs w:val="20"/>
        </w:rPr>
      </w:r>
    </w:p>
    <w:p>
      <w:pPr>
        <w:pBdr/>
        <w:spacing/>
        <w:ind/>
        <w:rPr>
          <w:rFonts w:ascii="Arial" w:hAnsi="Arial" w:cs="Arial"/>
          <w:sz w:val="20"/>
          <w:szCs w:val="20"/>
        </w:rPr>
      </w:pPr>
      <w:r>
        <w:rPr>
          <w:rFonts w:ascii="Arial" w:hAnsi="Arial" w:eastAsia="Arial" w:cs="Arial"/>
          <w:sz w:val="20"/>
          <w:szCs w:val="20"/>
          <w:highlight w:val="none"/>
        </w:rPr>
      </w:r>
      <w:r>
        <w:rPr>
          <w:rFonts w:ascii="Arial" w:hAnsi="Arial" w:eastAsia="Arial" w:cs="Arial"/>
          <w:sz w:val="20"/>
          <w:szCs w:val="20"/>
        </w:rPr>
      </w:r>
    </w:p>
    <w:p>
      <w:pPr>
        <w:pBdr/>
        <w:spacing/>
        <w:ind/>
        <w:rPr>
          <w:rFonts w:ascii="Arial" w:hAnsi="Arial" w:cs="Arial"/>
          <w:sz w:val="20"/>
          <w:szCs w:val="20"/>
        </w:rPr>
      </w:pPr>
      <w:r>
        <w:rPr>
          <w:rFonts w:ascii="Arial" w:hAnsi="Arial" w:eastAsia="Arial" w:cs="Arial"/>
          <w:sz w:val="20"/>
          <w:szCs w:val="20"/>
          <w:highlight w:val="none"/>
        </w:rPr>
        <w:t xml:space="preserve">### McKinsey ConsumerWise</w:t>
      </w:r>
      <w:r>
        <w:rPr>
          <w:rFonts w:ascii="Arial" w:hAnsi="Arial" w:eastAsia="Arial" w:cs="Arial"/>
          <w:sz w:val="20"/>
          <w:szCs w:val="20"/>
        </w:rPr>
      </w:r>
    </w:p>
    <w:p>
      <w:pPr>
        <w:pBdr/>
        <w:spacing/>
        <w:ind/>
        <w:rPr>
          <w:rFonts w:ascii="Arial" w:hAnsi="Arial" w:cs="Arial"/>
          <w:sz w:val="20"/>
          <w:szCs w:val="20"/>
        </w:rPr>
      </w:pPr>
      <w:r>
        <w:rPr>
          <w:rFonts w:ascii="Arial" w:hAnsi="Arial" w:eastAsia="Arial" w:cs="Arial"/>
          <w:sz w:val="20"/>
          <w:szCs w:val="20"/>
          <w:highlight w:val="none"/>
        </w:rPr>
        <w:t xml:space="preserve">McKinsey’s ConsumerWise research points to a consumer who is still spending, but with sharper scrutiny on affordability and trade-offs.[1][11] In the US, 43 percent of consumers cite rising prices or inflation as their top concern and 29 percent cite tariff</w:t>
      </w:r>
      <w:r>
        <w:rPr>
          <w:rFonts w:ascii="Arial" w:hAnsi="Arial" w:eastAsia="Arial" w:cs="Arial"/>
          <w:sz w:val="20"/>
          <w:szCs w:val="20"/>
          <w:highlight w:val="none"/>
        </w:rPr>
        <w:t xml:space="preserve"> policies, indicating that value positioning will remain central to retail and food strategies going into 2027.[1][11]</w:t>
      </w:r>
      <w:r>
        <w:rPr>
          <w:rFonts w:ascii="Arial" w:hAnsi="Arial" w:eastAsia="Arial" w:cs="Arial"/>
          <w:sz w:val="20"/>
          <w:szCs w:val="20"/>
        </w:rPr>
      </w:r>
    </w:p>
    <w:p>
      <w:pPr>
        <w:pBdr/>
        <w:spacing/>
        <w:ind/>
        <w:rPr>
          <w:rFonts w:ascii="Arial" w:hAnsi="Arial" w:cs="Arial"/>
          <w:sz w:val="20"/>
          <w:szCs w:val="20"/>
        </w:rPr>
      </w:pPr>
      <w:r>
        <w:rPr>
          <w:rFonts w:ascii="Arial" w:hAnsi="Arial" w:eastAsia="Arial" w:cs="Arial"/>
          <w:sz w:val="20"/>
          <w:szCs w:val="20"/>
          <w:highlight w:val="none"/>
        </w:rPr>
      </w:r>
      <w:r>
        <w:rPr>
          <w:rFonts w:ascii="Arial" w:hAnsi="Arial" w:eastAsia="Arial" w:cs="Arial"/>
          <w:sz w:val="20"/>
          <w:szCs w:val="20"/>
        </w:rPr>
      </w:r>
    </w:p>
    <w:p>
      <w:pPr>
        <w:pBdr/>
        <w:spacing/>
        <w:ind/>
        <w:rPr>
          <w:rFonts w:ascii="Arial" w:hAnsi="Arial" w:cs="Arial"/>
          <w:sz w:val="20"/>
          <w:szCs w:val="20"/>
        </w:rPr>
      </w:pPr>
      <w:r>
        <w:rPr>
          <w:rFonts w:ascii="Arial" w:hAnsi="Arial" w:eastAsia="Arial" w:cs="Arial"/>
          <w:sz w:val="20"/>
          <w:szCs w:val="20"/>
          <w:highlight w:val="none"/>
        </w:rPr>
        <w:t xml:space="preserve">McKinsey’s category view also identifies beauty as a standout growth market: global beauty retail sales are projected to reach about $580 billion by 2027 at roughly 6 percent annual growth.[7][8] That is useful beyond beauty itself because it signals where </w:t>
      </w:r>
      <w:r>
        <w:rPr>
          <w:rFonts w:ascii="Arial" w:hAnsi="Arial" w:eastAsia="Arial" w:cs="Arial"/>
          <w:sz w:val="20"/>
          <w:szCs w:val="20"/>
          <w:highlight w:val="none"/>
        </w:rPr>
        <w:t xml:space="preserve">premiumization, wellness, self-care, and personalization can still outperform despite broader pressure on discretionary spending.[8][12]</w:t>
      </w:r>
      <w:r>
        <w:rPr>
          <w:rFonts w:ascii="Arial" w:hAnsi="Arial" w:eastAsia="Arial" w:cs="Arial"/>
          <w:sz w:val="20"/>
          <w:szCs w:val="20"/>
        </w:rPr>
      </w:r>
    </w:p>
    <w:p>
      <w:pPr>
        <w:pBdr/>
        <w:spacing/>
        <w:ind/>
        <w:rPr>
          <w:rFonts w:ascii="Arial" w:hAnsi="Arial" w:cs="Arial"/>
          <w:sz w:val="20"/>
          <w:szCs w:val="20"/>
        </w:rPr>
      </w:pPr>
      <w:r>
        <w:rPr>
          <w:rFonts w:ascii="Arial" w:hAnsi="Arial" w:eastAsia="Arial" w:cs="Arial"/>
          <w:sz w:val="20"/>
          <w:szCs w:val="20"/>
          <w:highlight w:val="none"/>
        </w:rPr>
      </w:r>
      <w:r>
        <w:rPr>
          <w:rFonts w:ascii="Arial" w:hAnsi="Arial" w:eastAsia="Arial" w:cs="Arial"/>
          <w:sz w:val="20"/>
          <w:szCs w:val="20"/>
        </w:rPr>
      </w:r>
    </w:p>
    <w:p>
      <w:pPr>
        <w:pBdr/>
        <w:spacing/>
        <w:ind/>
        <w:rPr>
          <w:rFonts w:ascii="Arial" w:hAnsi="Arial" w:cs="Arial"/>
          <w:sz w:val="20"/>
          <w:szCs w:val="20"/>
        </w:rPr>
      </w:pPr>
      <w:r>
        <w:rPr>
          <w:rFonts w:ascii="Arial" w:hAnsi="Arial" w:eastAsia="Arial" w:cs="Arial"/>
          <w:sz w:val="20"/>
          <w:szCs w:val="20"/>
          <w:highlight w:val="none"/>
        </w:rPr>
        <w:t xml:space="preserve">### NRF</w:t>
      </w:r>
      <w:r>
        <w:rPr>
          <w:rFonts w:ascii="Arial" w:hAnsi="Arial" w:eastAsia="Arial" w:cs="Arial"/>
          <w:sz w:val="20"/>
          <w:szCs w:val="20"/>
        </w:rPr>
      </w:r>
    </w:p>
    <w:p>
      <w:pPr>
        <w:pBdr/>
        <w:spacing/>
        <w:ind/>
        <w:rPr>
          <w:rFonts w:ascii="Arial" w:hAnsi="Arial" w:cs="Arial"/>
          <w:sz w:val="20"/>
          <w:szCs w:val="20"/>
        </w:rPr>
      </w:pPr>
      <w:r>
        <w:rPr>
          <w:rFonts w:ascii="Arial" w:hAnsi="Arial" w:eastAsia="Arial" w:cs="Arial"/>
          <w:sz w:val="20"/>
          <w:szCs w:val="20"/>
          <w:highlight w:val="none"/>
        </w:rPr>
        <w:t xml:space="preserve">NRF’s public material provides a retail operating lens rather than long-range category forecasting.[2][13][4] Its 2027-oriented coverage emphasizes community, human connection, responsible AI, digital decluttering, customer-service resilience, and playful o</w:t>
      </w:r>
      <w:r>
        <w:rPr>
          <w:rFonts w:ascii="Arial" w:hAnsi="Arial" w:eastAsia="Arial" w:cs="Arial"/>
          <w:sz w:val="20"/>
          <w:szCs w:val="20"/>
          <w:highlight w:val="none"/>
        </w:rPr>
        <w:t xml:space="preserve">r gamified experiences as emerging expectations for retail brands.[4]</w:t>
      </w:r>
      <w:r>
        <w:rPr>
          <w:rFonts w:ascii="Arial" w:hAnsi="Arial" w:eastAsia="Arial" w:cs="Arial"/>
          <w:sz w:val="20"/>
          <w:szCs w:val="20"/>
        </w:rPr>
      </w:r>
    </w:p>
    <w:p>
      <w:pPr>
        <w:pBdr/>
        <w:spacing/>
        <w:ind/>
        <w:rPr>
          <w:rFonts w:ascii="Arial" w:hAnsi="Arial" w:cs="Arial"/>
          <w:sz w:val="20"/>
          <w:szCs w:val="20"/>
        </w:rPr>
      </w:pPr>
      <w:r>
        <w:rPr>
          <w:rFonts w:ascii="Arial" w:hAnsi="Arial" w:eastAsia="Arial" w:cs="Arial"/>
          <w:sz w:val="20"/>
          <w:szCs w:val="20"/>
          <w:highlight w:val="none"/>
        </w:rPr>
      </w:r>
      <w:r>
        <w:rPr>
          <w:rFonts w:ascii="Arial" w:hAnsi="Arial" w:eastAsia="Arial" w:cs="Arial"/>
          <w:sz w:val="20"/>
          <w:szCs w:val="20"/>
        </w:rPr>
      </w:r>
    </w:p>
    <w:p>
      <w:pPr>
        <w:pBdr/>
        <w:spacing/>
        <w:ind/>
        <w:rPr>
          <w:rFonts w:ascii="Arial" w:hAnsi="Arial" w:cs="Arial"/>
          <w:sz w:val="20"/>
          <w:szCs w:val="20"/>
        </w:rPr>
      </w:pPr>
      <w:r>
        <w:rPr>
          <w:rFonts w:ascii="Arial" w:hAnsi="Arial" w:eastAsia="Arial" w:cs="Arial"/>
          <w:sz w:val="20"/>
          <w:szCs w:val="20"/>
          <w:highlight w:val="none"/>
        </w:rPr>
        <w:t xml:space="preserve">## Key metrics</w:t>
      </w:r>
      <w:r>
        <w:rPr>
          <w:rFonts w:ascii="Arial" w:hAnsi="Arial" w:eastAsia="Arial" w:cs="Arial"/>
          <w:sz w:val="20"/>
          <w:szCs w:val="20"/>
        </w:rPr>
      </w:r>
    </w:p>
    <w:p>
      <w:pPr>
        <w:pBdr/>
        <w:spacing/>
        <w:ind/>
        <w:rPr>
          <w:rFonts w:ascii="Arial" w:hAnsi="Arial" w:cs="Arial"/>
          <w:sz w:val="20"/>
          <w:szCs w:val="20"/>
        </w:rPr>
      </w:pPr>
      <w:r>
        <w:rPr>
          <w:rFonts w:ascii="Arial" w:hAnsi="Arial" w:eastAsia="Arial" w:cs="Arial"/>
          <w:sz w:val="20"/>
          <w:szCs w:val="20"/>
          <w:highlight w:val="none"/>
        </w:rPr>
        <w:t xml:space="preserve">| Metric | Figure | Relevance for 2027 planning |</w:t>
      </w:r>
      <w:r>
        <w:rPr>
          <w:rFonts w:ascii="Arial" w:hAnsi="Arial" w:eastAsia="Arial" w:cs="Arial"/>
          <w:sz w:val="20"/>
          <w:szCs w:val="20"/>
        </w:rPr>
      </w:r>
    </w:p>
    <w:p>
      <w:pPr>
        <w:pBdr/>
        <w:spacing/>
        <w:ind/>
        <w:rPr>
          <w:rFonts w:ascii="Arial" w:hAnsi="Arial" w:cs="Arial"/>
          <w:sz w:val="20"/>
          <w:szCs w:val="20"/>
        </w:rPr>
      </w:pPr>
      <w:r>
        <w:rPr>
          <w:rFonts w:ascii="Arial" w:hAnsi="Arial" w:eastAsia="Arial" w:cs="Arial"/>
          <w:sz w:val="20"/>
          <w:szCs w:val="20"/>
          <w:highlight w:val="none"/>
        </w:rPr>
        <w:t xml:space="preserve">|---|---:|---|</w:t>
      </w:r>
      <w:r>
        <w:rPr>
          <w:rFonts w:ascii="Arial" w:hAnsi="Arial" w:eastAsia="Arial" w:cs="Arial"/>
          <w:sz w:val="20"/>
          <w:szCs w:val="20"/>
        </w:rPr>
      </w:r>
    </w:p>
    <w:p>
      <w:pPr>
        <w:pBdr/>
        <w:spacing/>
        <w:ind/>
        <w:rPr>
          <w:rFonts w:ascii="Arial" w:hAnsi="Arial" w:cs="Arial"/>
          <w:sz w:val="20"/>
          <w:szCs w:val="20"/>
        </w:rPr>
      </w:pPr>
      <w:r>
        <w:rPr>
          <w:rFonts w:ascii="Arial" w:hAnsi="Arial" w:eastAsia="Arial" w:cs="Arial"/>
          <w:sz w:val="20"/>
          <w:szCs w:val="20"/>
          <w:highlight w:val="none"/>
        </w:rPr>
        <w:t xml:space="preserve">| Global beauty market retail sales by 2027 | Approximately $580B [7][8] | Indicates continued headroom for beauty, wellness, and premium self-care |</w:t>
      </w:r>
      <w:r>
        <w:rPr>
          <w:rFonts w:ascii="Arial" w:hAnsi="Arial" w:eastAsia="Arial" w:cs="Arial"/>
          <w:sz w:val="20"/>
          <w:szCs w:val="20"/>
        </w:rPr>
      </w:r>
    </w:p>
    <w:p>
      <w:pPr>
        <w:pBdr/>
        <w:spacing/>
        <w:ind/>
        <w:rPr>
          <w:rFonts w:ascii="Arial" w:hAnsi="Arial" w:cs="Arial"/>
          <w:sz w:val="20"/>
          <w:szCs w:val="20"/>
        </w:rPr>
      </w:pPr>
      <w:r>
        <w:rPr>
          <w:rFonts w:ascii="Arial" w:hAnsi="Arial" w:eastAsia="Arial" w:cs="Arial"/>
          <w:sz w:val="20"/>
          <w:szCs w:val="20"/>
          <w:highlight w:val="none"/>
        </w:rPr>
        <w:t xml:space="preserve">| Beauty market annual growth | Approximately 6% [7][8] | Suggests resilient consumer appetite in selective discretionary categories |</w:t>
      </w:r>
      <w:r>
        <w:rPr>
          <w:rFonts w:ascii="Arial" w:hAnsi="Arial" w:eastAsia="Arial" w:cs="Arial"/>
          <w:sz w:val="20"/>
          <w:szCs w:val="20"/>
        </w:rPr>
      </w:r>
    </w:p>
    <w:p>
      <w:pPr>
        <w:pBdr/>
        <w:spacing/>
        <w:ind/>
        <w:rPr>
          <w:rFonts w:ascii="Arial" w:hAnsi="Arial" w:cs="Arial"/>
          <w:sz w:val="20"/>
          <w:szCs w:val="20"/>
        </w:rPr>
      </w:pPr>
      <w:r>
        <w:rPr>
          <w:rFonts w:ascii="Arial" w:hAnsi="Arial" w:eastAsia="Arial" w:cs="Arial"/>
          <w:sz w:val="20"/>
          <w:szCs w:val="20"/>
          <w:highlight w:val="none"/>
        </w:rPr>
        <w:t xml:space="preserve">| US retail sales in 2026 | $5.6T [2] | Baseline for sizing 2027 US retail scenarios |</w:t>
      </w:r>
      <w:r>
        <w:rPr>
          <w:rFonts w:ascii="Arial" w:hAnsi="Arial" w:eastAsia="Arial" w:cs="Arial"/>
          <w:sz w:val="20"/>
          <w:szCs w:val="20"/>
        </w:rPr>
      </w:r>
    </w:p>
    <w:p>
      <w:pPr>
        <w:pBdr/>
        <w:spacing/>
        <w:ind/>
        <w:rPr>
          <w:rFonts w:ascii="Arial" w:hAnsi="Arial" w:cs="Arial"/>
          <w:sz w:val="20"/>
          <w:szCs w:val="20"/>
        </w:rPr>
      </w:pPr>
      <w:r>
        <w:rPr>
          <w:rFonts w:ascii="Arial" w:hAnsi="Arial" w:eastAsia="Arial" w:cs="Arial"/>
          <w:sz w:val="20"/>
          <w:szCs w:val="20"/>
          <w:highlight w:val="none"/>
        </w:rPr>
        <w:t xml:space="preserve">| US retail sales growth in 2026 | 4.4% [2] | Signals moderate expansion despite macro uncertainty |</w:t>
      </w:r>
      <w:r>
        <w:rPr>
          <w:rFonts w:ascii="Arial" w:hAnsi="Arial" w:eastAsia="Arial" w:cs="Arial"/>
          <w:sz w:val="20"/>
          <w:szCs w:val="20"/>
        </w:rPr>
      </w:r>
    </w:p>
    <w:p>
      <w:pPr>
        <w:pBdr/>
        <w:spacing/>
        <w:ind/>
        <w:rPr>
          <w:rFonts w:ascii="Arial" w:hAnsi="Arial" w:cs="Arial"/>
          <w:sz w:val="20"/>
          <w:szCs w:val="20"/>
        </w:rPr>
      </w:pPr>
      <w:r>
        <w:rPr>
          <w:rFonts w:ascii="Arial" w:hAnsi="Arial" w:eastAsia="Arial" w:cs="Arial"/>
          <w:sz w:val="20"/>
          <w:szCs w:val="20"/>
          <w:highlight w:val="none"/>
        </w:rPr>
        <w:t xml:space="preserve">| US consumers citing inflation as top concern | 43% [1][11] | Supports value-led pricing, promotions, and pack architecture |</w:t>
      </w:r>
      <w:r>
        <w:rPr>
          <w:rFonts w:ascii="Arial" w:hAnsi="Arial" w:eastAsia="Arial" w:cs="Arial"/>
          <w:sz w:val="20"/>
          <w:szCs w:val="20"/>
        </w:rPr>
      </w:r>
    </w:p>
    <w:p>
      <w:pPr>
        <w:pBdr/>
        <w:spacing/>
        <w:ind/>
        <w:rPr>
          <w:rFonts w:ascii="Arial" w:hAnsi="Arial" w:cs="Arial"/>
          <w:sz w:val="20"/>
          <w:szCs w:val="20"/>
        </w:rPr>
      </w:pPr>
      <w:r>
        <w:rPr>
          <w:rFonts w:ascii="Arial" w:hAnsi="Arial" w:eastAsia="Arial" w:cs="Arial"/>
          <w:sz w:val="20"/>
          <w:szCs w:val="20"/>
          <w:highlight w:val="none"/>
        </w:rPr>
        <w:t xml:space="preserve">| US consumers citing tariffs as top concern | 29% [1][11] | Raises sourcing and price-pass-through risk |</w:t>
      </w:r>
      <w:r>
        <w:rPr>
          <w:rFonts w:ascii="Arial" w:hAnsi="Arial" w:eastAsia="Arial" w:cs="Arial"/>
          <w:sz w:val="20"/>
          <w:szCs w:val="20"/>
        </w:rPr>
      </w:r>
    </w:p>
    <w:p>
      <w:pPr>
        <w:pBdr/>
        <w:spacing/>
        <w:ind/>
        <w:rPr>
          <w:rFonts w:ascii="Arial" w:hAnsi="Arial" w:cs="Arial"/>
          <w:sz w:val="20"/>
          <w:szCs w:val="20"/>
        </w:rPr>
      </w:pPr>
      <w:r>
        <w:rPr>
          <w:rFonts w:ascii="Arial" w:hAnsi="Arial" w:eastAsia="Arial" w:cs="Arial"/>
          <w:sz w:val="20"/>
          <w:szCs w:val="20"/>
          <w:highlight w:val="none"/>
        </w:rPr>
        <w:t xml:space="preserve">| Consumers wanting to learn more about AI | 82% [4] | Favors transparent AI shopping assistants and explainable personalization |</w:t>
      </w:r>
      <w:r>
        <w:rPr>
          <w:rFonts w:ascii="Arial" w:hAnsi="Arial" w:eastAsia="Arial" w:cs="Arial"/>
          <w:sz w:val="20"/>
          <w:szCs w:val="20"/>
        </w:rPr>
      </w:r>
    </w:p>
    <w:p>
      <w:pPr>
        <w:pBdr/>
        <w:spacing/>
        <w:ind/>
        <w:rPr>
          <w:rFonts w:ascii="Arial" w:hAnsi="Arial" w:cs="Arial"/>
          <w:sz w:val="20"/>
          <w:szCs w:val="20"/>
        </w:rPr>
      </w:pPr>
      <w:r>
        <w:rPr>
          <w:rFonts w:ascii="Arial" w:hAnsi="Arial" w:eastAsia="Arial" w:cs="Arial"/>
          <w:sz w:val="20"/>
          <w:szCs w:val="20"/>
          <w:highlight w:val="none"/>
        </w:rPr>
        <w:t xml:space="preserve">| Consumers wanting joy in online shopping | 54% [3] | Supports playful UX, discovery, and emotionally resonant digital retail |</w:t>
      </w:r>
      <w:r>
        <w:rPr>
          <w:rFonts w:ascii="Arial" w:hAnsi="Arial" w:eastAsia="Arial" w:cs="Arial"/>
          <w:sz w:val="20"/>
          <w:szCs w:val="20"/>
        </w:rPr>
      </w:r>
    </w:p>
    <w:p>
      <w:pPr>
        <w:pBdr/>
        <w:spacing/>
        <w:ind/>
        <w:rPr>
          <w:rFonts w:ascii="Arial" w:hAnsi="Arial" w:cs="Arial"/>
          <w:sz w:val="20"/>
          <w:szCs w:val="20"/>
        </w:rPr>
      </w:pPr>
      <w:r>
        <w:rPr>
          <w:rFonts w:ascii="Arial" w:hAnsi="Arial" w:eastAsia="Arial" w:cs="Arial"/>
          <w:sz w:val="20"/>
          <w:szCs w:val="20"/>
          <w:highlight w:val="none"/>
        </w:rPr>
        <w:t xml:space="preserve">| Fully connected customers more valuable | 52% more valuable [3] | Justifies community-building and loyalty ecosystems |</w:t>
      </w:r>
      <w:r>
        <w:rPr>
          <w:rFonts w:ascii="Arial" w:hAnsi="Arial" w:eastAsia="Arial" w:cs="Arial"/>
          <w:sz w:val="20"/>
          <w:szCs w:val="20"/>
        </w:rPr>
      </w:r>
    </w:p>
    <w:p>
      <w:pPr>
        <w:pBdr/>
        <w:spacing/>
        <w:ind/>
        <w:rPr>
          <w:rFonts w:ascii="Arial" w:hAnsi="Arial" w:cs="Arial"/>
          <w:sz w:val="20"/>
          <w:szCs w:val="20"/>
        </w:rPr>
      </w:pPr>
      <w:r>
        <w:rPr>
          <w:rFonts w:ascii="Arial" w:hAnsi="Arial" w:eastAsia="Arial" w:cs="Arial"/>
          <w:sz w:val="20"/>
          <w:szCs w:val="20"/>
          <w:highlight w:val="none"/>
        </w:rPr>
        <w:t xml:space="preserve">| Zalphas prioritizing spending time with friends | 66% [4] | Suggests social and group-oriented retail experiences |</w:t>
      </w:r>
      <w:r>
        <w:rPr>
          <w:rFonts w:ascii="Arial" w:hAnsi="Arial" w:eastAsia="Arial" w:cs="Arial"/>
          <w:sz w:val="20"/>
          <w:szCs w:val="20"/>
        </w:rPr>
      </w:r>
    </w:p>
    <w:p>
      <w:pPr>
        <w:pBdr/>
        <w:spacing/>
        <w:ind/>
        <w:rPr>
          <w:rFonts w:ascii="Arial" w:hAnsi="Arial" w:cs="Arial"/>
          <w:sz w:val="20"/>
          <w:szCs w:val="20"/>
        </w:rPr>
      </w:pPr>
      <w:r>
        <w:rPr>
          <w:rFonts w:ascii="Arial" w:hAnsi="Arial" w:eastAsia="Arial" w:cs="Arial"/>
          <w:sz w:val="20"/>
          <w:szCs w:val="20"/>
          <w:highlight w:val="none"/>
        </w:rPr>
      </w:r>
      <w:r>
        <w:rPr>
          <w:rFonts w:ascii="Arial" w:hAnsi="Arial" w:eastAsia="Arial" w:cs="Arial"/>
          <w:sz w:val="20"/>
          <w:szCs w:val="20"/>
        </w:rPr>
      </w:r>
    </w:p>
    <w:p>
      <w:pPr>
        <w:pBdr/>
        <w:spacing/>
        <w:ind/>
        <w:rPr>
          <w:rFonts w:ascii="Arial" w:hAnsi="Arial" w:cs="Arial"/>
          <w:sz w:val="20"/>
          <w:szCs w:val="20"/>
        </w:rPr>
      </w:pPr>
      <w:r>
        <w:rPr>
          <w:rFonts w:ascii="Arial" w:hAnsi="Arial" w:eastAsia="Arial" w:cs="Arial"/>
          <w:sz w:val="20"/>
          <w:szCs w:val="20"/>
          <w:highlight w:val="none"/>
        </w:rPr>
        <w:t xml:space="preserve">## Trend comparison</w:t>
      </w:r>
      <w:r>
        <w:rPr>
          <w:rFonts w:ascii="Arial" w:hAnsi="Arial" w:eastAsia="Arial" w:cs="Arial"/>
          <w:sz w:val="20"/>
          <w:szCs w:val="20"/>
        </w:rPr>
      </w:r>
    </w:p>
    <w:p>
      <w:pPr>
        <w:pBdr/>
        <w:spacing/>
        <w:ind/>
        <w:rPr>
          <w:rFonts w:ascii="Arial" w:hAnsi="Arial" w:cs="Arial"/>
          <w:sz w:val="20"/>
          <w:szCs w:val="20"/>
        </w:rPr>
      </w:pPr>
      <w:r>
        <w:rPr>
          <w:rFonts w:ascii="Arial" w:hAnsi="Arial" w:eastAsia="Arial" w:cs="Arial"/>
          <w:sz w:val="20"/>
          <w:szCs w:val="20"/>
          <w:highlight w:val="none"/>
        </w:rPr>
        <w:t xml:space="preserve">| Theme | USA outlook | EU outlook | Evidence base |</w:t>
      </w:r>
      <w:r>
        <w:rPr>
          <w:rFonts w:ascii="Arial" w:hAnsi="Arial" w:eastAsia="Arial" w:cs="Arial"/>
          <w:sz w:val="20"/>
          <w:szCs w:val="20"/>
        </w:rPr>
      </w:r>
    </w:p>
    <w:p>
      <w:pPr>
        <w:pBdr/>
        <w:spacing/>
        <w:ind/>
        <w:rPr>
          <w:rFonts w:ascii="Arial" w:hAnsi="Arial" w:cs="Arial"/>
          <w:sz w:val="20"/>
          <w:szCs w:val="20"/>
        </w:rPr>
      </w:pPr>
      <w:r>
        <w:rPr>
          <w:rFonts w:ascii="Arial" w:hAnsi="Arial" w:eastAsia="Arial" w:cs="Arial"/>
          <w:sz w:val="20"/>
          <w:szCs w:val="20"/>
          <w:highlight w:val="none"/>
        </w:rPr>
        <w:t xml:space="preserve">|---|---|---|---|</w:t>
      </w:r>
      <w:r>
        <w:rPr>
          <w:rFonts w:ascii="Arial" w:hAnsi="Arial" w:eastAsia="Arial" w:cs="Arial"/>
          <w:sz w:val="20"/>
          <w:szCs w:val="20"/>
        </w:rPr>
      </w:r>
    </w:p>
    <w:p>
      <w:pPr>
        <w:pBdr/>
        <w:spacing/>
        <w:ind/>
        <w:rPr>
          <w:rFonts w:ascii="Arial" w:hAnsi="Arial" w:cs="Arial"/>
          <w:sz w:val="20"/>
          <w:szCs w:val="20"/>
        </w:rPr>
      </w:pPr>
      <w:r>
        <w:rPr>
          <w:rFonts w:ascii="Arial" w:hAnsi="Arial" w:eastAsia="Arial" w:cs="Arial"/>
          <w:sz w:val="20"/>
          <w:szCs w:val="20"/>
          <w:highlight w:val="none"/>
        </w:rPr>
        <w:t xml:space="preserve">| AI shopping and personalization | Strong adoption potential, but trust and explanation matter because consumers want to understand AI better.[4] | Likely strong demand in digitally mature markets, with greater emphasis on trust, transparency, and human ov</w:t>
      </w:r>
      <w:r>
        <w:rPr>
          <w:rFonts w:ascii="Arial" w:hAnsi="Arial" w:eastAsia="Arial" w:cs="Arial"/>
          <w:sz w:val="20"/>
          <w:szCs w:val="20"/>
          <w:highlight w:val="none"/>
        </w:rPr>
        <w:t xml:space="preserve">ersight as a strategic requirement.[3][9] | WGSN, NRF |</w:t>
      </w:r>
      <w:r>
        <w:rPr>
          <w:rFonts w:ascii="Arial" w:hAnsi="Arial" w:eastAsia="Arial" w:cs="Arial"/>
          <w:sz w:val="20"/>
          <w:szCs w:val="20"/>
        </w:rPr>
      </w:r>
    </w:p>
    <w:p>
      <w:pPr>
        <w:pBdr/>
        <w:spacing/>
        <w:ind/>
        <w:rPr>
          <w:rFonts w:ascii="Arial" w:hAnsi="Arial" w:cs="Arial"/>
          <w:sz w:val="20"/>
          <w:szCs w:val="20"/>
        </w:rPr>
      </w:pPr>
      <w:r>
        <w:rPr>
          <w:rFonts w:ascii="Arial" w:hAnsi="Arial" w:eastAsia="Arial" w:cs="Arial"/>
          <w:sz w:val="20"/>
          <w:szCs w:val="20"/>
          <w:highlight w:val="none"/>
        </w:rPr>
        <w:t xml:space="preserve">| Value sensitivity | Inflation and tariffs are already reshaping US spending choices and promotional behavior.[1][11] | Similar value-seeking logic likely applies across Europe where consumers also face cost pressure, though the retrieved pages provide few</w:t>
      </w:r>
      <w:r>
        <w:rPr>
          <w:rFonts w:ascii="Arial" w:hAnsi="Arial" w:eastAsia="Arial" w:cs="Arial"/>
          <w:sz w:val="20"/>
          <w:szCs w:val="20"/>
          <w:highlight w:val="none"/>
        </w:rPr>
        <w:t xml:space="preserve">er public EU-specific figures.[3][9] | McKinsey, WGSN |</w:t>
      </w:r>
      <w:r>
        <w:rPr>
          <w:rFonts w:ascii="Arial" w:hAnsi="Arial" w:eastAsia="Arial" w:cs="Arial"/>
          <w:sz w:val="20"/>
          <w:szCs w:val="20"/>
        </w:rPr>
      </w:r>
    </w:p>
    <w:p>
      <w:pPr>
        <w:pBdr/>
        <w:spacing/>
        <w:ind/>
        <w:rPr>
          <w:rFonts w:ascii="Arial" w:hAnsi="Arial" w:cs="Arial"/>
          <w:sz w:val="20"/>
          <w:szCs w:val="20"/>
        </w:rPr>
      </w:pPr>
      <w:r>
        <w:rPr>
          <w:rFonts w:ascii="Arial" w:hAnsi="Arial" w:eastAsia="Arial" w:cs="Arial"/>
          <w:sz w:val="20"/>
          <w:szCs w:val="20"/>
          <w:highlight w:val="none"/>
        </w:rPr>
        <w:t xml:space="preserve">| Emotional retail | Joy, play, and connection are becoming commercial levers rather than soft branding ideas.[3][4] | Emotional resonance and community formats appear equally relevant, especially where online and offline channels are blending.[3][9] | WGSN</w:t>
      </w:r>
      <w:r>
        <w:rPr>
          <w:rFonts w:ascii="Arial" w:hAnsi="Arial" w:eastAsia="Arial" w:cs="Arial"/>
          <w:sz w:val="20"/>
          <w:szCs w:val="20"/>
          <w:highlight w:val="none"/>
        </w:rPr>
        <w:t xml:space="preserve">, NRF |</w:t>
      </w:r>
      <w:r>
        <w:rPr>
          <w:rFonts w:ascii="Arial" w:hAnsi="Arial" w:eastAsia="Arial" w:cs="Arial"/>
          <w:sz w:val="20"/>
          <w:szCs w:val="20"/>
        </w:rPr>
      </w:r>
    </w:p>
    <w:p>
      <w:pPr>
        <w:pBdr/>
        <w:spacing/>
        <w:ind/>
        <w:rPr>
          <w:rFonts w:ascii="Arial" w:hAnsi="Arial" w:cs="Arial"/>
          <w:sz w:val="20"/>
          <w:szCs w:val="20"/>
        </w:rPr>
      </w:pPr>
      <w:r>
        <w:rPr>
          <w:rFonts w:ascii="Arial" w:hAnsi="Arial" w:eastAsia="Arial" w:cs="Arial"/>
          <w:sz w:val="20"/>
          <w:szCs w:val="20"/>
          <w:highlight w:val="none"/>
        </w:rPr>
        <w:t xml:space="preserve">| Food and grocery shopping | Automation, predictive ordering, self-checkout, and hybrid shopping are accelerating.[14] | Similar omnichannel grocery patterns are plausible in Europe, especially in convenience-led urban markets, though this source is direct</w:t>
      </w:r>
      <w:r>
        <w:rPr>
          <w:rFonts w:ascii="Arial" w:hAnsi="Arial" w:eastAsia="Arial" w:cs="Arial"/>
          <w:sz w:val="20"/>
          <w:szCs w:val="20"/>
          <w:highlight w:val="none"/>
        </w:rPr>
        <w:t xml:space="preserve">ional rather than one of the core named providers.[14] | Supplemental directional source |</w:t>
      </w:r>
      <w:r>
        <w:rPr>
          <w:rFonts w:ascii="Arial" w:hAnsi="Arial" w:eastAsia="Arial" w:cs="Arial"/>
          <w:sz w:val="20"/>
          <w:szCs w:val="20"/>
        </w:rPr>
      </w:r>
    </w:p>
    <w:p>
      <w:pPr>
        <w:pBdr/>
        <w:spacing/>
        <w:ind/>
        <w:rPr>
          <w:rFonts w:ascii="Arial" w:hAnsi="Arial" w:cs="Arial"/>
          <w:sz w:val="20"/>
          <w:szCs w:val="20"/>
        </w:rPr>
      </w:pPr>
      <w:r>
        <w:rPr>
          <w:rFonts w:ascii="Arial" w:hAnsi="Arial" w:eastAsia="Arial" w:cs="Arial"/>
          <w:sz w:val="20"/>
          <w:szCs w:val="20"/>
          <w:highlight w:val="none"/>
        </w:rPr>
        <w:t xml:space="preserve">| Premiumization | Selective premium categories such as beauty can still grow even under tighter budgets.[7][8] | Likely to hold where wellness, efficacy, and self-care justify spend, but assortment discipline matters.[7][8] | McKinsey |</w:t>
      </w:r>
      <w:r>
        <w:rPr>
          <w:rFonts w:ascii="Arial" w:hAnsi="Arial" w:eastAsia="Arial" w:cs="Arial"/>
          <w:sz w:val="20"/>
          <w:szCs w:val="20"/>
        </w:rPr>
      </w:r>
    </w:p>
    <w:p>
      <w:pPr>
        <w:pBdr/>
        <w:spacing/>
        <w:ind/>
        <w:rPr>
          <w:rFonts w:ascii="Arial" w:hAnsi="Arial" w:cs="Arial"/>
          <w:sz w:val="20"/>
          <w:szCs w:val="20"/>
        </w:rPr>
      </w:pPr>
      <w:r>
        <w:rPr>
          <w:rFonts w:ascii="Arial" w:hAnsi="Arial" w:eastAsia="Arial" w:cs="Arial"/>
          <w:sz w:val="20"/>
          <w:szCs w:val="20"/>
          <w:highlight w:val="none"/>
        </w:rPr>
      </w:r>
      <w:r>
        <w:rPr>
          <w:rFonts w:ascii="Arial" w:hAnsi="Arial" w:eastAsia="Arial" w:cs="Arial"/>
          <w:sz w:val="20"/>
          <w:szCs w:val="20"/>
        </w:rPr>
      </w:r>
    </w:p>
    <w:p>
      <w:pPr>
        <w:pBdr/>
        <w:spacing/>
        <w:ind/>
        <w:rPr>
          <w:rFonts w:ascii="Arial" w:hAnsi="Arial" w:cs="Arial"/>
          <w:sz w:val="20"/>
          <w:szCs w:val="20"/>
        </w:rPr>
      </w:pPr>
      <w:r>
        <w:rPr>
          <w:rFonts w:ascii="Arial" w:hAnsi="Arial" w:eastAsia="Arial" w:cs="Arial"/>
          <w:sz w:val="20"/>
          <w:szCs w:val="20"/>
          <w:highlight w:val="none"/>
        </w:rPr>
        <w:t xml:space="preserve">## Retail and shopping trends for 2027</w:t>
      </w:r>
      <w:r>
        <w:rPr>
          <w:rFonts w:ascii="Arial" w:hAnsi="Arial" w:eastAsia="Arial" w:cs="Arial"/>
          <w:sz w:val="20"/>
          <w:szCs w:val="20"/>
        </w:rPr>
      </w:r>
    </w:p>
    <w:p>
      <w:pPr>
        <w:pBdr/>
        <w:spacing/>
        <w:ind/>
        <w:rPr>
          <w:rFonts w:ascii="Arial" w:hAnsi="Arial" w:cs="Arial"/>
          <w:sz w:val="20"/>
          <w:szCs w:val="20"/>
        </w:rPr>
      </w:pPr>
      <w:r>
        <w:rPr>
          <w:rFonts w:ascii="Arial" w:hAnsi="Arial" w:eastAsia="Arial" w:cs="Arial"/>
          <w:sz w:val="20"/>
          <w:szCs w:val="20"/>
          <w:highlight w:val="none"/>
        </w:rPr>
        <w:t xml:space="preserve">The clearest cross-source retail trend is AI-supported commerce, from product forecasting and merchandising decisions to customer-facing personalization.[5][6][4] By 2027, AI is likely to be less of a novelty layer and more of a core retail operating system</w:t>
      </w:r>
      <w:r>
        <w:rPr>
          <w:rFonts w:ascii="Arial" w:hAnsi="Arial" w:eastAsia="Arial" w:cs="Arial"/>
          <w:sz w:val="20"/>
          <w:szCs w:val="20"/>
          <w:highlight w:val="none"/>
        </w:rPr>
        <w:t xml:space="preserve">, but brands that do not explain how AI is used may face trust friction even if the functionality is useful.[4][3]</w:t>
      </w:r>
      <w:r>
        <w:rPr>
          <w:rFonts w:ascii="Arial" w:hAnsi="Arial" w:eastAsia="Arial" w:cs="Arial"/>
          <w:sz w:val="20"/>
          <w:szCs w:val="20"/>
        </w:rPr>
      </w:r>
    </w:p>
    <w:p>
      <w:pPr>
        <w:pBdr/>
        <w:spacing/>
        <w:ind/>
        <w:rPr>
          <w:rFonts w:ascii="Arial" w:hAnsi="Arial" w:cs="Arial"/>
          <w:sz w:val="20"/>
          <w:szCs w:val="20"/>
        </w:rPr>
      </w:pPr>
      <w:r>
        <w:rPr>
          <w:rFonts w:ascii="Arial" w:hAnsi="Arial" w:eastAsia="Arial" w:cs="Arial"/>
          <w:sz w:val="20"/>
          <w:szCs w:val="20"/>
          <w:highlight w:val="none"/>
        </w:rPr>
      </w:r>
      <w:r>
        <w:rPr>
          <w:rFonts w:ascii="Arial" w:hAnsi="Arial" w:eastAsia="Arial" w:cs="Arial"/>
          <w:sz w:val="20"/>
          <w:szCs w:val="20"/>
        </w:rPr>
      </w:r>
    </w:p>
    <w:p>
      <w:pPr>
        <w:pBdr/>
        <w:spacing/>
        <w:ind/>
        <w:rPr>
          <w:rFonts w:ascii="Arial" w:hAnsi="Arial" w:cs="Arial"/>
          <w:sz w:val="20"/>
          <w:szCs w:val="20"/>
        </w:rPr>
      </w:pPr>
      <w:r>
        <w:rPr>
          <w:rFonts w:ascii="Arial" w:hAnsi="Arial" w:eastAsia="Arial" w:cs="Arial"/>
          <w:sz w:val="20"/>
          <w:szCs w:val="20"/>
          <w:highlight w:val="none"/>
        </w:rPr>
        <w:t xml:space="preserve">A second major shift is toward emotionally intelligent retail.[3][4] WGSN’s Future Consumer framing and NRF’s recap both indicate that play, connection, and relief from digital fatigue are becoming differentiators, which means retailers may need fewer noisy</w:t>
      </w:r>
      <w:r>
        <w:rPr>
          <w:rFonts w:ascii="Arial" w:hAnsi="Arial" w:eastAsia="Arial" w:cs="Arial"/>
          <w:sz w:val="20"/>
          <w:szCs w:val="20"/>
          <w:highlight w:val="none"/>
        </w:rPr>
        <w:t xml:space="preserve"> touchpoints and more meaningful ones.[3][4]</w:t>
      </w:r>
      <w:r>
        <w:rPr>
          <w:rFonts w:ascii="Arial" w:hAnsi="Arial" w:eastAsia="Arial" w:cs="Arial"/>
          <w:sz w:val="20"/>
          <w:szCs w:val="20"/>
        </w:rPr>
      </w:r>
    </w:p>
    <w:p>
      <w:pPr>
        <w:pBdr/>
        <w:spacing/>
        <w:ind/>
        <w:rPr>
          <w:rFonts w:ascii="Arial" w:hAnsi="Arial" w:cs="Arial"/>
          <w:sz w:val="20"/>
          <w:szCs w:val="20"/>
        </w:rPr>
      </w:pPr>
      <w:r>
        <w:rPr>
          <w:rFonts w:ascii="Arial" w:hAnsi="Arial" w:eastAsia="Arial" w:cs="Arial"/>
          <w:sz w:val="20"/>
          <w:szCs w:val="20"/>
          <w:highlight w:val="none"/>
        </w:rPr>
      </w:r>
      <w:r>
        <w:rPr>
          <w:rFonts w:ascii="Arial" w:hAnsi="Arial" w:eastAsia="Arial" w:cs="Arial"/>
          <w:sz w:val="20"/>
          <w:szCs w:val="20"/>
        </w:rPr>
      </w:r>
    </w:p>
    <w:p>
      <w:pPr>
        <w:pBdr/>
        <w:spacing/>
        <w:ind/>
        <w:rPr>
          <w:rFonts w:ascii="Arial" w:hAnsi="Arial" w:cs="Arial"/>
          <w:sz w:val="20"/>
          <w:szCs w:val="20"/>
        </w:rPr>
      </w:pPr>
      <w:r>
        <w:rPr>
          <w:rFonts w:ascii="Arial" w:hAnsi="Arial" w:eastAsia="Arial" w:cs="Arial"/>
          <w:sz w:val="20"/>
          <w:szCs w:val="20"/>
          <w:highlight w:val="none"/>
        </w:rPr>
        <w:t xml:space="preserve">A third trend is community-led experience design.[4][9] Younger consumers’ emphasis on friendship, connection, and shared activities implies opportunity for stores, loyalty programs, and brand ecosystems that create social participation rather than only tra</w:t>
      </w:r>
      <w:r>
        <w:rPr>
          <w:rFonts w:ascii="Arial" w:hAnsi="Arial" w:eastAsia="Arial" w:cs="Arial"/>
          <w:sz w:val="20"/>
          <w:szCs w:val="20"/>
          <w:highlight w:val="none"/>
        </w:rPr>
        <w:t xml:space="preserve">nsactional convenience.[4]</w:t>
      </w:r>
      <w:r>
        <w:rPr>
          <w:rFonts w:ascii="Arial" w:hAnsi="Arial" w:eastAsia="Arial" w:cs="Arial"/>
          <w:sz w:val="20"/>
          <w:szCs w:val="20"/>
        </w:rPr>
      </w:r>
    </w:p>
    <w:p>
      <w:pPr>
        <w:pBdr/>
        <w:spacing/>
        <w:ind/>
        <w:rPr>
          <w:rFonts w:ascii="Arial" w:hAnsi="Arial" w:cs="Arial"/>
          <w:sz w:val="20"/>
          <w:szCs w:val="20"/>
        </w:rPr>
      </w:pPr>
      <w:r>
        <w:rPr>
          <w:rFonts w:ascii="Arial" w:hAnsi="Arial" w:eastAsia="Arial" w:cs="Arial"/>
          <w:sz w:val="20"/>
          <w:szCs w:val="20"/>
          <w:highlight w:val="none"/>
        </w:rPr>
      </w:r>
      <w:r>
        <w:rPr>
          <w:rFonts w:ascii="Arial" w:hAnsi="Arial" w:eastAsia="Arial" w:cs="Arial"/>
          <w:sz w:val="20"/>
          <w:szCs w:val="20"/>
        </w:rPr>
      </w:r>
    </w:p>
    <w:p>
      <w:pPr>
        <w:pBdr/>
        <w:spacing/>
        <w:ind/>
        <w:rPr>
          <w:rFonts w:ascii="Arial" w:hAnsi="Arial" w:cs="Arial"/>
          <w:sz w:val="20"/>
          <w:szCs w:val="20"/>
        </w:rPr>
      </w:pPr>
      <w:r>
        <w:rPr>
          <w:rFonts w:ascii="Arial" w:hAnsi="Arial" w:eastAsia="Arial" w:cs="Arial"/>
          <w:sz w:val="20"/>
          <w:szCs w:val="20"/>
          <w:highlight w:val="none"/>
        </w:rPr>
        <w:t xml:space="preserve">## Food trends for 2027</w:t>
      </w:r>
      <w:r>
        <w:rPr>
          <w:rFonts w:ascii="Arial" w:hAnsi="Arial" w:eastAsia="Arial" w:cs="Arial"/>
          <w:sz w:val="20"/>
          <w:szCs w:val="20"/>
        </w:rPr>
      </w:r>
    </w:p>
    <w:p>
      <w:pPr>
        <w:pBdr/>
        <w:spacing/>
        <w:ind/>
        <w:rPr>
          <w:rFonts w:ascii="Arial" w:hAnsi="Arial" w:cs="Arial"/>
          <w:sz w:val="20"/>
          <w:szCs w:val="20"/>
        </w:rPr>
      </w:pPr>
      <w:r>
        <w:rPr>
          <w:rFonts w:ascii="Arial" w:hAnsi="Arial" w:eastAsia="Arial" w:cs="Arial"/>
          <w:sz w:val="20"/>
          <w:szCs w:val="20"/>
          <w:highlight w:val="none"/>
        </w:rPr>
        <w:t xml:space="preserve">The named source set is thinner on food-specific 2027 public metrics than on general retail and beauty, but the directional signals still matter.[14][2] Food and grocery shopping is moving toward hybrid journeys, predictive reordering, self-checkout, and mo</w:t>
      </w:r>
      <w:r>
        <w:rPr>
          <w:rFonts w:ascii="Arial" w:hAnsi="Arial" w:eastAsia="Arial" w:cs="Arial"/>
          <w:sz w:val="20"/>
          <w:szCs w:val="20"/>
          <w:highlight w:val="none"/>
        </w:rPr>
        <w:t xml:space="preserve">re individualized recommendations, all of which align with the broader AI and convenience narrative visible across retail.[14][4]</w:t>
      </w:r>
      <w:r>
        <w:rPr>
          <w:rFonts w:ascii="Arial" w:hAnsi="Arial" w:eastAsia="Arial" w:cs="Arial"/>
          <w:sz w:val="20"/>
          <w:szCs w:val="20"/>
        </w:rPr>
      </w:r>
    </w:p>
    <w:p>
      <w:pPr>
        <w:pBdr/>
        <w:spacing/>
        <w:ind/>
        <w:rPr>
          <w:rFonts w:ascii="Arial" w:hAnsi="Arial" w:cs="Arial"/>
          <w:sz w:val="20"/>
          <w:szCs w:val="20"/>
        </w:rPr>
      </w:pPr>
      <w:r>
        <w:rPr>
          <w:rFonts w:ascii="Arial" w:hAnsi="Arial" w:eastAsia="Arial" w:cs="Arial"/>
          <w:sz w:val="20"/>
          <w:szCs w:val="20"/>
          <w:highlight w:val="none"/>
        </w:rPr>
      </w:r>
      <w:r>
        <w:rPr>
          <w:rFonts w:ascii="Arial" w:hAnsi="Arial" w:eastAsia="Arial" w:cs="Arial"/>
          <w:sz w:val="20"/>
          <w:szCs w:val="20"/>
        </w:rPr>
      </w:r>
    </w:p>
    <w:p>
      <w:pPr>
        <w:pBdr/>
        <w:spacing/>
        <w:ind/>
        <w:rPr>
          <w:rFonts w:ascii="Arial" w:hAnsi="Arial" w:cs="Arial"/>
          <w:sz w:val="20"/>
          <w:szCs w:val="20"/>
        </w:rPr>
      </w:pPr>
      <w:r>
        <w:rPr>
          <w:rFonts w:ascii="Arial" w:hAnsi="Arial" w:eastAsia="Arial" w:cs="Arial"/>
          <w:sz w:val="20"/>
          <w:szCs w:val="20"/>
          <w:highlight w:val="none"/>
        </w:rPr>
        <w:t xml:space="preserve">For food retail, the likely tension in 2027 is between affordability and premium discovery.[14][1] Consumers may continue to protect staple spending while selectively trading up in categories linked to wellness, localism, indulgence, or experiential formats</w:t>
      </w:r>
      <w:r>
        <w:rPr>
          <w:rFonts w:ascii="Arial" w:hAnsi="Arial" w:eastAsia="Arial" w:cs="Arial"/>
          <w:sz w:val="20"/>
          <w:szCs w:val="20"/>
          <w:highlight w:val="none"/>
        </w:rPr>
        <w:t xml:space="preserve"> such as in-store cafés and curated specialty sections.[14][8]</w:t>
      </w:r>
      <w:r>
        <w:rPr>
          <w:rFonts w:ascii="Arial" w:hAnsi="Arial" w:eastAsia="Arial" w:cs="Arial"/>
          <w:sz w:val="20"/>
          <w:szCs w:val="20"/>
        </w:rPr>
      </w:r>
    </w:p>
    <w:p>
      <w:pPr>
        <w:pBdr/>
        <w:spacing/>
        <w:ind/>
        <w:rPr>
          <w:rFonts w:ascii="Arial" w:hAnsi="Arial" w:cs="Arial"/>
          <w:sz w:val="20"/>
          <w:szCs w:val="20"/>
        </w:rPr>
      </w:pPr>
      <w:r>
        <w:rPr>
          <w:rFonts w:ascii="Arial" w:hAnsi="Arial" w:eastAsia="Arial" w:cs="Arial"/>
          <w:sz w:val="20"/>
          <w:szCs w:val="20"/>
          <w:highlight w:val="none"/>
        </w:rPr>
      </w:r>
      <w:r>
        <w:rPr>
          <w:rFonts w:ascii="Arial" w:hAnsi="Arial" w:eastAsia="Arial" w:cs="Arial"/>
          <w:sz w:val="20"/>
          <w:szCs w:val="20"/>
        </w:rPr>
      </w:r>
    </w:p>
    <w:p>
      <w:pPr>
        <w:pBdr/>
        <w:spacing/>
        <w:ind/>
        <w:rPr>
          <w:rFonts w:ascii="Arial" w:hAnsi="Arial" w:cs="Arial"/>
          <w:sz w:val="20"/>
          <w:szCs w:val="20"/>
        </w:rPr>
      </w:pPr>
      <w:r>
        <w:rPr>
          <w:rFonts w:ascii="Arial" w:hAnsi="Arial" w:eastAsia="Arial" w:cs="Arial"/>
          <w:sz w:val="20"/>
          <w:szCs w:val="20"/>
          <w:highlight w:val="none"/>
        </w:rPr>
        <w:t xml:space="preserve">## Risks</w:t>
      </w:r>
      <w:r>
        <w:rPr>
          <w:rFonts w:ascii="Arial" w:hAnsi="Arial" w:eastAsia="Arial" w:cs="Arial"/>
          <w:sz w:val="20"/>
          <w:szCs w:val="20"/>
        </w:rPr>
      </w:r>
    </w:p>
    <w:p>
      <w:pPr>
        <w:pBdr/>
        <w:spacing/>
        <w:ind/>
        <w:rPr>
          <w:rFonts w:ascii="Arial" w:hAnsi="Arial" w:cs="Arial"/>
          <w:sz w:val="20"/>
          <w:szCs w:val="20"/>
        </w:rPr>
      </w:pPr>
      <w:r>
        <w:rPr>
          <w:rFonts w:ascii="Arial" w:hAnsi="Arial" w:eastAsia="Arial" w:cs="Arial"/>
          <w:sz w:val="20"/>
          <w:szCs w:val="20"/>
          <w:highlight w:val="none"/>
        </w:rPr>
        <w:t xml:space="preserve">- Margin compression from inflation, tariffs, and cost pass-through could erode discretionary demand and force more promotional intensity.[1][11]</w:t>
      </w:r>
      <w:r>
        <w:rPr>
          <w:rFonts w:ascii="Arial" w:hAnsi="Arial" w:eastAsia="Arial" w:cs="Arial"/>
          <w:sz w:val="20"/>
          <w:szCs w:val="20"/>
        </w:rPr>
      </w:r>
    </w:p>
    <w:p>
      <w:pPr>
        <w:pBdr/>
        <w:spacing/>
        <w:ind/>
        <w:rPr>
          <w:rFonts w:ascii="Arial" w:hAnsi="Arial" w:cs="Arial"/>
          <w:sz w:val="20"/>
          <w:szCs w:val="20"/>
        </w:rPr>
      </w:pPr>
      <w:r>
        <w:rPr>
          <w:rFonts w:ascii="Arial" w:hAnsi="Arial" w:eastAsia="Arial" w:cs="Arial"/>
          <w:sz w:val="20"/>
          <w:szCs w:val="20"/>
          <w:highlight w:val="none"/>
        </w:rPr>
        <w:t xml:space="preserve">- AI adoption without transparency may trigger mistrust, especially as consumer curiosity about AI is paired with a desire for safety and understanding.[4]</w:t>
      </w:r>
      <w:r>
        <w:rPr>
          <w:rFonts w:ascii="Arial" w:hAnsi="Arial" w:eastAsia="Arial" w:cs="Arial"/>
          <w:sz w:val="20"/>
          <w:szCs w:val="20"/>
        </w:rPr>
      </w:r>
    </w:p>
    <w:p>
      <w:pPr>
        <w:pBdr/>
        <w:spacing/>
        <w:ind/>
        <w:rPr>
          <w:rFonts w:ascii="Arial" w:hAnsi="Arial" w:cs="Arial"/>
          <w:sz w:val="20"/>
          <w:szCs w:val="20"/>
        </w:rPr>
      </w:pPr>
      <w:r>
        <w:rPr>
          <w:rFonts w:ascii="Arial" w:hAnsi="Arial" w:eastAsia="Arial" w:cs="Arial"/>
          <w:sz w:val="20"/>
          <w:szCs w:val="20"/>
          <w:highlight w:val="none"/>
        </w:rPr>
        <w:t xml:space="preserve">- Over-digitization can backfire if it adds cognitive load instead of reducing it; WGSN and NRF both point to digital fatigue and the rise of "ping minimalism."[4][3]</w:t>
      </w:r>
      <w:r>
        <w:rPr>
          <w:rFonts w:ascii="Arial" w:hAnsi="Arial" w:eastAsia="Arial" w:cs="Arial"/>
          <w:sz w:val="20"/>
          <w:szCs w:val="20"/>
        </w:rPr>
      </w:r>
    </w:p>
    <w:p>
      <w:pPr>
        <w:pBdr/>
        <w:spacing/>
        <w:ind/>
        <w:rPr>
          <w:rFonts w:ascii="Arial" w:hAnsi="Arial" w:cs="Arial"/>
          <w:sz w:val="20"/>
          <w:szCs w:val="20"/>
        </w:rPr>
      </w:pPr>
      <w:r>
        <w:rPr>
          <w:rFonts w:ascii="Arial" w:hAnsi="Arial" w:eastAsia="Arial" w:cs="Arial"/>
          <w:sz w:val="20"/>
          <w:szCs w:val="20"/>
          <w:highlight w:val="none"/>
        </w:rPr>
        <w:t xml:space="preserve">- Forecast dependence can create false precision if teams treat directional trend tools as guarantees rather than scenario inputs.[5][6]</w:t>
      </w:r>
      <w:r>
        <w:rPr>
          <w:rFonts w:ascii="Arial" w:hAnsi="Arial" w:eastAsia="Arial" w:cs="Arial"/>
          <w:sz w:val="20"/>
          <w:szCs w:val="20"/>
        </w:rPr>
      </w:r>
    </w:p>
    <w:p>
      <w:pPr>
        <w:pBdr/>
        <w:spacing/>
        <w:ind/>
        <w:rPr>
          <w:rFonts w:ascii="Arial" w:hAnsi="Arial" w:cs="Arial"/>
          <w:sz w:val="20"/>
          <w:szCs w:val="20"/>
        </w:rPr>
      </w:pPr>
      <w:r>
        <w:rPr>
          <w:rFonts w:ascii="Arial" w:hAnsi="Arial" w:eastAsia="Arial" w:cs="Arial"/>
          <w:sz w:val="20"/>
          <w:szCs w:val="20"/>
          <w:highlight w:val="none"/>
        </w:rPr>
      </w:r>
      <w:r>
        <w:rPr>
          <w:rFonts w:ascii="Arial" w:hAnsi="Arial" w:eastAsia="Arial" w:cs="Arial"/>
          <w:sz w:val="20"/>
          <w:szCs w:val="20"/>
        </w:rPr>
      </w:r>
    </w:p>
    <w:p>
      <w:pPr>
        <w:pBdr/>
        <w:spacing/>
        <w:ind/>
        <w:rPr>
          <w:rFonts w:ascii="Arial" w:hAnsi="Arial" w:cs="Arial"/>
          <w:sz w:val="20"/>
          <w:szCs w:val="20"/>
        </w:rPr>
      </w:pPr>
      <w:r>
        <w:rPr>
          <w:rFonts w:ascii="Arial" w:hAnsi="Arial" w:eastAsia="Arial" w:cs="Arial"/>
          <w:sz w:val="20"/>
          <w:szCs w:val="20"/>
          <w:highlight w:val="none"/>
        </w:rPr>
        <w:t xml:space="preserve">## Opportunities</w:t>
      </w:r>
      <w:r>
        <w:rPr>
          <w:rFonts w:ascii="Arial" w:hAnsi="Arial" w:eastAsia="Arial" w:cs="Arial"/>
          <w:sz w:val="20"/>
          <w:szCs w:val="20"/>
        </w:rPr>
      </w:r>
    </w:p>
    <w:p>
      <w:pPr>
        <w:pBdr/>
        <w:spacing/>
        <w:ind/>
        <w:rPr>
          <w:rFonts w:ascii="Arial" w:hAnsi="Arial" w:cs="Arial"/>
          <w:sz w:val="20"/>
          <w:szCs w:val="20"/>
        </w:rPr>
      </w:pPr>
      <w:r>
        <w:rPr>
          <w:rFonts w:ascii="Arial" w:hAnsi="Arial" w:eastAsia="Arial" w:cs="Arial"/>
          <w:sz w:val="20"/>
          <w:szCs w:val="20"/>
          <w:highlight w:val="none"/>
        </w:rPr>
        <w:t xml:space="preserve">- Build explainable personalization, such as clear recommendation logic, preference controls, and visible consumer benefit statements.[4][3]</w:t>
      </w:r>
      <w:r>
        <w:rPr>
          <w:rFonts w:ascii="Arial" w:hAnsi="Arial" w:eastAsia="Arial" w:cs="Arial"/>
          <w:sz w:val="20"/>
          <w:szCs w:val="20"/>
        </w:rPr>
      </w:r>
    </w:p>
    <w:p>
      <w:pPr>
        <w:pBdr/>
        <w:spacing/>
        <w:ind/>
        <w:rPr>
          <w:rFonts w:ascii="Arial" w:hAnsi="Arial" w:cs="Arial"/>
          <w:sz w:val="20"/>
          <w:szCs w:val="20"/>
        </w:rPr>
      </w:pPr>
      <w:r>
        <w:rPr>
          <w:rFonts w:ascii="Arial" w:hAnsi="Arial" w:eastAsia="Arial" w:cs="Arial"/>
          <w:sz w:val="20"/>
          <w:szCs w:val="20"/>
          <w:highlight w:val="none"/>
        </w:rPr>
        <w:t xml:space="preserve">- Rebalance category portfolios toward resilient pockets of premiumization, especially beauty, wellness, and self-care adjacencies.[7][8]</w:t>
      </w:r>
      <w:r>
        <w:rPr>
          <w:rFonts w:ascii="Arial" w:hAnsi="Arial" w:eastAsia="Arial" w:cs="Arial"/>
          <w:sz w:val="20"/>
          <w:szCs w:val="20"/>
        </w:rPr>
      </w:r>
    </w:p>
    <w:p>
      <w:pPr>
        <w:pBdr/>
        <w:spacing/>
        <w:ind/>
        <w:rPr>
          <w:rFonts w:ascii="Arial" w:hAnsi="Arial" w:cs="Arial"/>
          <w:sz w:val="20"/>
          <w:szCs w:val="20"/>
        </w:rPr>
      </w:pPr>
      <w:r>
        <w:rPr>
          <w:rFonts w:ascii="Arial" w:hAnsi="Arial" w:eastAsia="Arial" w:cs="Arial"/>
          <w:sz w:val="20"/>
          <w:szCs w:val="20"/>
          <w:highlight w:val="none"/>
        </w:rPr>
        <w:t xml:space="preserve">- Invest in community and loyalty models that create belonging, because connection appears to correlate with greater customer value.[3][4]</w:t>
      </w:r>
      <w:r>
        <w:rPr>
          <w:rFonts w:ascii="Arial" w:hAnsi="Arial" w:eastAsia="Arial" w:cs="Arial"/>
          <w:sz w:val="20"/>
          <w:szCs w:val="20"/>
        </w:rPr>
      </w:r>
    </w:p>
    <w:p>
      <w:pPr>
        <w:pBdr/>
        <w:spacing/>
        <w:ind/>
        <w:rPr>
          <w:rFonts w:ascii="Arial" w:hAnsi="Arial" w:cs="Arial"/>
          <w:sz w:val="20"/>
          <w:szCs w:val="20"/>
        </w:rPr>
      </w:pPr>
      <w:r>
        <w:rPr>
          <w:rFonts w:ascii="Arial" w:hAnsi="Arial" w:eastAsia="Arial" w:cs="Arial"/>
          <w:sz w:val="20"/>
          <w:szCs w:val="20"/>
          <w:highlight w:val="none"/>
        </w:rPr>
        <w:t xml:space="preserve">- Design lower-friction omnichannel journeys in food and shopping, including predictive baskets, assisted discovery, and seamless checkout.[14][4]</w:t>
      </w:r>
      <w:r>
        <w:rPr>
          <w:rFonts w:ascii="Arial" w:hAnsi="Arial" w:eastAsia="Arial" w:cs="Arial"/>
          <w:sz w:val="20"/>
          <w:szCs w:val="20"/>
        </w:rPr>
      </w:r>
    </w:p>
    <w:p>
      <w:pPr>
        <w:pBdr/>
        <w:spacing/>
        <w:ind/>
        <w:rPr>
          <w:rFonts w:ascii="Arial" w:hAnsi="Arial" w:cs="Arial"/>
          <w:sz w:val="20"/>
          <w:szCs w:val="20"/>
        </w:rPr>
      </w:pPr>
      <w:r>
        <w:rPr>
          <w:rFonts w:ascii="Arial" w:hAnsi="Arial" w:eastAsia="Arial" w:cs="Arial"/>
          <w:sz w:val="20"/>
          <w:szCs w:val="20"/>
          <w:highlight w:val="none"/>
        </w:rPr>
        <w:t xml:space="preserve">- Use AI forecasting tools to shorten trend-response cycles in merchandising, inventory, and campaign planning.[5][6][10]</w:t>
      </w:r>
      <w:r>
        <w:rPr>
          <w:rFonts w:ascii="Arial" w:hAnsi="Arial" w:eastAsia="Arial" w:cs="Arial"/>
          <w:sz w:val="20"/>
          <w:szCs w:val="20"/>
        </w:rPr>
      </w:r>
    </w:p>
    <w:p>
      <w:pPr>
        <w:pBdr/>
        <w:spacing/>
        <w:ind/>
        <w:rPr>
          <w:rFonts w:ascii="Arial" w:hAnsi="Arial" w:cs="Arial"/>
          <w:sz w:val="20"/>
          <w:szCs w:val="20"/>
        </w:rPr>
      </w:pPr>
      <w:r>
        <w:rPr>
          <w:rFonts w:ascii="Arial" w:hAnsi="Arial" w:eastAsia="Arial" w:cs="Arial"/>
          <w:sz w:val="20"/>
          <w:szCs w:val="20"/>
          <w:highlight w:val="none"/>
        </w:rPr>
      </w:r>
      <w:r>
        <w:rPr>
          <w:rFonts w:ascii="Arial" w:hAnsi="Arial" w:eastAsia="Arial" w:cs="Arial"/>
          <w:sz w:val="20"/>
          <w:szCs w:val="20"/>
        </w:rPr>
      </w:r>
    </w:p>
    <w:p>
      <w:pPr>
        <w:pBdr/>
        <w:spacing/>
        <w:ind/>
        <w:rPr>
          <w:rFonts w:ascii="Arial" w:hAnsi="Arial" w:cs="Arial"/>
          <w:sz w:val="20"/>
          <w:szCs w:val="20"/>
        </w:rPr>
      </w:pPr>
      <w:r>
        <w:rPr>
          <w:rFonts w:ascii="Arial" w:hAnsi="Arial" w:eastAsia="Arial" w:cs="Arial"/>
          <w:sz w:val="20"/>
          <w:szCs w:val="20"/>
          <w:highlight w:val="none"/>
        </w:rPr>
        <w:t xml:space="preserve">## Strategic implications for USA and EU operators</w:t>
      </w:r>
      <w:r>
        <w:rPr>
          <w:rFonts w:ascii="Arial" w:hAnsi="Arial" w:eastAsia="Arial" w:cs="Arial"/>
          <w:sz w:val="20"/>
          <w:szCs w:val="20"/>
        </w:rPr>
      </w:r>
    </w:p>
    <w:p>
      <w:pPr>
        <w:pBdr/>
        <w:spacing/>
        <w:ind/>
        <w:rPr>
          <w:rFonts w:ascii="Arial" w:hAnsi="Arial" w:cs="Arial"/>
          <w:sz w:val="20"/>
          <w:szCs w:val="20"/>
        </w:rPr>
      </w:pPr>
      <w:r>
        <w:rPr>
          <w:rFonts w:ascii="Arial" w:hAnsi="Arial" w:eastAsia="Arial" w:cs="Arial"/>
          <w:sz w:val="20"/>
          <w:szCs w:val="20"/>
          <w:highlight w:val="none"/>
        </w:rPr>
        <w:t xml:space="preserve">For US operators, 2027 planning should assume continued consumer resilience but ongoing budget sensitivity, making price architecture, private label strategy, and promotion design essential alongside experience innovation.[2][1] For EU operators, the same c</w:t>
      </w:r>
      <w:r>
        <w:rPr>
          <w:rFonts w:ascii="Arial" w:hAnsi="Arial" w:eastAsia="Arial" w:cs="Arial"/>
          <w:sz w:val="20"/>
          <w:szCs w:val="20"/>
          <w:highlight w:val="none"/>
        </w:rPr>
        <w:t xml:space="preserve">onsumer logic likely applies, but successful execution may depend even more on trust, quality signaling, and blending digital efficiency with human reassurance.[3][9]</w:t>
      </w:r>
      <w:r>
        <w:rPr>
          <w:rFonts w:ascii="Arial" w:hAnsi="Arial" w:eastAsia="Arial" w:cs="Arial"/>
          <w:sz w:val="20"/>
          <w:szCs w:val="20"/>
        </w:rPr>
      </w:r>
    </w:p>
    <w:p>
      <w:pPr>
        <w:pBdr/>
        <w:spacing/>
        <w:ind/>
        <w:rPr>
          <w:rFonts w:ascii="Arial" w:hAnsi="Arial" w:cs="Arial"/>
          <w:sz w:val="20"/>
          <w:szCs w:val="20"/>
        </w:rPr>
      </w:pPr>
      <w:r>
        <w:rPr>
          <w:rFonts w:ascii="Arial" w:hAnsi="Arial" w:eastAsia="Arial" w:cs="Arial"/>
          <w:sz w:val="20"/>
          <w:szCs w:val="20"/>
          <w:highlight w:val="none"/>
        </w:rPr>
      </w:r>
      <w:r>
        <w:rPr>
          <w:rFonts w:ascii="Arial" w:hAnsi="Arial" w:eastAsia="Arial" w:cs="Arial"/>
          <w:sz w:val="20"/>
          <w:szCs w:val="20"/>
        </w:rPr>
      </w:r>
    </w:p>
    <w:p>
      <w:pPr>
        <w:pBdr/>
        <w:spacing/>
        <w:ind/>
        <w:rPr>
          <w:rFonts w:ascii="Arial" w:hAnsi="Arial" w:cs="Arial"/>
          <w:sz w:val="20"/>
          <w:szCs w:val="20"/>
        </w:rPr>
      </w:pPr>
      <w:r>
        <w:rPr>
          <w:rFonts w:ascii="Arial" w:hAnsi="Arial" w:eastAsia="Arial" w:cs="Arial"/>
          <w:sz w:val="20"/>
          <w:szCs w:val="20"/>
          <w:highlight w:val="none"/>
        </w:rPr>
        <w:t xml:space="preserve">Across both regions, the stronger strategic pattern is not “tech versus human,” but “tech in service of human outcomes.”[4][3] Retailers that combine forecasting, personalization, and automation with emotional relevance, community, and transparency are bett</w:t>
      </w:r>
      <w:r>
        <w:rPr>
          <w:rFonts w:ascii="Arial" w:hAnsi="Arial" w:eastAsia="Arial" w:cs="Arial"/>
          <w:sz w:val="20"/>
          <w:szCs w:val="20"/>
          <w:highlight w:val="none"/>
        </w:rPr>
        <w:t xml:space="preserve">er positioned to capture 2027 demand.[5][6][3][4]</w:t>
      </w:r>
      <w:r>
        <w:rPr>
          <w:rFonts w:ascii="Arial" w:hAnsi="Arial" w:eastAsia="Arial" w:cs="Arial"/>
          <w:sz w:val="20"/>
          <w:szCs w:val="20"/>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0"/>
          <w:szCs w:val="20"/>
        </w:rPr>
      </w:pPr>
      <w:r>
        <w:rPr>
          <w:rFonts w:ascii="Arial" w:hAnsi="Arial" w:eastAsia="Arial" w:cs="Arial"/>
          <w:color w:val="000000"/>
          <w:sz w:val="20"/>
          <w:szCs w:val="20"/>
        </w:rPr>
        <w:t xml:space="preserve">US and EU retail strategies are diverging because the US is more exposed to immediate price pressure and tariff-driven trade disruption, while Europe is leaning harder into emotional luxury, craftsmanship, and experiential value to defend demand.mckinsey+2</w:t>
      </w:r>
      <w:r>
        <w:rPr>
          <w:rFonts w:ascii="Arial" w:hAnsi="Arial" w:eastAsia="Arial" w:cs="Arial"/>
          <w:sz w:val="20"/>
          <w:szCs w:val="20"/>
        </w:rPr>
      </w:r>
    </w:p>
    <w:p>
      <w:pPr>
        <w:pStyle w:val="139"/>
        <w:pBdr>
          <w:top w:val="none" w:color="000000" w:sz="4" w:space="0"/>
          <w:left w:val="none" w:color="000000" w:sz="4" w:space="0"/>
          <w:bottom w:val="none" w:color="000000" w:sz="4" w:space="0"/>
          <w:right w:val="none" w:color="000000" w:sz="4" w:space="0"/>
        </w:pBdr>
        <w:spacing/>
        <w:ind w:right="0" w:firstLine="0" w:left="0"/>
        <w:rPr>
          <w:rFonts w:ascii="Arial" w:hAnsi="Arial" w:cs="Arial"/>
          <w:sz w:val="20"/>
          <w:szCs w:val="20"/>
        </w:rPr>
      </w:pPr>
      <w:r>
        <w:rPr>
          <w:rFonts w:ascii="Arial" w:hAnsi="Arial" w:eastAsia="Arial" w:cs="Arial"/>
          <w:b/>
          <w:color w:val="000000"/>
          <w:sz w:val="20"/>
          <w:szCs w:val="20"/>
        </w:rPr>
        <w:t xml:space="preserve">Why the split is happening</w:t>
      </w:r>
      <w:r>
        <w:rPr>
          <w:rFonts w:ascii="Arial" w:hAnsi="Arial" w:eastAsia="Arial" w:cs="Arial"/>
          <w:sz w:val="20"/>
          <w:szCs w:val="20"/>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0"/>
          <w:szCs w:val="20"/>
        </w:rPr>
      </w:pPr>
      <w:r>
        <w:rPr>
          <w:rFonts w:ascii="Arial" w:hAnsi="Arial" w:eastAsia="Arial" w:cs="Arial"/>
          <w:color w:val="000000"/>
          <w:sz w:val="20"/>
          <w:szCs w:val="20"/>
        </w:rPr>
        <w:t xml:space="preserve">In the US, McKinsey says 43 percent of consumers cite inflation as a top concern and 29 percent cite tariffs, which pushes retailers toward sharper pricing, promotion, private label, and cost control. McKinsey also notes that tariffs are redrawing trade ma</w:t>
      </w:r>
      <w:r>
        <w:rPr>
          <w:rFonts w:ascii="Arial" w:hAnsi="Arial" w:eastAsia="Arial" w:cs="Arial"/>
          <w:color w:val="000000"/>
          <w:sz w:val="20"/>
          <w:szCs w:val="20"/>
        </w:rPr>
        <w:t xml:space="preserve">ps and forcing brands to reset sourcing and pricing, while US consumer sentiment has been especially weak under these conditions.mckinsey+1</w:t>
      </w:r>
      <w:r>
        <w:rPr>
          <w:rFonts w:ascii="Arial" w:hAnsi="Arial" w:eastAsia="Arial" w:cs="Arial"/>
          <w:sz w:val="20"/>
          <w:szCs w:val="20"/>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0"/>
          <w:szCs w:val="20"/>
        </w:rPr>
      </w:pPr>
      <w:r>
        <w:rPr>
          <w:rFonts w:ascii="Arial" w:hAnsi="Arial" w:eastAsia="Arial" w:cs="Arial"/>
          <w:color w:val="000000"/>
          <w:sz w:val="20"/>
          <w:szCs w:val="20"/>
        </w:rPr>
        <w:t xml:space="preserve">In Europe, luxury demand is being shaped less by blunt price pressure and more by brand meaning, craftsmanship, and selective indulgence. Bain says consumers are shifting toward “experiential indulgence” over conspicuous consumption, while J.P. Morgan note</w:t>
      </w:r>
      <w:r>
        <w:rPr>
          <w:rFonts w:ascii="Arial" w:hAnsi="Arial" w:eastAsia="Arial" w:cs="Arial"/>
          <w:color w:val="000000"/>
          <w:sz w:val="20"/>
          <w:szCs w:val="20"/>
        </w:rPr>
        <w:t xml:space="preserve">s Europe still remains attractive for “soft luxury” even as tourism and exchange-rate effects change where shoppers spend.jpmorgan+1</w:t>
      </w:r>
      <w:r>
        <w:rPr>
          <w:rFonts w:ascii="Arial" w:hAnsi="Arial" w:eastAsia="Arial" w:cs="Arial"/>
          <w:sz w:val="20"/>
          <w:szCs w:val="20"/>
        </w:rPr>
      </w:r>
    </w:p>
    <w:p>
      <w:pPr>
        <w:pStyle w:val="139"/>
        <w:pBdr>
          <w:top w:val="none" w:color="000000" w:sz="4" w:space="0"/>
          <w:left w:val="none" w:color="000000" w:sz="4" w:space="0"/>
          <w:bottom w:val="none" w:color="000000" w:sz="4" w:space="0"/>
          <w:right w:val="none" w:color="000000" w:sz="4" w:space="0"/>
        </w:pBdr>
        <w:spacing/>
        <w:ind w:right="0" w:firstLine="0" w:left="0"/>
        <w:rPr>
          <w:rFonts w:ascii="Arial" w:hAnsi="Arial" w:cs="Arial"/>
          <w:sz w:val="20"/>
          <w:szCs w:val="20"/>
        </w:rPr>
      </w:pPr>
      <w:r>
        <w:rPr>
          <w:rFonts w:ascii="Arial" w:hAnsi="Arial" w:eastAsia="Arial" w:cs="Arial"/>
          <w:b/>
          <w:color w:val="000000"/>
          <w:sz w:val="20"/>
          <w:szCs w:val="20"/>
        </w:rPr>
        <w:t xml:space="preserve">US strategy</w:t>
      </w:r>
      <w:r>
        <w:rPr>
          <w:rFonts w:ascii="Arial" w:hAnsi="Arial" w:eastAsia="Arial" w:cs="Arial"/>
          <w:sz w:val="20"/>
          <w:szCs w:val="20"/>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0"/>
          <w:szCs w:val="20"/>
        </w:rPr>
      </w:pPr>
      <w:r>
        <w:rPr>
          <w:rFonts w:ascii="Arial" w:hAnsi="Arial" w:eastAsia="Arial" w:cs="Arial"/>
          <w:color w:val="000000"/>
          <w:sz w:val="20"/>
          <w:szCs w:val="20"/>
        </w:rPr>
        <w:t xml:space="preserve">US retail in 2027 will likely prioritize value architecture, because consumers are trading down, delaying purchases, and responding to macro uncertainty with tighter budgets. That means more promotional discipline, smaller pack sizes in food, stronger priv</w:t>
      </w:r>
      <w:r>
        <w:rPr>
          <w:rFonts w:ascii="Arial" w:hAnsi="Arial" w:eastAsia="Arial" w:cs="Arial"/>
          <w:color w:val="000000"/>
          <w:sz w:val="20"/>
          <w:szCs w:val="20"/>
        </w:rPr>
        <w:t xml:space="preserve">ate label, and clearer price-value communication across categories.mckinsey+1</w:t>
      </w:r>
      <w:r>
        <w:rPr>
          <w:rFonts w:ascii="Arial" w:hAnsi="Arial" w:eastAsia="Arial" w:cs="Arial"/>
          <w:sz w:val="20"/>
          <w:szCs w:val="20"/>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0"/>
          <w:szCs w:val="20"/>
        </w:rPr>
      </w:pPr>
      <w:r>
        <w:rPr>
          <w:rFonts w:ascii="Arial" w:hAnsi="Arial" w:eastAsia="Arial" w:cs="Arial"/>
          <w:color w:val="000000"/>
          <w:sz w:val="20"/>
          <w:szCs w:val="20"/>
        </w:rPr>
        <w:t xml:space="preserve">AI in the US will mainly be used to reduce friction and improve conversion, not just to create novelty. McKinsey’s fashion outlook says AI is becoming a business necessity and that consumers are already using AI tools to search, compare, and get recommenda</w:t>
      </w:r>
      <w:r>
        <w:rPr>
          <w:rFonts w:ascii="Arial" w:hAnsi="Arial" w:eastAsia="Arial" w:cs="Arial"/>
          <w:color w:val="000000"/>
          <w:sz w:val="20"/>
          <w:szCs w:val="20"/>
        </w:rPr>
        <w:t xml:space="preserve">tions, which makes explainable personalization a competitive requirement.</w:t>
      </w:r>
      <w:hyperlink r:id="rId124" w:tooltip="https://www.mckinsey.com/industries/retail/our-insights/state-of-fashion" w:history="1">
        <w:r>
          <w:rPr>
            <w:rStyle w:val="186"/>
            <w:rFonts w:ascii="Arial" w:hAnsi="Arial" w:eastAsia="Arial" w:cs="Arial"/>
            <w:color w:val="0000ee"/>
            <w:sz w:val="20"/>
            <w:szCs w:val="20"/>
            <w:u w:val="single"/>
          </w:rPr>
          <w:t xml:space="preserve">mckinsey</w:t>
        </w:r>
      </w:hyperlink>
      <w:r>
        <w:rPr>
          <w:rFonts w:ascii="Arial" w:hAnsi="Arial" w:eastAsia="Arial" w:cs="Arial"/>
          <w:sz w:val="20"/>
          <w:szCs w:val="20"/>
        </w:rPr>
      </w:r>
      <w:r>
        <w:rPr>
          <w:rFonts w:ascii="Arial" w:hAnsi="Arial" w:eastAsia="Arial" w:cs="Arial"/>
          <w:sz w:val="20"/>
          <w:szCs w:val="20"/>
        </w:rPr>
      </w:r>
    </w:p>
    <w:p>
      <w:pPr>
        <w:pStyle w:val="139"/>
        <w:pBdr>
          <w:top w:val="none" w:color="000000" w:sz="4" w:space="0"/>
          <w:left w:val="none" w:color="000000" w:sz="4" w:space="0"/>
          <w:bottom w:val="none" w:color="000000" w:sz="4" w:space="0"/>
          <w:right w:val="none" w:color="000000" w:sz="4" w:space="0"/>
        </w:pBdr>
        <w:spacing/>
        <w:ind w:right="0" w:firstLine="0" w:left="0"/>
        <w:rPr>
          <w:rFonts w:ascii="Arial" w:hAnsi="Arial" w:cs="Arial"/>
          <w:sz w:val="20"/>
          <w:szCs w:val="20"/>
        </w:rPr>
      </w:pPr>
      <w:r>
        <w:rPr>
          <w:rFonts w:ascii="Arial" w:hAnsi="Arial" w:eastAsia="Arial" w:cs="Arial"/>
          <w:b/>
          <w:color w:val="000000"/>
          <w:sz w:val="20"/>
          <w:szCs w:val="20"/>
        </w:rPr>
        <w:t xml:space="preserve">EU strategy</w:t>
      </w:r>
      <w:r>
        <w:rPr>
          <w:rFonts w:ascii="Arial" w:hAnsi="Arial" w:eastAsia="Arial" w:cs="Arial"/>
          <w:sz w:val="20"/>
          <w:szCs w:val="20"/>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0"/>
          <w:szCs w:val="20"/>
        </w:rPr>
      </w:pPr>
      <w:r>
        <w:rPr>
          <w:rFonts w:ascii="Arial" w:hAnsi="Arial" w:eastAsia="Arial" w:cs="Arial"/>
          <w:color w:val="000000"/>
          <w:sz w:val="20"/>
          <w:szCs w:val="20"/>
        </w:rPr>
        <w:t xml:space="preserve">EU retail, especially at the higher end, is more likely to compete on emotional pull, quality signaling, and premium experience. Bain says luxury spending is stable overall but structurally changing toward experiences, resale, and smaller indulgences rathe</w:t>
      </w:r>
      <w:r>
        <w:rPr>
          <w:rFonts w:ascii="Arial" w:hAnsi="Arial" w:eastAsia="Arial" w:cs="Arial"/>
          <w:color w:val="000000"/>
          <w:sz w:val="20"/>
          <w:szCs w:val="20"/>
        </w:rPr>
        <w:t xml:space="preserve">r than broad-based volume growth.bain+1</w:t>
      </w:r>
      <w:r>
        <w:rPr>
          <w:rFonts w:ascii="Arial" w:hAnsi="Arial" w:eastAsia="Arial" w:cs="Arial"/>
          <w:sz w:val="20"/>
          <w:szCs w:val="20"/>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0"/>
          <w:szCs w:val="20"/>
        </w:rPr>
      </w:pPr>
      <w:r>
        <w:rPr>
          <w:rFonts w:ascii="Arial" w:hAnsi="Arial" w:eastAsia="Arial" w:cs="Arial"/>
          <w:color w:val="000000"/>
          <w:sz w:val="20"/>
          <w:szCs w:val="20"/>
        </w:rPr>
        <w:t xml:space="preserve">That is why EU brands can justify higher perceived value even when prices rise, but only if the product and experience stay desirable. McKinsey also says Europe’s consumers remain cautious and trade down in some categories, so the winning formula is not “i</w:t>
      </w:r>
      <w:r>
        <w:rPr>
          <w:rFonts w:ascii="Arial" w:hAnsi="Arial" w:eastAsia="Arial" w:cs="Arial"/>
          <w:color w:val="000000"/>
          <w:sz w:val="20"/>
          <w:szCs w:val="20"/>
        </w:rPr>
        <w:t xml:space="preserve">gnore price,” but “make the price feel earned.”reuters+2</w:t>
      </w:r>
      <w:r>
        <w:rPr>
          <w:rFonts w:ascii="Arial" w:hAnsi="Arial" w:eastAsia="Arial" w:cs="Arial"/>
          <w:sz w:val="20"/>
          <w:szCs w:val="20"/>
        </w:rPr>
      </w:r>
    </w:p>
    <w:p>
      <w:pPr>
        <w:pStyle w:val="139"/>
        <w:pBdr>
          <w:top w:val="none" w:color="000000" w:sz="4" w:space="0"/>
          <w:left w:val="none" w:color="000000" w:sz="4" w:space="0"/>
          <w:bottom w:val="none" w:color="000000" w:sz="4" w:space="0"/>
          <w:right w:val="none" w:color="000000" w:sz="4" w:space="0"/>
        </w:pBdr>
        <w:spacing/>
        <w:ind w:right="0" w:firstLine="0" w:left="0"/>
        <w:rPr>
          <w:rFonts w:ascii="Arial" w:hAnsi="Arial" w:cs="Arial"/>
          <w:sz w:val="20"/>
          <w:szCs w:val="20"/>
        </w:rPr>
      </w:pPr>
      <w:r>
        <w:rPr>
          <w:rFonts w:ascii="Arial" w:hAnsi="Arial" w:eastAsia="Arial" w:cs="Arial"/>
          <w:b/>
          <w:color w:val="000000"/>
          <w:sz w:val="20"/>
          <w:szCs w:val="20"/>
        </w:rPr>
        <w:t xml:space="preserve">Core divergence</w:t>
      </w:r>
      <w:r>
        <w:rPr>
          <w:rFonts w:ascii="Arial" w:hAnsi="Arial" w:eastAsia="Arial" w:cs="Arial"/>
          <w:sz w:val="20"/>
          <w:szCs w:val="20"/>
        </w:rPr>
      </w:r>
    </w:p>
    <w:tbl>
      <w:tblPr>
        <w:tblStyle w:val="11"/>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463"/>
        <w:gridCol w:w="3750"/>
        <w:gridCol w:w="4141"/>
      </w:tblGrid>
      <w:tr>
        <w:trPr/>
        <w:tc>
          <w:tcPr>
            <w:tcBorders/>
            <w:tcMar>
              <w:left w:w="15" w:type="dxa"/>
              <w:top w:w="15" w:type="dxa"/>
              <w:right w:w="15" w:type="dxa"/>
              <w:bottom w:w="15" w:type="dxa"/>
            </w:tcMar>
            <w:tcW w:w="1463" w:type="dxa"/>
            <w:vAlign w:val="center"/>
            <w:textDirection w:val="lrTb"/>
            <w:noWrap w:val="false"/>
          </w:tcPr>
          <w:p>
            <w:pPr>
              <w:pBdr/>
              <w:spacing w:after="0" w:before="0" w:line="240"/>
              <w:ind/>
              <w:jc w:val="center"/>
              <w:rPr>
                <w:rFonts w:ascii="Arial" w:hAnsi="Arial" w:cs="Arial"/>
                <w:sz w:val="20"/>
                <w:szCs w:val="20"/>
              </w:rPr>
            </w:pPr>
            <w:r>
              <w:rPr>
                <w:rFonts w:ascii="Arial" w:hAnsi="Arial" w:eastAsia="Arial" w:cs="Arial"/>
                <w:b/>
                <w:color w:val="000000"/>
                <w:sz w:val="20"/>
                <w:szCs w:val="20"/>
              </w:rPr>
              <w:t xml:space="preserve">Dimension</w:t>
            </w:r>
            <w:r>
              <w:rPr>
                <w:rFonts w:ascii="Arial" w:hAnsi="Arial" w:eastAsia="Arial" w:cs="Arial"/>
                <w:sz w:val="20"/>
                <w:szCs w:val="20"/>
              </w:rPr>
            </w:r>
          </w:p>
        </w:tc>
        <w:tc>
          <w:tcPr>
            <w:tcBorders/>
            <w:tcMar>
              <w:left w:w="15" w:type="dxa"/>
              <w:top w:w="15" w:type="dxa"/>
              <w:right w:w="15" w:type="dxa"/>
              <w:bottom w:w="15" w:type="dxa"/>
            </w:tcMar>
            <w:tcW w:w="3750" w:type="dxa"/>
            <w:vAlign w:val="center"/>
            <w:textDirection w:val="lrTb"/>
            <w:noWrap w:val="false"/>
          </w:tcPr>
          <w:p>
            <w:pPr>
              <w:pBdr/>
              <w:spacing w:after="0" w:before="0" w:line="240"/>
              <w:ind/>
              <w:jc w:val="center"/>
              <w:rPr>
                <w:rFonts w:ascii="Arial" w:hAnsi="Arial" w:cs="Arial"/>
                <w:sz w:val="20"/>
                <w:szCs w:val="20"/>
              </w:rPr>
            </w:pPr>
            <w:r>
              <w:rPr>
                <w:rFonts w:ascii="Arial" w:hAnsi="Arial" w:eastAsia="Arial" w:cs="Arial"/>
                <w:b/>
                <w:color w:val="000000"/>
                <w:sz w:val="20"/>
                <w:szCs w:val="20"/>
              </w:rPr>
              <w:t xml:space="preserve">US retail direction</w:t>
            </w:r>
            <w:r>
              <w:rPr>
                <w:rFonts w:ascii="Arial" w:hAnsi="Arial" w:eastAsia="Arial" w:cs="Arial"/>
                <w:sz w:val="20"/>
                <w:szCs w:val="20"/>
              </w:rPr>
            </w:r>
          </w:p>
        </w:tc>
        <w:tc>
          <w:tcPr>
            <w:tcBorders/>
            <w:tcMar>
              <w:left w:w="15" w:type="dxa"/>
              <w:top w:w="15" w:type="dxa"/>
              <w:right w:w="15" w:type="dxa"/>
              <w:bottom w:w="15" w:type="dxa"/>
            </w:tcMar>
            <w:tcW w:w="4141" w:type="dxa"/>
            <w:vAlign w:val="center"/>
            <w:textDirection w:val="lrTb"/>
            <w:noWrap w:val="false"/>
          </w:tcPr>
          <w:p>
            <w:pPr>
              <w:pBdr/>
              <w:spacing w:after="0" w:before="0" w:line="240"/>
              <w:ind/>
              <w:jc w:val="center"/>
              <w:rPr>
                <w:rFonts w:ascii="Arial" w:hAnsi="Arial" w:cs="Arial"/>
                <w:sz w:val="20"/>
                <w:szCs w:val="20"/>
              </w:rPr>
            </w:pPr>
            <w:r>
              <w:rPr>
                <w:rFonts w:ascii="Arial" w:hAnsi="Arial" w:eastAsia="Arial" w:cs="Arial"/>
                <w:b/>
                <w:color w:val="000000"/>
                <w:sz w:val="20"/>
                <w:szCs w:val="20"/>
              </w:rPr>
              <w:t xml:space="preserve">EU retail direction</w:t>
            </w:r>
            <w:r>
              <w:rPr>
                <w:rFonts w:ascii="Arial" w:hAnsi="Arial" w:eastAsia="Arial" w:cs="Arial"/>
                <w:sz w:val="20"/>
                <w:szCs w:val="20"/>
              </w:rPr>
            </w:r>
          </w:p>
        </w:tc>
      </w:tr>
      <w:tr>
        <w:trPr/>
        <w:tc>
          <w:tcPr>
            <w:tcBorders/>
            <w:tcMar>
              <w:left w:w="15" w:type="dxa"/>
              <w:top w:w="15" w:type="dxa"/>
              <w:right w:w="15" w:type="dxa"/>
              <w:bottom w:w="15" w:type="dxa"/>
            </w:tcMar>
            <w:tcW w:w="1463"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Primary consumer pressure</w:t>
            </w:r>
            <w:r>
              <w:rPr>
                <w:rFonts w:ascii="Arial" w:hAnsi="Arial" w:eastAsia="Arial" w:cs="Arial"/>
                <w:sz w:val="20"/>
                <w:szCs w:val="20"/>
              </w:rPr>
            </w:r>
          </w:p>
        </w:tc>
        <w:tc>
          <w:tcPr>
            <w:tcBorders/>
            <w:tcMar>
              <w:left w:w="15" w:type="dxa"/>
              <w:top w:w="15" w:type="dxa"/>
              <w:right w:w="15" w:type="dxa"/>
              <w:bottom w:w="15" w:type="dxa"/>
            </w:tcMar>
            <w:tcW w:w="3750"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Inflation, tariffs, affordability.mckinsey+1</w:t>
            </w:r>
            <w:r>
              <w:rPr>
                <w:rFonts w:ascii="Arial" w:hAnsi="Arial" w:eastAsia="Arial" w:cs="Arial"/>
                <w:sz w:val="20"/>
                <w:szCs w:val="20"/>
              </w:rPr>
            </w:r>
          </w:p>
        </w:tc>
        <w:tc>
          <w:tcPr>
            <w:tcBorders/>
            <w:tcMar>
              <w:left w:w="15" w:type="dxa"/>
              <w:top w:w="15" w:type="dxa"/>
              <w:right w:w="15" w:type="dxa"/>
              <w:bottom w:w="15" w:type="dxa"/>
            </w:tcMar>
            <w:tcW w:w="4141"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Selective spending, tourism shifts, cautious trade-down behavior.mckinsey+1</w:t>
            </w:r>
            <w:r>
              <w:rPr>
                <w:rFonts w:ascii="Arial" w:hAnsi="Arial" w:eastAsia="Arial" w:cs="Arial"/>
                <w:sz w:val="20"/>
                <w:szCs w:val="20"/>
              </w:rPr>
            </w:r>
          </w:p>
        </w:tc>
      </w:tr>
      <w:tr>
        <w:trPr/>
        <w:tc>
          <w:tcPr>
            <w:tcBorders/>
            <w:tcMar>
              <w:left w:w="15" w:type="dxa"/>
              <w:top w:w="15" w:type="dxa"/>
              <w:right w:w="15" w:type="dxa"/>
              <w:bottom w:w="15" w:type="dxa"/>
            </w:tcMar>
            <w:tcW w:w="1463"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Winning message</w:t>
            </w:r>
            <w:r>
              <w:rPr>
                <w:rFonts w:ascii="Arial" w:hAnsi="Arial" w:eastAsia="Arial" w:cs="Arial"/>
                <w:sz w:val="20"/>
                <w:szCs w:val="20"/>
              </w:rPr>
            </w:r>
          </w:p>
        </w:tc>
        <w:tc>
          <w:tcPr>
            <w:tcBorders/>
            <w:tcMar>
              <w:left w:w="15" w:type="dxa"/>
              <w:top w:w="15" w:type="dxa"/>
              <w:right w:w="15" w:type="dxa"/>
              <w:bottom w:w="15" w:type="dxa"/>
            </w:tcMar>
            <w:tcW w:w="3750"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Best value, smart savings, convenience.</w:t>
            </w:r>
            <w:hyperlink r:id="rId125" w:tooltip="https://www.mckinsey.com/featured-insights/week-in-charts/prices-top-of-mind-for-us-consumers" w:history="1">
              <w:r>
                <w:rPr>
                  <w:rStyle w:val="186"/>
                  <w:rFonts w:ascii="Arial" w:hAnsi="Arial" w:eastAsia="Arial" w:cs="Arial"/>
                  <w:color w:val="0000ee"/>
                  <w:sz w:val="20"/>
                  <w:szCs w:val="20"/>
                  <w:u w:val="single"/>
                </w:rPr>
                <w:t xml:space="preserve">mckinsey</w:t>
              </w:r>
            </w:hyperlink>
            <w:r>
              <w:rPr>
                <w:rFonts w:ascii="Arial" w:hAnsi="Arial" w:eastAsia="Arial" w:cs="Arial"/>
                <w:sz w:val="20"/>
                <w:szCs w:val="20"/>
              </w:rPr>
            </w:r>
          </w:p>
        </w:tc>
        <w:tc>
          <w:tcPr>
            <w:tcBorders/>
            <w:tcMar>
              <w:left w:w="15" w:type="dxa"/>
              <w:top w:w="15" w:type="dxa"/>
              <w:right w:w="15" w:type="dxa"/>
              <w:bottom w:w="15" w:type="dxa"/>
            </w:tcMar>
            <w:tcW w:w="4141"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Emotional luxury, craftsmanship, identity, experience.bain+1</w:t>
            </w:r>
            <w:r>
              <w:rPr>
                <w:rFonts w:ascii="Arial" w:hAnsi="Arial" w:eastAsia="Arial" w:cs="Arial"/>
                <w:sz w:val="20"/>
                <w:szCs w:val="20"/>
              </w:rPr>
            </w:r>
          </w:p>
        </w:tc>
      </w:tr>
      <w:tr>
        <w:trPr/>
        <w:tc>
          <w:tcPr>
            <w:tcBorders/>
            <w:tcMar>
              <w:left w:w="15" w:type="dxa"/>
              <w:top w:w="15" w:type="dxa"/>
              <w:right w:w="15" w:type="dxa"/>
              <w:bottom w:w="15" w:type="dxa"/>
            </w:tcMar>
            <w:tcW w:w="1463"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Role of AI</w:t>
            </w:r>
            <w:r>
              <w:rPr>
                <w:rFonts w:ascii="Arial" w:hAnsi="Arial" w:eastAsia="Arial" w:cs="Arial"/>
                <w:sz w:val="20"/>
                <w:szCs w:val="20"/>
              </w:rPr>
            </w:r>
          </w:p>
        </w:tc>
        <w:tc>
          <w:tcPr>
            <w:tcBorders/>
            <w:tcMar>
              <w:left w:w="15" w:type="dxa"/>
              <w:top w:w="15" w:type="dxa"/>
              <w:right w:w="15" w:type="dxa"/>
              <w:bottom w:w="15" w:type="dxa"/>
            </w:tcMar>
            <w:tcW w:w="3750"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Conversion, forecasting, personalization, price optimization.</w:t>
            </w:r>
            <w:hyperlink r:id="rId126" w:tooltip="https://www.mckinsey.com/industries/retail/our-insights/state-of-fashion" w:history="1">
              <w:r>
                <w:rPr>
                  <w:rStyle w:val="186"/>
                  <w:rFonts w:ascii="Arial" w:hAnsi="Arial" w:eastAsia="Arial" w:cs="Arial"/>
                  <w:color w:val="0000ee"/>
                  <w:sz w:val="20"/>
                  <w:szCs w:val="20"/>
                  <w:u w:val="single"/>
                </w:rPr>
                <w:t xml:space="preserve">mckinsey</w:t>
              </w:r>
            </w:hyperlink>
            <w:r>
              <w:rPr>
                <w:rFonts w:ascii="Arial" w:hAnsi="Arial" w:eastAsia="Arial" w:cs="Arial"/>
                <w:sz w:val="20"/>
                <w:szCs w:val="20"/>
              </w:rPr>
            </w:r>
          </w:p>
        </w:tc>
        <w:tc>
          <w:tcPr>
            <w:tcBorders/>
            <w:tcMar>
              <w:left w:w="15" w:type="dxa"/>
              <w:top w:w="15" w:type="dxa"/>
              <w:right w:w="15" w:type="dxa"/>
              <w:bottom w:w="15" w:type="dxa"/>
            </w:tcMar>
            <w:tcW w:w="4141"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Personalization plus trust, service, and premium discovery.mckinsey+1</w:t>
            </w:r>
            <w:r>
              <w:rPr>
                <w:rFonts w:ascii="Arial" w:hAnsi="Arial" w:eastAsia="Arial" w:cs="Arial"/>
                <w:sz w:val="20"/>
                <w:szCs w:val="20"/>
              </w:rPr>
            </w:r>
          </w:p>
        </w:tc>
      </w:tr>
      <w:tr>
        <w:trPr/>
        <w:tc>
          <w:tcPr>
            <w:tcBorders/>
            <w:tcMar>
              <w:left w:w="15" w:type="dxa"/>
              <w:top w:w="15" w:type="dxa"/>
              <w:right w:w="15" w:type="dxa"/>
              <w:bottom w:w="15" w:type="dxa"/>
            </w:tcMar>
            <w:tcW w:w="1463"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Category emphasis</w:t>
            </w:r>
            <w:r>
              <w:rPr>
                <w:rFonts w:ascii="Arial" w:hAnsi="Arial" w:eastAsia="Arial" w:cs="Arial"/>
                <w:sz w:val="20"/>
                <w:szCs w:val="20"/>
              </w:rPr>
            </w:r>
          </w:p>
        </w:tc>
        <w:tc>
          <w:tcPr>
            <w:tcBorders/>
            <w:tcMar>
              <w:left w:w="15" w:type="dxa"/>
              <w:top w:w="15" w:type="dxa"/>
              <w:right w:w="15" w:type="dxa"/>
              <w:bottom w:w="15" w:type="dxa"/>
            </w:tcMar>
            <w:tcW w:w="3750"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Essentials, private label, accessible premium.mckinsey+1</w:t>
            </w:r>
            <w:r>
              <w:rPr>
                <w:rFonts w:ascii="Arial" w:hAnsi="Arial" w:eastAsia="Arial" w:cs="Arial"/>
                <w:sz w:val="20"/>
                <w:szCs w:val="20"/>
              </w:rPr>
            </w:r>
          </w:p>
        </w:tc>
        <w:tc>
          <w:tcPr>
            <w:tcBorders/>
            <w:tcMar>
              <w:left w:w="15" w:type="dxa"/>
              <w:top w:w="15" w:type="dxa"/>
              <w:right w:w="15" w:type="dxa"/>
              <w:bottom w:w="15" w:type="dxa"/>
            </w:tcMar>
            <w:tcW w:w="4141"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Luxury, resale, wellness-led indulgence, premium experience.bain+1</w:t>
            </w:r>
            <w:r>
              <w:rPr>
                <w:rFonts w:ascii="Arial" w:hAnsi="Arial" w:eastAsia="Arial" w:cs="Arial"/>
                <w:sz w:val="20"/>
                <w:szCs w:val="20"/>
              </w:rPr>
            </w:r>
          </w:p>
        </w:tc>
      </w:tr>
    </w:tbl>
    <w:p>
      <w:pPr>
        <w:pStyle w:val="139"/>
        <w:pBdr>
          <w:top w:val="none" w:color="000000" w:sz="4" w:space="0"/>
          <w:left w:val="none" w:color="000000" w:sz="4" w:space="0"/>
          <w:bottom w:val="none" w:color="000000" w:sz="4" w:space="0"/>
          <w:right w:val="none" w:color="000000" w:sz="4" w:space="0"/>
        </w:pBdr>
        <w:spacing/>
        <w:ind w:right="0" w:firstLine="0" w:left="0"/>
        <w:rPr>
          <w:rFonts w:ascii="Arial" w:hAnsi="Arial" w:cs="Arial"/>
          <w:sz w:val="20"/>
          <w:szCs w:val="20"/>
        </w:rPr>
      </w:pPr>
      <w:r>
        <w:rPr>
          <w:rFonts w:ascii="Arial" w:hAnsi="Arial" w:eastAsia="Arial" w:cs="Arial"/>
          <w:b/>
          <w:color w:val="000000"/>
          <w:sz w:val="20"/>
          <w:szCs w:val="20"/>
        </w:rPr>
        <w:t xml:space="preserve">Risks and opportunities</w:t>
      </w:r>
      <w:r>
        <w:rPr>
          <w:rFonts w:ascii="Arial" w:hAnsi="Arial" w:eastAsia="Arial" w:cs="Arial"/>
          <w:sz w:val="20"/>
          <w:szCs w:val="20"/>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0"/>
          <w:szCs w:val="20"/>
        </w:rPr>
      </w:pPr>
      <w:r>
        <w:rPr>
          <w:rFonts w:ascii="Arial" w:hAnsi="Arial" w:eastAsia="Arial" w:cs="Arial"/>
          <w:color w:val="000000"/>
          <w:sz w:val="20"/>
          <w:szCs w:val="20"/>
        </w:rPr>
        <w:t xml:space="preserve">The main US risk is margin erosion if brands cannot absorb cost pressure or prove value fast enough. The main EU risk is overpricing into a softer aspirational customer base, especially if luxury becomes too price-led and loses emotional differentiation.jp</w:t>
      </w:r>
      <w:r>
        <w:rPr>
          <w:rFonts w:ascii="Arial" w:hAnsi="Arial" w:eastAsia="Arial" w:cs="Arial"/>
          <w:color w:val="000000"/>
          <w:sz w:val="20"/>
          <w:szCs w:val="20"/>
        </w:rPr>
        <w:t xml:space="preserve">morgan+3</w:t>
      </w:r>
      <w:r>
        <w:rPr>
          <w:rFonts w:ascii="Arial" w:hAnsi="Arial" w:eastAsia="Arial" w:cs="Arial"/>
          <w:sz w:val="20"/>
          <w:szCs w:val="20"/>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0"/>
          <w:szCs w:val="20"/>
        </w:rPr>
      </w:pPr>
      <w:r>
        <w:rPr>
          <w:rFonts w:ascii="Arial" w:hAnsi="Arial" w:eastAsia="Arial" w:cs="Arial"/>
          <w:color w:val="000000"/>
          <w:sz w:val="20"/>
          <w:szCs w:val="20"/>
        </w:rPr>
        <w:t xml:space="preserve">The opportunity in the US is to use AI and merchandising precision to protect demand while tightening economics. The opportunity in the EU is to deepen desirability through storytelling, service, craftsmanship, and resale-enabled entry points that keep the</w:t>
      </w:r>
      <w:r>
        <w:rPr>
          <w:rFonts w:ascii="Arial" w:hAnsi="Arial" w:eastAsia="Arial" w:cs="Arial"/>
          <w:color w:val="000000"/>
          <w:sz w:val="20"/>
          <w:szCs w:val="20"/>
        </w:rPr>
        <w:t xml:space="preserve"> brand aspirational.bain+1</w:t>
      </w:r>
      <w:r>
        <w:rPr>
          <w:rFonts w:ascii="Arial" w:hAnsi="Arial" w:eastAsia="Arial" w:cs="Arial"/>
          <w:sz w:val="20"/>
          <w:szCs w:val="20"/>
        </w:rPr>
      </w:r>
    </w:p>
    <w:p>
      <w:pPr>
        <w:pStyle w:val="139"/>
        <w:pBdr>
          <w:top w:val="none" w:color="000000" w:sz="4" w:space="0"/>
          <w:left w:val="none" w:color="000000" w:sz="4" w:space="0"/>
          <w:bottom w:val="none" w:color="000000" w:sz="4" w:space="0"/>
          <w:right w:val="none" w:color="000000" w:sz="4" w:space="0"/>
        </w:pBdr>
        <w:spacing/>
        <w:ind w:right="0" w:firstLine="0" w:left="0"/>
        <w:rPr>
          <w:rFonts w:ascii="Arial" w:hAnsi="Arial" w:cs="Arial"/>
          <w:sz w:val="20"/>
          <w:szCs w:val="20"/>
        </w:rPr>
      </w:pPr>
      <w:r>
        <w:rPr>
          <w:rFonts w:ascii="Arial" w:hAnsi="Arial" w:eastAsia="Arial" w:cs="Arial"/>
          <w:b/>
          <w:color w:val="000000"/>
          <w:sz w:val="20"/>
          <w:szCs w:val="20"/>
        </w:rPr>
        <w:t xml:space="preserve">Bottom line</w:t>
      </w:r>
      <w:r>
        <w:rPr>
          <w:rFonts w:ascii="Arial" w:hAnsi="Arial" w:eastAsia="Arial" w:cs="Arial"/>
          <w:sz w:val="20"/>
          <w:szCs w:val="20"/>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0"/>
          <w:szCs w:val="20"/>
        </w:rPr>
      </w:pPr>
      <w:r>
        <w:rPr>
          <w:rFonts w:ascii="Arial" w:hAnsi="Arial" w:eastAsia="Arial" w:cs="Arial"/>
          <w:color w:val="000000"/>
          <w:sz w:val="20"/>
          <w:szCs w:val="20"/>
        </w:rPr>
        <w:t xml:space="preserve">The US is heading toward a </w:t>
      </w:r>
      <w:r>
        <w:rPr>
          <w:rFonts w:ascii="Arial" w:hAnsi="Arial" w:eastAsia="Arial" w:cs="Arial"/>
          <w:b/>
          <w:color w:val="000000"/>
          <w:sz w:val="20"/>
          <w:szCs w:val="20"/>
        </w:rPr>
        <w:t xml:space="preserve">price-sensitive, efficiency-first</w:t>
      </w:r>
      <w:r>
        <w:rPr>
          <w:rFonts w:ascii="Arial" w:hAnsi="Arial" w:eastAsia="Arial" w:cs="Arial"/>
          <w:color w:val="000000"/>
          <w:sz w:val="20"/>
          <w:szCs w:val="20"/>
        </w:rPr>
        <w:t xml:space="preserve"> retail model, while the EU is leaning toward a </w:t>
      </w:r>
      <w:r>
        <w:rPr>
          <w:rFonts w:ascii="Arial" w:hAnsi="Arial" w:eastAsia="Arial" w:cs="Arial"/>
          <w:b/>
          <w:color w:val="000000"/>
          <w:sz w:val="20"/>
          <w:szCs w:val="20"/>
        </w:rPr>
        <w:t xml:space="preserve">desirability-led, emotional-value</w:t>
      </w:r>
      <w:r>
        <w:rPr>
          <w:rFonts w:ascii="Arial" w:hAnsi="Arial" w:eastAsia="Arial" w:cs="Arial"/>
          <w:color w:val="000000"/>
          <w:sz w:val="20"/>
          <w:szCs w:val="20"/>
        </w:rPr>
        <w:t xml:space="preserve"> model. Both regions still need AI, but in the US it is mainly a cost-and-conversion lever, whereas in the EU it is more of a personalization and premium-experience enhancer.statista+3</w:t>
      </w:r>
      <w:r>
        <w:rPr>
          <w:rFonts w:ascii="Arial" w:hAnsi="Arial" w:eastAsia="Arial" w:cs="Arial"/>
          <w:sz w:val="20"/>
          <w:szCs w:val="20"/>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0"/>
          <w:szCs w:val="20"/>
        </w:rPr>
      </w:pPr>
      <w:r>
        <w:rPr>
          <w:rFonts w:ascii="Arial" w:hAnsi="Arial" w:eastAsia="Arial" w:cs="Arial"/>
          <w:color w:val="000000"/>
          <w:sz w:val="20"/>
          <w:szCs w:val="20"/>
        </w:rPr>
        <w:t xml:space="preserve">Would you like a one-page matrix breaking this down by category: grocery, beauty, apparel, and luxury?</w:t>
      </w:r>
      <w:r>
        <w:rPr>
          <w:rFonts w:ascii="Arial" w:hAnsi="Arial" w:eastAsia="Arial" w:cs="Arial"/>
          <w:sz w:val="20"/>
          <w:szCs w:val="20"/>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0"/>
          <w:szCs w:val="20"/>
        </w:rPr>
      </w:pPr>
      <w:r>
        <w:rPr>
          <w:rFonts w:ascii="Arial" w:hAnsi="Arial" w:eastAsia="Arial" w:cs="Arial"/>
          <w:color w:val="000000"/>
          <w:sz w:val="20"/>
          <w:szCs w:val="20"/>
        </w:rPr>
        <w:t xml:space="preserve">The Finland read-through is: in the near term, retail should assume </w:t>
      </w:r>
      <w:r>
        <w:rPr>
          <w:rFonts w:ascii="Arial" w:hAnsi="Arial" w:eastAsia="Arial" w:cs="Arial"/>
          <w:b/>
          <w:color w:val="000000"/>
          <w:sz w:val="20"/>
          <w:szCs w:val="20"/>
        </w:rPr>
        <w:t xml:space="preserve">high caution, delayed discretionary spending, and strong value-seeking behavior</w:t>
      </w:r>
      <w:r>
        <w:rPr>
          <w:rFonts w:ascii="Arial" w:hAnsi="Arial" w:eastAsia="Arial" w:cs="Arial"/>
          <w:color w:val="000000"/>
          <w:sz w:val="20"/>
          <w:szCs w:val="20"/>
        </w:rPr>
        <w:t xml:space="preserve">, but plan for a gradual recovery in 2026-2027 as purchasing power improves. That means the US-style “price-first” logic matters more in Finland right now than the EU luxury-emotional model, especially for mainstream retail, grocery, and non-essential cate</w:t>
      </w:r>
      <w:r>
        <w:rPr>
          <w:rFonts w:ascii="Arial" w:hAnsi="Arial" w:eastAsia="Arial" w:cs="Arial"/>
          <w:color w:val="000000"/>
          <w:sz w:val="20"/>
          <w:szCs w:val="20"/>
        </w:rPr>
        <w:t xml:space="preserve">gories.kauppa+2</w:t>
      </w:r>
      <w:r>
        <w:rPr>
          <w:rFonts w:ascii="Arial" w:hAnsi="Arial" w:eastAsia="Arial" w:cs="Arial"/>
          <w:sz w:val="20"/>
          <w:szCs w:val="20"/>
        </w:rPr>
      </w:r>
    </w:p>
    <w:p>
      <w:pPr>
        <w:pStyle w:val="139"/>
        <w:pBdr>
          <w:top w:val="none" w:color="000000" w:sz="4" w:space="0"/>
          <w:left w:val="none" w:color="000000" w:sz="4" w:space="0"/>
          <w:bottom w:val="none" w:color="000000" w:sz="4" w:space="0"/>
          <w:right w:val="none" w:color="000000" w:sz="4" w:space="0"/>
        </w:pBdr>
        <w:spacing/>
        <w:ind w:right="0" w:firstLine="0" w:left="0"/>
        <w:rPr>
          <w:rFonts w:ascii="Arial" w:hAnsi="Arial" w:cs="Arial"/>
          <w:sz w:val="20"/>
          <w:szCs w:val="20"/>
        </w:rPr>
      </w:pPr>
      <w:r>
        <w:rPr>
          <w:rFonts w:ascii="Arial" w:hAnsi="Arial" w:eastAsia="Arial" w:cs="Arial"/>
          <w:b/>
          <w:color w:val="000000"/>
          <w:sz w:val="20"/>
          <w:szCs w:val="20"/>
        </w:rPr>
        <w:t xml:space="preserve">What Finland changes</w:t>
      </w:r>
      <w:r>
        <w:rPr>
          <w:rFonts w:ascii="Arial" w:hAnsi="Arial" w:eastAsia="Arial" w:cs="Arial"/>
          <w:sz w:val="20"/>
          <w:szCs w:val="20"/>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0"/>
          <w:szCs w:val="20"/>
        </w:rPr>
      </w:pPr>
      <w:r>
        <w:rPr>
          <w:rFonts w:ascii="Arial" w:hAnsi="Arial" w:eastAsia="Arial" w:cs="Arial"/>
          <w:color w:val="000000"/>
          <w:sz w:val="20"/>
          <w:szCs w:val="20"/>
        </w:rPr>
        <w:t xml:space="preserve">Finland’s consumer confidence is very weak in 2026, with Statistics Finland reporting a consumer confidence indicator of -11.5 in March and saying the time was still regarded as very unfavorable for durable goods purchases. The Finnish Commerce Federation </w:t>
      </w:r>
      <w:r>
        <w:rPr>
          <w:rFonts w:ascii="Arial" w:hAnsi="Arial" w:eastAsia="Arial" w:cs="Arial"/>
          <w:color w:val="000000"/>
          <w:sz w:val="20"/>
          <w:szCs w:val="20"/>
        </w:rPr>
        <w:t xml:space="preserve">also says consumers are cautious, retail jobs may fall by 12,000-13,000 by 2027 versus 2024, and demand recovery is slow and uncertain.stat+1</w:t>
      </w:r>
      <w:r>
        <w:rPr>
          <w:rFonts w:ascii="Arial" w:hAnsi="Arial" w:eastAsia="Arial" w:cs="Arial"/>
          <w:sz w:val="20"/>
          <w:szCs w:val="20"/>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0"/>
          <w:szCs w:val="20"/>
        </w:rPr>
      </w:pPr>
      <w:r>
        <w:rPr>
          <w:rFonts w:ascii="Arial" w:hAnsi="Arial" w:eastAsia="Arial" w:cs="Arial"/>
          <w:color w:val="000000"/>
          <w:sz w:val="20"/>
          <w:szCs w:val="20"/>
        </w:rPr>
        <w:t xml:space="preserve">At the same time, the Bank of Finland expects consumption to start rising in 2026 and strengthen in 2027-2028 as real earnings improve, the labor market gradually recovers, and interest payments fall. So the strategy should be built for a weak present, but</w:t>
      </w:r>
      <w:r>
        <w:rPr>
          <w:rFonts w:ascii="Arial" w:hAnsi="Arial" w:eastAsia="Arial" w:cs="Arial"/>
          <w:color w:val="000000"/>
          <w:sz w:val="20"/>
          <w:szCs w:val="20"/>
        </w:rPr>
        <w:t xml:space="preserve"> with a recovery window opening later in the cycle.dailyfinland+2</w:t>
      </w:r>
      <w:r>
        <w:rPr>
          <w:rFonts w:ascii="Arial" w:hAnsi="Arial" w:eastAsia="Arial" w:cs="Arial"/>
          <w:sz w:val="20"/>
          <w:szCs w:val="20"/>
        </w:rPr>
      </w:r>
    </w:p>
    <w:p>
      <w:pPr>
        <w:pStyle w:val="139"/>
        <w:pBdr>
          <w:top w:val="none" w:color="000000" w:sz="4" w:space="0"/>
          <w:left w:val="none" w:color="000000" w:sz="4" w:space="0"/>
          <w:bottom w:val="none" w:color="000000" w:sz="4" w:space="0"/>
          <w:right w:val="none" w:color="000000" w:sz="4" w:space="0"/>
        </w:pBdr>
        <w:spacing/>
        <w:ind w:right="0" w:firstLine="0" w:left="0"/>
        <w:rPr>
          <w:rFonts w:ascii="Arial" w:hAnsi="Arial" w:cs="Arial"/>
          <w:sz w:val="20"/>
          <w:szCs w:val="20"/>
        </w:rPr>
      </w:pPr>
      <w:r>
        <w:rPr>
          <w:rFonts w:ascii="Arial" w:hAnsi="Arial" w:eastAsia="Arial" w:cs="Arial"/>
          <w:b/>
          <w:color w:val="000000"/>
          <w:sz w:val="20"/>
          <w:szCs w:val="20"/>
        </w:rPr>
        <w:t xml:space="preserve">What to do in retail</w:t>
      </w:r>
      <w:r>
        <w:rPr>
          <w:rFonts w:ascii="Arial" w:hAnsi="Arial" w:eastAsia="Arial" w:cs="Arial"/>
          <w:sz w:val="20"/>
          <w:szCs w:val="20"/>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color w:val="000000"/>
          <w:sz w:val="20"/>
          <w:szCs w:val="20"/>
          <w:highlight w:val="none"/>
        </w:rPr>
      </w:pPr>
      <w:r>
        <w:rPr>
          <w:rFonts w:ascii="Arial" w:hAnsi="Arial" w:eastAsia="Arial" w:cs="Arial"/>
          <w:color w:val="000000"/>
          <w:sz w:val="20"/>
          <w:szCs w:val="20"/>
        </w:rPr>
        <w:t xml:space="preserve">For mass retail, food, and everyday shopping, Finland favors sharp price architecture, smaller-value entry points, private label, and “safe savings” messaging. Consumers are already hesitant about durable goods and major purchases, so retailers need to mak</w:t>
      </w:r>
      <w:r>
        <w:rPr>
          <w:rFonts w:ascii="Arial" w:hAnsi="Arial" w:eastAsia="Arial" w:cs="Arial"/>
          <w:color w:val="000000"/>
          <w:sz w:val="20"/>
          <w:szCs w:val="20"/>
        </w:rPr>
        <w:t xml:space="preserve">e the value proposition obvious, immediate, and low-risk.stat+2</w:t>
      </w:r>
      <w:r>
        <w:rPr>
          <w:rFonts w:ascii="Arial" w:hAnsi="Arial" w:eastAsia="Arial" w:cs="Arial"/>
          <w:sz w:val="20"/>
          <w:szCs w:val="20"/>
        </w:rPr>
      </w:r>
      <w:r>
        <w:rPr>
          <w:rFonts w:ascii="Arial" w:hAnsi="Arial" w:eastAsia="Arial" w:cs="Arial"/>
          <w:color w:val="000000"/>
          <w:sz w:val="20"/>
          <w:szCs w:val="20"/>
          <w:highlight w:val="none"/>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0"/>
          <w:szCs w:val="20"/>
        </w:rPr>
      </w:pPr>
      <w:r>
        <w:rPr>
          <w:rFonts w:ascii="Arial" w:hAnsi="Arial" w:eastAsia="Arial" w:cs="Arial"/>
          <w:color w:val="000000"/>
          <w:sz w:val="20"/>
          <w:szCs w:val="20"/>
          <w:highlight w:val="none"/>
        </w:rPr>
      </w:r>
      <w:r>
        <w:rPr>
          <w:rFonts w:ascii="Arial" w:hAnsi="Arial" w:eastAsia="Arial" w:cs="Arial"/>
          <w:color w:val="000000"/>
          <w:sz w:val="20"/>
          <w:szCs w:val="20"/>
        </w:rPr>
        <mc:AlternateContent>
          <mc:Choice Requires="wpg">
            <w:drawing>
              <wp:inline xmlns:wp="http://schemas.openxmlformats.org/drawingml/2006/wordprocessingDrawing" distT="0" distB="0" distL="0" distR="0">
                <wp:extent cx="5943600" cy="3714750"/>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691034" name=""/>
                        <pic:cNvPicPr>
                          <a:picLocks noChangeAspect="1"/>
                        </pic:cNvPicPr>
                        <pic:nvPr/>
                      </pic:nvPicPr>
                      <pic:blipFill>
                        <a:blip r:embed="rId127"/>
                        <a:stretch/>
                      </pic:blipFill>
                      <pic:spPr bwMode="auto">
                        <a:xfrm>
                          <a:off x="0" y="0"/>
                          <a:ext cx="5943599" cy="37147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8.00pt;height:292.50pt;mso-wrap-distance-left:0.00pt;mso-wrap-distance-top:0.00pt;mso-wrap-distance-right:0.00pt;mso-wrap-distance-bottom:0.00pt;z-index:1;" stroked="false">
                <v:imagedata r:id="rId127" o:title=""/>
                <o:lock v:ext="edit" rotation="t"/>
              </v:shape>
            </w:pict>
          </mc:Fallback>
        </mc:AlternateContent>
      </w:r>
      <w:r>
        <w:rPr>
          <w:rFonts w:ascii="Arial" w:hAnsi="Arial" w:eastAsia="Arial" w:cs="Arial"/>
          <w:color w:val="000000"/>
          <w:sz w:val="20"/>
          <w:szCs w:val="20"/>
          <w:highlight w:val="none"/>
        </w:rPr>
      </w:r>
      <w:r>
        <w:rPr>
          <w:rFonts w:ascii="Arial" w:hAnsi="Arial" w:eastAsia="Arial" w:cs="Arial"/>
          <w:color w:val="000000"/>
          <w:sz w:val="20"/>
          <w:szCs w:val="20"/>
          <w:highlight w:val="none"/>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0"/>
          <w:szCs w:val="20"/>
        </w:rPr>
      </w:pPr>
      <w:r>
        <w:rPr>
          <w:rFonts w:ascii="Arial" w:hAnsi="Arial" w:eastAsia="Arial" w:cs="Arial"/>
          <w:color w:val="000000"/>
          <w:sz w:val="20"/>
          <w:szCs w:val="20"/>
        </w:rPr>
        <w:t xml:space="preserve">For premium categories, the Finland version of “emotional luxury” is not flashy indulgence; it is </w:t>
      </w:r>
      <w:r>
        <w:rPr>
          <w:rFonts w:ascii="Arial" w:hAnsi="Arial" w:eastAsia="Arial" w:cs="Arial"/>
          <w:b/>
          <w:color w:val="000000"/>
          <w:sz w:val="20"/>
          <w:szCs w:val="20"/>
        </w:rPr>
        <w:t xml:space="preserve">worthwhile treat spending</w:t>
      </w:r>
      <w:r>
        <w:rPr>
          <w:rFonts w:ascii="Arial" w:hAnsi="Arial" w:eastAsia="Arial" w:cs="Arial"/>
          <w:color w:val="000000"/>
          <w:sz w:val="20"/>
          <w:szCs w:val="20"/>
        </w:rPr>
        <w:t xml:space="preserve">. That means products and experiences should feel justified through quality, longevity, local relevance, sustainability with savings, or convenience rather than pure status signaling.forbes+2</w:t>
      </w:r>
      <w:r>
        <w:rPr>
          <w:rFonts w:ascii="Arial" w:hAnsi="Arial" w:eastAsia="Arial" w:cs="Arial"/>
          <w:sz w:val="20"/>
          <w:szCs w:val="20"/>
        </w:rPr>
      </w:r>
    </w:p>
    <w:p>
      <w:pPr>
        <w:pStyle w:val="139"/>
        <w:pBdr>
          <w:top w:val="none" w:color="000000" w:sz="4" w:space="0"/>
          <w:left w:val="none" w:color="000000" w:sz="4" w:space="0"/>
          <w:bottom w:val="none" w:color="000000" w:sz="4" w:space="0"/>
          <w:right w:val="none" w:color="000000" w:sz="4" w:space="0"/>
        </w:pBdr>
        <w:spacing/>
        <w:ind w:right="0" w:firstLine="0" w:left="0"/>
        <w:rPr>
          <w:rFonts w:ascii="Arial" w:hAnsi="Arial" w:cs="Arial"/>
          <w:sz w:val="20"/>
          <w:szCs w:val="20"/>
        </w:rPr>
      </w:pPr>
      <w:r>
        <w:rPr>
          <w:rFonts w:ascii="Arial" w:hAnsi="Arial" w:eastAsia="Arial" w:cs="Arial"/>
          <w:b/>
          <w:color w:val="000000"/>
          <w:sz w:val="20"/>
          <w:szCs w:val="20"/>
        </w:rPr>
        <w:t xml:space="preserve">Category implications</w:t>
      </w:r>
      <w:r>
        <w:rPr>
          <w:rFonts w:ascii="Arial" w:hAnsi="Arial" w:eastAsia="Arial" w:cs="Arial"/>
          <w:sz w:val="20"/>
          <w:szCs w:val="20"/>
        </w:rPr>
      </w:r>
    </w:p>
    <w:tbl>
      <w:tblPr>
        <w:tblStyle w:val="11"/>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062"/>
        <w:gridCol w:w="4195"/>
        <w:gridCol w:w="4097"/>
      </w:tblGrid>
      <w:tr>
        <w:trPr/>
        <w:tc>
          <w:tcPr>
            <w:tcBorders/>
            <w:tcMar>
              <w:left w:w="15" w:type="dxa"/>
              <w:top w:w="15" w:type="dxa"/>
              <w:right w:w="15" w:type="dxa"/>
              <w:bottom w:w="15" w:type="dxa"/>
            </w:tcMar>
            <w:tcW w:w="1062" w:type="dxa"/>
            <w:vAlign w:val="center"/>
            <w:textDirection w:val="lrTb"/>
            <w:noWrap w:val="false"/>
          </w:tcPr>
          <w:p>
            <w:pPr>
              <w:pBdr/>
              <w:spacing w:after="0" w:before="0" w:line="240"/>
              <w:ind/>
              <w:jc w:val="center"/>
              <w:rPr>
                <w:rFonts w:ascii="Arial" w:hAnsi="Arial" w:cs="Arial"/>
                <w:sz w:val="20"/>
                <w:szCs w:val="20"/>
              </w:rPr>
            </w:pPr>
            <w:r>
              <w:rPr>
                <w:rFonts w:ascii="Arial" w:hAnsi="Arial" w:eastAsia="Arial" w:cs="Arial"/>
                <w:b/>
                <w:color w:val="000000"/>
                <w:sz w:val="20"/>
                <w:szCs w:val="20"/>
              </w:rPr>
              <w:t xml:space="preserve">Category</w:t>
            </w:r>
            <w:r>
              <w:rPr>
                <w:rFonts w:ascii="Arial" w:hAnsi="Arial" w:eastAsia="Arial" w:cs="Arial"/>
                <w:sz w:val="20"/>
                <w:szCs w:val="20"/>
              </w:rPr>
            </w:r>
          </w:p>
        </w:tc>
        <w:tc>
          <w:tcPr>
            <w:tcBorders/>
            <w:tcMar>
              <w:left w:w="15" w:type="dxa"/>
              <w:top w:w="15" w:type="dxa"/>
              <w:right w:w="15" w:type="dxa"/>
              <w:bottom w:w="15" w:type="dxa"/>
            </w:tcMar>
            <w:tcW w:w="4195" w:type="dxa"/>
            <w:vAlign w:val="center"/>
            <w:textDirection w:val="lrTb"/>
            <w:noWrap w:val="false"/>
          </w:tcPr>
          <w:p>
            <w:pPr>
              <w:pBdr/>
              <w:spacing w:after="0" w:before="0" w:line="240"/>
              <w:ind/>
              <w:jc w:val="center"/>
              <w:rPr>
                <w:rFonts w:ascii="Arial" w:hAnsi="Arial" w:cs="Arial"/>
                <w:sz w:val="20"/>
                <w:szCs w:val="20"/>
              </w:rPr>
            </w:pPr>
            <w:r>
              <w:rPr>
                <w:rFonts w:ascii="Arial" w:hAnsi="Arial" w:eastAsia="Arial" w:cs="Arial"/>
                <w:b/>
                <w:color w:val="000000"/>
                <w:sz w:val="20"/>
                <w:szCs w:val="20"/>
              </w:rPr>
              <w:t xml:space="preserve">Finland implication</w:t>
            </w:r>
            <w:r>
              <w:rPr>
                <w:rFonts w:ascii="Arial" w:hAnsi="Arial" w:eastAsia="Arial" w:cs="Arial"/>
                <w:sz w:val="20"/>
                <w:szCs w:val="20"/>
              </w:rPr>
            </w:r>
          </w:p>
        </w:tc>
        <w:tc>
          <w:tcPr>
            <w:tcBorders/>
            <w:tcMar>
              <w:left w:w="15" w:type="dxa"/>
              <w:top w:w="15" w:type="dxa"/>
              <w:right w:w="15" w:type="dxa"/>
              <w:bottom w:w="15" w:type="dxa"/>
            </w:tcMar>
            <w:tcW w:w="4097" w:type="dxa"/>
            <w:vAlign w:val="center"/>
            <w:textDirection w:val="lrTb"/>
            <w:noWrap w:val="false"/>
          </w:tcPr>
          <w:p>
            <w:pPr>
              <w:pBdr/>
              <w:spacing w:after="0" w:before="0" w:line="240"/>
              <w:ind/>
              <w:jc w:val="center"/>
              <w:rPr>
                <w:rFonts w:ascii="Arial" w:hAnsi="Arial" w:cs="Arial"/>
                <w:sz w:val="20"/>
                <w:szCs w:val="20"/>
              </w:rPr>
            </w:pPr>
            <w:r>
              <w:rPr>
                <w:rFonts w:ascii="Arial" w:hAnsi="Arial" w:eastAsia="Arial" w:cs="Arial"/>
                <w:b/>
                <w:color w:val="000000"/>
                <w:sz w:val="20"/>
                <w:szCs w:val="20"/>
              </w:rPr>
              <w:t xml:space="preserve">Best strategy</w:t>
            </w:r>
            <w:r>
              <w:rPr>
                <w:rFonts w:ascii="Arial" w:hAnsi="Arial" w:eastAsia="Arial" w:cs="Arial"/>
                <w:sz w:val="20"/>
                <w:szCs w:val="20"/>
              </w:rPr>
            </w:r>
          </w:p>
        </w:tc>
      </w:tr>
      <w:tr>
        <w:trPr/>
        <w:tc>
          <w:tcPr>
            <w:tcBorders/>
            <w:tcMar>
              <w:left w:w="15" w:type="dxa"/>
              <w:top w:w="15" w:type="dxa"/>
              <w:right w:w="15" w:type="dxa"/>
              <w:bottom w:w="15" w:type="dxa"/>
            </w:tcMar>
            <w:tcW w:w="1062"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Grocery</w:t>
            </w:r>
            <w:r>
              <w:rPr>
                <w:rFonts w:ascii="Arial" w:hAnsi="Arial" w:eastAsia="Arial" w:cs="Arial"/>
                <w:sz w:val="20"/>
                <w:szCs w:val="20"/>
              </w:rPr>
            </w:r>
          </w:p>
        </w:tc>
        <w:tc>
          <w:tcPr>
            <w:tcBorders/>
            <w:tcMar>
              <w:left w:w="15" w:type="dxa"/>
              <w:top w:w="15" w:type="dxa"/>
              <w:right w:w="15" w:type="dxa"/>
              <w:bottom w:w="15" w:type="dxa"/>
            </w:tcMar>
            <w:tcW w:w="4195"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Defend basket size and frequency under tight budgets.kauppa+1</w:t>
            </w:r>
            <w:r>
              <w:rPr>
                <w:rFonts w:ascii="Arial" w:hAnsi="Arial" w:eastAsia="Arial" w:cs="Arial"/>
                <w:sz w:val="20"/>
                <w:szCs w:val="20"/>
              </w:rPr>
            </w:r>
          </w:p>
        </w:tc>
        <w:tc>
          <w:tcPr>
            <w:tcBorders/>
            <w:tcMar>
              <w:left w:w="15" w:type="dxa"/>
              <w:top w:w="15" w:type="dxa"/>
              <w:right w:w="15" w:type="dxa"/>
              <w:bottom w:w="15" w:type="dxa"/>
            </w:tcMar>
            <w:tcW w:w="4097"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Strong private label, pack-size flexibility, loyalty value, price visibility.</w:t>
            </w:r>
            <w:r>
              <w:rPr>
                <w:rFonts w:ascii="Arial" w:hAnsi="Arial" w:eastAsia="Arial" w:cs="Arial"/>
                <w:sz w:val="20"/>
                <w:szCs w:val="20"/>
              </w:rPr>
            </w:r>
          </w:p>
        </w:tc>
      </w:tr>
      <w:tr>
        <w:trPr/>
        <w:tc>
          <w:tcPr>
            <w:tcBorders/>
            <w:tcMar>
              <w:left w:w="15" w:type="dxa"/>
              <w:top w:w="15" w:type="dxa"/>
              <w:right w:w="15" w:type="dxa"/>
              <w:bottom w:w="15" w:type="dxa"/>
            </w:tcMar>
            <w:tcW w:w="1062"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Beauty</w:t>
            </w:r>
            <w:r>
              <w:rPr>
                <w:rFonts w:ascii="Arial" w:hAnsi="Arial" w:eastAsia="Arial" w:cs="Arial"/>
                <w:sz w:val="20"/>
                <w:szCs w:val="20"/>
              </w:rPr>
            </w:r>
          </w:p>
        </w:tc>
        <w:tc>
          <w:tcPr>
            <w:tcBorders/>
            <w:tcMar>
              <w:left w:w="15" w:type="dxa"/>
              <w:top w:w="15" w:type="dxa"/>
              <w:right w:w="15" w:type="dxa"/>
              <w:bottom w:w="15" w:type="dxa"/>
            </w:tcMar>
            <w:tcW w:w="4195"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Selective premium can still work if it feels like self-care and value.mckinsey+1</w:t>
            </w:r>
            <w:r>
              <w:rPr>
                <w:rFonts w:ascii="Arial" w:hAnsi="Arial" w:eastAsia="Arial" w:cs="Arial"/>
                <w:sz w:val="20"/>
                <w:szCs w:val="20"/>
              </w:rPr>
            </w:r>
          </w:p>
        </w:tc>
        <w:tc>
          <w:tcPr>
            <w:tcBorders/>
            <w:tcMar>
              <w:left w:w="15" w:type="dxa"/>
              <w:top w:w="15" w:type="dxa"/>
              <w:right w:w="15" w:type="dxa"/>
              <w:bottom w:w="15" w:type="dxa"/>
            </w:tcMar>
            <w:tcW w:w="4097"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Accessible premium, bundles, efficacy claims, “treat but rational” positioning.</w:t>
            </w:r>
            <w:r>
              <w:rPr>
                <w:rFonts w:ascii="Arial" w:hAnsi="Arial" w:eastAsia="Arial" w:cs="Arial"/>
                <w:sz w:val="20"/>
                <w:szCs w:val="20"/>
              </w:rPr>
            </w:r>
          </w:p>
        </w:tc>
      </w:tr>
      <w:tr>
        <w:trPr/>
        <w:tc>
          <w:tcPr>
            <w:tcBorders/>
            <w:tcMar>
              <w:left w:w="15" w:type="dxa"/>
              <w:top w:w="15" w:type="dxa"/>
              <w:right w:w="15" w:type="dxa"/>
              <w:bottom w:w="15" w:type="dxa"/>
            </w:tcMar>
            <w:tcW w:w="1062"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Apparel</w:t>
            </w:r>
            <w:r>
              <w:rPr>
                <w:rFonts w:ascii="Arial" w:hAnsi="Arial" w:eastAsia="Arial" w:cs="Arial"/>
                <w:sz w:val="20"/>
                <w:szCs w:val="20"/>
              </w:rPr>
            </w:r>
          </w:p>
        </w:tc>
        <w:tc>
          <w:tcPr>
            <w:tcBorders/>
            <w:tcMar>
              <w:left w:w="15" w:type="dxa"/>
              <w:top w:w="15" w:type="dxa"/>
              <w:right w:w="15" w:type="dxa"/>
              <w:bottom w:w="15" w:type="dxa"/>
            </w:tcMar>
            <w:tcW w:w="4195"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Weak discretionary demand, but second-hand and resale remain attractive.</w:t>
            </w:r>
            <w:hyperlink r:id="rId128" w:tooltip="https://www.forbes.com/sites/dennismitzner/2023/10/02/shopping-slump-and-second-hand-craze-in-finland-linked-to-financial-constraints-not-eco-consciousness/" w:history="1">
              <w:r>
                <w:rPr>
                  <w:rStyle w:val="186"/>
                  <w:rFonts w:ascii="Arial" w:hAnsi="Arial" w:eastAsia="Arial" w:cs="Arial"/>
                  <w:color w:val="0000ee"/>
                  <w:sz w:val="20"/>
                  <w:szCs w:val="20"/>
                  <w:u w:val="single"/>
                </w:rPr>
                <w:t xml:space="preserve">forbes</w:t>
              </w:r>
            </w:hyperlink>
            <w:r>
              <w:rPr>
                <w:rFonts w:ascii="Arial" w:hAnsi="Arial" w:eastAsia="Arial" w:cs="Arial"/>
                <w:sz w:val="20"/>
                <w:szCs w:val="20"/>
              </w:rPr>
            </w:r>
          </w:p>
        </w:tc>
        <w:tc>
          <w:tcPr>
            <w:tcBorders/>
            <w:tcMar>
              <w:left w:w="15" w:type="dxa"/>
              <w:top w:w="15" w:type="dxa"/>
              <w:right w:w="15" w:type="dxa"/>
              <w:bottom w:w="15" w:type="dxa"/>
            </w:tcMar>
            <w:tcW w:w="4097"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Circular offers, outlet, repair, resale, entry-price lines.</w:t>
            </w:r>
            <w:r>
              <w:rPr>
                <w:rFonts w:ascii="Arial" w:hAnsi="Arial" w:eastAsia="Arial" w:cs="Arial"/>
                <w:sz w:val="20"/>
                <w:szCs w:val="20"/>
              </w:rPr>
            </w:r>
          </w:p>
        </w:tc>
      </w:tr>
      <w:tr>
        <w:trPr/>
        <w:tc>
          <w:tcPr>
            <w:tcBorders/>
            <w:tcMar>
              <w:left w:w="15" w:type="dxa"/>
              <w:top w:w="15" w:type="dxa"/>
              <w:right w:w="15" w:type="dxa"/>
              <w:bottom w:w="15" w:type="dxa"/>
            </w:tcMar>
            <w:tcW w:w="1062"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Electronics/durables</w:t>
            </w:r>
            <w:r>
              <w:rPr>
                <w:rFonts w:ascii="Arial" w:hAnsi="Arial" w:eastAsia="Arial" w:cs="Arial"/>
                <w:sz w:val="20"/>
                <w:szCs w:val="20"/>
              </w:rPr>
            </w:r>
          </w:p>
        </w:tc>
        <w:tc>
          <w:tcPr>
            <w:tcBorders/>
            <w:tcMar>
              <w:left w:w="15" w:type="dxa"/>
              <w:top w:w="15" w:type="dxa"/>
              <w:right w:w="15" w:type="dxa"/>
              <w:bottom w:w="15" w:type="dxa"/>
            </w:tcMar>
            <w:tcW w:w="4195"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Very cautious purchase environment.stat+1</w:t>
            </w:r>
            <w:r>
              <w:rPr>
                <w:rFonts w:ascii="Arial" w:hAnsi="Arial" w:eastAsia="Arial" w:cs="Arial"/>
                <w:sz w:val="20"/>
                <w:szCs w:val="20"/>
              </w:rPr>
            </w:r>
          </w:p>
        </w:tc>
        <w:tc>
          <w:tcPr>
            <w:tcBorders/>
            <w:tcMar>
              <w:left w:w="15" w:type="dxa"/>
              <w:top w:w="15" w:type="dxa"/>
              <w:right w:w="15" w:type="dxa"/>
              <w:bottom w:w="15" w:type="dxa"/>
            </w:tcMar>
            <w:tcW w:w="4097"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Financing, guarantees, trade-in, deferred purchase, clear need-state messaging.</w:t>
            </w:r>
            <w:r>
              <w:rPr>
                <w:rFonts w:ascii="Arial" w:hAnsi="Arial" w:eastAsia="Arial" w:cs="Arial"/>
                <w:sz w:val="20"/>
                <w:szCs w:val="20"/>
              </w:rPr>
            </w:r>
          </w:p>
        </w:tc>
      </w:tr>
      <w:tr>
        <w:trPr/>
        <w:tc>
          <w:tcPr>
            <w:tcBorders/>
            <w:tcMar>
              <w:left w:w="15" w:type="dxa"/>
              <w:top w:w="15" w:type="dxa"/>
              <w:right w:w="15" w:type="dxa"/>
              <w:bottom w:w="15" w:type="dxa"/>
            </w:tcMar>
            <w:tcW w:w="1062"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Luxury</w:t>
            </w:r>
            <w:r>
              <w:rPr>
                <w:rFonts w:ascii="Arial" w:hAnsi="Arial" w:eastAsia="Arial" w:cs="Arial"/>
                <w:sz w:val="20"/>
                <w:szCs w:val="20"/>
              </w:rPr>
            </w:r>
          </w:p>
        </w:tc>
        <w:tc>
          <w:tcPr>
            <w:tcBorders/>
            <w:tcMar>
              <w:left w:w="15" w:type="dxa"/>
              <w:top w:w="15" w:type="dxa"/>
              <w:right w:w="15" w:type="dxa"/>
              <w:bottom w:w="15" w:type="dxa"/>
            </w:tcMar>
            <w:tcW w:w="4195"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Much smaller opportunity than in Western Europe’s aspirational hubs.bain+1</w:t>
            </w:r>
            <w:r>
              <w:rPr>
                <w:rFonts w:ascii="Arial" w:hAnsi="Arial" w:eastAsia="Arial" w:cs="Arial"/>
                <w:sz w:val="20"/>
                <w:szCs w:val="20"/>
              </w:rPr>
            </w:r>
          </w:p>
        </w:tc>
        <w:tc>
          <w:tcPr>
            <w:tcBorders/>
            <w:tcMar>
              <w:left w:w="15" w:type="dxa"/>
              <w:top w:w="15" w:type="dxa"/>
              <w:right w:w="15" w:type="dxa"/>
              <w:bottom w:w="15" w:type="dxa"/>
            </w:tcMar>
            <w:tcW w:w="4097"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Focus on quality, craftsmanship, and curated intimacy rather than ostentation.</w:t>
            </w:r>
            <w:r>
              <w:rPr>
                <w:rFonts w:ascii="Arial" w:hAnsi="Arial" w:eastAsia="Arial" w:cs="Arial"/>
                <w:sz w:val="20"/>
                <w:szCs w:val="20"/>
              </w:rPr>
            </w:r>
          </w:p>
        </w:tc>
      </w:tr>
    </w:tbl>
    <w:p>
      <w:pPr>
        <w:pStyle w:val="139"/>
        <w:pBdr>
          <w:top w:val="none" w:color="000000" w:sz="4" w:space="0"/>
          <w:left w:val="none" w:color="000000" w:sz="4" w:space="0"/>
          <w:bottom w:val="none" w:color="000000" w:sz="4" w:space="0"/>
          <w:right w:val="none" w:color="000000" w:sz="4" w:space="0"/>
        </w:pBdr>
        <w:spacing/>
        <w:ind w:right="0" w:firstLine="0" w:left="0"/>
        <w:rPr>
          <w:rFonts w:ascii="Arial" w:hAnsi="Arial" w:cs="Arial"/>
          <w:sz w:val="20"/>
          <w:szCs w:val="20"/>
        </w:rPr>
      </w:pPr>
      <w:r>
        <w:rPr>
          <w:rFonts w:ascii="Arial" w:hAnsi="Arial" w:eastAsia="Arial" w:cs="Arial"/>
          <w:b/>
          <w:color w:val="000000"/>
          <w:sz w:val="20"/>
          <w:szCs w:val="20"/>
        </w:rPr>
        <w:t xml:space="preserve">How AI and emotion fit</w:t>
      </w:r>
      <w:r>
        <w:rPr>
          <w:rFonts w:ascii="Arial" w:hAnsi="Arial" w:eastAsia="Arial" w:cs="Arial"/>
          <w:sz w:val="20"/>
          <w:szCs w:val="20"/>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0"/>
          <w:szCs w:val="20"/>
        </w:rPr>
      </w:pPr>
      <w:r>
        <w:rPr>
          <w:rFonts w:ascii="Arial" w:hAnsi="Arial" w:eastAsia="Arial" w:cs="Arial"/>
          <w:color w:val="000000"/>
          <w:sz w:val="20"/>
          <w:szCs w:val="20"/>
        </w:rPr>
        <w:t xml:space="preserve">AI in Finland should be used to reduce friction, not to create gimmicks. The winning use cases are price comparison, personalized offers, smarter inventory, and customer service that saves time and money.valtioneuvosto+2</w:t>
      </w:r>
      <w:r>
        <w:rPr>
          <w:rFonts w:ascii="Arial" w:hAnsi="Arial" w:eastAsia="Arial" w:cs="Arial"/>
          <w:sz w:val="20"/>
          <w:szCs w:val="20"/>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0"/>
          <w:szCs w:val="20"/>
        </w:rPr>
      </w:pPr>
      <w:r>
        <w:rPr>
          <w:rFonts w:ascii="Arial" w:hAnsi="Arial" w:eastAsia="Arial" w:cs="Arial"/>
          <w:color w:val="000000"/>
          <w:sz w:val="20"/>
          <w:szCs w:val="20"/>
        </w:rPr>
        <w:t xml:space="preserve">Emotional retail still matters, but it must be grounded in utility and trust. In Finland, “emotion” is more likely to mean calm, convenience, simplicity, and confidence than luxury theatre.nrf+3</w:t>
      </w:r>
      <w:r>
        <w:rPr>
          <w:rFonts w:ascii="Arial" w:hAnsi="Arial" w:eastAsia="Arial" w:cs="Arial"/>
          <w:sz w:val="20"/>
          <w:szCs w:val="20"/>
        </w:rPr>
      </w:r>
    </w:p>
    <w:p>
      <w:pPr>
        <w:pStyle w:val="139"/>
        <w:pBdr>
          <w:top w:val="none" w:color="000000" w:sz="4" w:space="0"/>
          <w:left w:val="none" w:color="000000" w:sz="4" w:space="0"/>
          <w:bottom w:val="none" w:color="000000" w:sz="4" w:space="0"/>
          <w:right w:val="none" w:color="000000" w:sz="4" w:space="0"/>
        </w:pBdr>
        <w:spacing/>
        <w:ind w:right="0" w:firstLine="0" w:left="0"/>
        <w:rPr>
          <w:rFonts w:ascii="Arial" w:hAnsi="Arial" w:cs="Arial"/>
          <w:sz w:val="20"/>
          <w:szCs w:val="20"/>
        </w:rPr>
      </w:pPr>
      <w:r>
        <w:rPr>
          <w:rFonts w:ascii="Arial" w:hAnsi="Arial" w:eastAsia="Arial" w:cs="Arial"/>
          <w:b/>
          <w:color w:val="000000"/>
          <w:sz w:val="20"/>
          <w:szCs w:val="20"/>
        </w:rPr>
        <w:t xml:space="preserve">Strategic takeaway</w:t>
      </w:r>
      <w:r>
        <w:rPr>
          <w:rFonts w:ascii="Arial" w:hAnsi="Arial" w:eastAsia="Arial" w:cs="Arial"/>
          <w:sz w:val="20"/>
          <w:szCs w:val="20"/>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0"/>
          <w:szCs w:val="20"/>
        </w:rPr>
      </w:pPr>
      <w:r>
        <w:rPr>
          <w:rFonts w:ascii="Arial" w:hAnsi="Arial" w:eastAsia="Arial" w:cs="Arial"/>
          <w:color w:val="000000"/>
          <w:sz w:val="20"/>
          <w:szCs w:val="20"/>
        </w:rPr>
        <w:t xml:space="preserve">For Finland, the 2027 retail playbook is: </w:t>
      </w:r>
      <w:r>
        <w:rPr>
          <w:rFonts w:ascii="Arial" w:hAnsi="Arial" w:eastAsia="Arial" w:cs="Arial"/>
          <w:b/>
          <w:color w:val="000000"/>
          <w:sz w:val="20"/>
          <w:szCs w:val="20"/>
        </w:rPr>
        <w:t xml:space="preserve">compete on value now, build trust through AI and clarity, and keep a premium lane only where the product solves a real problem or creates a justified treat</w:t>
      </w:r>
      <w:r>
        <w:rPr>
          <w:rFonts w:ascii="Arial" w:hAnsi="Arial" w:eastAsia="Arial" w:cs="Arial"/>
          <w:color w:val="000000"/>
          <w:sz w:val="20"/>
          <w:szCs w:val="20"/>
        </w:rPr>
        <w:t xml:space="preserve">. In other words, Finland is not rejecting the broader EU trend; it is experiencing it through a tougher macro filter that makes price sensitivity more important than emotional luxury for most categories.bofbulletin+4</w:t>
      </w:r>
      <w:r>
        <w:rPr>
          <w:rFonts w:ascii="Arial" w:hAnsi="Arial" w:eastAsia="Arial" w:cs="Arial"/>
          <w:sz w:val="20"/>
          <w:szCs w:val="20"/>
        </w:rPr>
      </w:r>
    </w:p>
    <w:p>
      <w:pPr>
        <w:pStyle w:val="664"/>
        <w:numPr>
          <w:ilvl w:val="0"/>
          <w:numId w:val="27"/>
        </w:numPr>
        <w:pBdr>
          <w:top w:val="none" w:color="000000" w:sz="4" w:space="0"/>
          <w:left w:val="none" w:color="000000" w:sz="4" w:space="0"/>
          <w:bottom w:val="none" w:color="000000" w:sz="4" w:space="0"/>
          <w:right w:val="none" w:color="000000" w:sz="4" w:space="0"/>
        </w:pBdr>
        <w:spacing/>
        <w:ind w:right="0"/>
        <w:rPr>
          <w:rFonts w:ascii="Arial" w:hAnsi="Arial" w:cs="Arial"/>
          <w:sz w:val="20"/>
          <w:szCs w:val="20"/>
        </w:rPr>
      </w:pPr>
      <w:r>
        <w:rPr>
          <w:rFonts w:ascii="Arial" w:hAnsi="Arial" w:eastAsia="Arial" w:cs="Arial"/>
          <w:color w:val="000000"/>
          <w:sz w:val="20"/>
          <w:szCs w:val="20"/>
        </w:rPr>
        <w:t xml:space="preserve">Finland strategy matrix report:</w:t>
      </w:r>
      <w:r>
        <w:rPr>
          <w:rFonts w:ascii="Arial" w:hAnsi="Arial" w:eastAsia="Arial" w:cs="Arial"/>
          <w:sz w:val="20"/>
          <w:szCs w:val="20"/>
        </w:rPr>
      </w:r>
    </w:p>
    <w:p>
      <w:pPr>
        <w:pStyle w:val="664"/>
        <w:numPr>
          <w:ilvl w:val="0"/>
          <w:numId w:val="27"/>
        </w:numPr>
        <w:pBdr>
          <w:top w:val="none" w:color="000000" w:sz="4" w:space="0"/>
          <w:left w:val="none" w:color="000000" w:sz="4" w:space="0"/>
          <w:bottom w:val="none" w:color="000000" w:sz="4" w:space="0"/>
          <w:right w:val="none" w:color="000000" w:sz="4" w:space="0"/>
        </w:pBdr>
        <w:spacing/>
        <w:ind w:right="0"/>
        <w:rPr>
          <w:rFonts w:ascii="Arial" w:hAnsi="Arial" w:cs="Arial"/>
          <w:sz w:val="20"/>
          <w:szCs w:val="20"/>
        </w:rPr>
      </w:pPr>
      <w:r>
        <w:rPr>
          <w:rFonts w:ascii="Arial" w:hAnsi="Arial" w:eastAsia="Arial" w:cs="Arial"/>
          <w:color w:val="000000"/>
          <w:sz w:val="20"/>
          <w:szCs w:val="20"/>
        </w:rPr>
        <w:t xml:space="preserve">Segment CSV:</w:t>
      </w:r>
      <w:r>
        <w:rPr>
          <w:rFonts w:ascii="Arial" w:hAnsi="Arial" w:eastAsia="Arial" w:cs="Arial"/>
          <w:sz w:val="20"/>
          <w:szCs w:val="20"/>
        </w:rPr>
      </w:r>
    </w:p>
    <w:p>
      <w:pPr>
        <w:pStyle w:val="664"/>
        <w:numPr>
          <w:ilvl w:val="0"/>
          <w:numId w:val="27"/>
        </w:numPr>
        <w:pBdr>
          <w:top w:val="none" w:color="000000" w:sz="4" w:space="0"/>
          <w:left w:val="none" w:color="000000" w:sz="4" w:space="0"/>
          <w:bottom w:val="none" w:color="000000" w:sz="4" w:space="0"/>
          <w:right w:val="none" w:color="000000" w:sz="4" w:space="0"/>
        </w:pBdr>
        <w:spacing/>
        <w:ind w:right="0"/>
        <w:rPr>
          <w:rFonts w:ascii="Arial" w:hAnsi="Arial" w:cs="Arial"/>
          <w:sz w:val="20"/>
          <w:szCs w:val="20"/>
        </w:rPr>
      </w:pPr>
      <w:r>
        <w:rPr>
          <w:rFonts w:ascii="Arial" w:hAnsi="Arial" w:eastAsia="Arial" w:cs="Arial"/>
          <w:color w:val="000000"/>
          <w:sz w:val="20"/>
          <w:szCs w:val="20"/>
        </w:rPr>
        <w:t xml:space="preserve">Segment chart:</w:t>
      </w:r>
      <w:r>
        <w:rPr>
          <w:rFonts w:ascii="Arial" w:hAnsi="Arial" w:eastAsia="Arial" w:cs="Arial"/>
          <w:sz w:val="20"/>
          <w:szCs w:val="20"/>
        </w:rPr>
      </w:r>
    </w:p>
    <w:p>
      <w:pPr>
        <w:pStyle w:val="138"/>
        <w:pBdr>
          <w:top w:val="single" w:color="27251e" w:sz="0" w:space="0"/>
          <w:left w:val="single" w:color="27251e" w:sz="0" w:space="0"/>
          <w:bottom w:val="single" w:color="27251e" w:sz="0" w:space="0"/>
          <w:right w:val="single" w:color="27251e" w:sz="0" w:space="0"/>
        </w:pBdr>
        <w:spacing w:after="120" w:line="300" w:lineRule="auto"/>
        <w:ind w:right="0" w:firstLine="0" w:left="0"/>
        <w:rPr>
          <w:rFonts w:ascii="Arial" w:hAnsi="Arial" w:cs="Arial"/>
          <w:sz w:val="20"/>
          <w:szCs w:val="20"/>
        </w:rPr>
      </w:pPr>
      <w:r>
        <w:rPr>
          <w:rFonts w:ascii="Arial" w:hAnsi="Arial" w:eastAsia="Arial" w:cs="Arial"/>
          <w:sz w:val="20"/>
          <w:szCs w:val="20"/>
        </w:rPr>
      </w:r>
      <w:r>
        <w:rPr>
          <w:rFonts w:ascii="Arial" w:hAnsi="Arial" w:eastAsia="Arial" w:cs="Arial"/>
          <w:color w:val="27251e"/>
          <w:sz w:val="20"/>
          <w:szCs w:val="20"/>
        </w:rPr>
        <w:t xml:space="preserve">Finland 2027 Retail Strategy Memo</w:t>
      </w:r>
      <w:r>
        <w:rPr>
          <w:rFonts w:ascii="Arial" w:hAnsi="Arial" w:eastAsia="Arial" w:cs="Arial"/>
          <w:sz w:val="20"/>
          <w:szCs w:val="20"/>
        </w:rPr>
      </w:r>
      <w:r>
        <w:rPr>
          <w:rFonts w:ascii="Arial" w:hAnsi="Arial" w:eastAsia="Arial" w:cs="Arial"/>
          <w:sz w:val="20"/>
          <w:szCs w:val="20"/>
        </w:rPr>
      </w:r>
    </w:p>
    <w:p>
      <w:pPr>
        <w:pStyle w:val="139"/>
        <w:pBdr>
          <w:top w:val="single" w:color="27251e" w:sz="0" w:space="0"/>
          <w:left w:val="single" w:color="27251e" w:sz="0" w:space="0"/>
          <w:bottom w:val="single" w:color="27251e" w:sz="0" w:space="0"/>
          <w:right w:val="single" w:color="27251e" w:sz="0" w:space="0"/>
        </w:pBdr>
        <w:spacing w:after="120" w:before="239" w:line="300" w:lineRule="auto"/>
        <w:ind w:right="0" w:firstLine="0" w:left="0"/>
        <w:rPr>
          <w:rFonts w:ascii="Arial" w:hAnsi="Arial" w:cs="Arial"/>
          <w:sz w:val="20"/>
          <w:szCs w:val="20"/>
        </w:rPr>
      </w:pPr>
      <w:r>
        <w:rPr>
          <w:rFonts w:ascii="Arial" w:hAnsi="Arial" w:eastAsia="Arial" w:cs="Arial"/>
          <w:color w:val="27251e"/>
          <w:sz w:val="20"/>
          <w:szCs w:val="20"/>
        </w:rPr>
        <w:t xml:space="preserve">Decision summary</w:t>
      </w:r>
      <w:r>
        <w:rPr>
          <w:rFonts w:ascii="Arial" w:hAnsi="Arial" w:eastAsia="Arial" w:cs="Arial"/>
          <w:sz w:val="20"/>
          <w:szCs w:val="20"/>
        </w:rPr>
      </w:r>
    </w:p>
    <w:p>
      <w:pPr>
        <w:pBdr>
          <w:top w:val="single" w:color="27251e" w:sz="0" w:space="0"/>
          <w:left w:val="single" w:color="27251e" w:sz="0" w:space="0"/>
          <w:bottom w:val="single" w:color="27251e" w:sz="0" w:space="0"/>
          <w:right w:val="single" w:color="27251e" w:sz="0" w:space="0"/>
        </w:pBdr>
        <w:spacing w:after="120" w:before="120"/>
        <w:ind w:right="0" w:firstLine="0" w:left="0"/>
        <w:rPr>
          <w:rFonts w:ascii="Arial" w:hAnsi="Arial" w:cs="Arial"/>
          <w:sz w:val="20"/>
          <w:szCs w:val="20"/>
        </w:rPr>
      </w:pPr>
      <w:r>
        <w:rPr>
          <w:rFonts w:ascii="Arial" w:hAnsi="Arial" w:eastAsia="Arial" w:cs="Arial"/>
          <w:b/>
          <w:color w:val="27251e"/>
          <w:sz w:val="20"/>
          <w:szCs w:val="20"/>
        </w:rPr>
        <w:t xml:space="preserve">Finland should be treated as a value-first retail market for 2027, with premium and emotional spending limited to categories where the consumer can easily justify the purchase.[cite:53][cite:52] The operating focus should be on protecting basket economics </w:t>
      </w:r>
      <w:r>
        <w:rPr>
          <w:rFonts w:ascii="Arial" w:hAnsi="Arial" w:eastAsia="Arial" w:cs="Arial"/>
          <w:b/>
          <w:color w:val="27251e"/>
          <w:sz w:val="20"/>
          <w:szCs w:val="20"/>
        </w:rPr>
        <w:t xml:space="preserve">now, while building optionality for a recovery in 2027-2028 as real earnings and consumption gradually improve.[cite:54][cite:57]</w:t>
      </w:r>
      <w:r>
        <w:rPr>
          <w:rFonts w:ascii="Arial" w:hAnsi="Arial" w:eastAsia="Arial" w:cs="Arial"/>
          <w:sz w:val="20"/>
          <w:szCs w:val="20"/>
        </w:rPr>
      </w:r>
    </w:p>
    <w:p>
      <w:pPr>
        <w:pStyle w:val="139"/>
        <w:pBdr>
          <w:top w:val="single" w:color="27251e" w:sz="0" w:space="0"/>
          <w:left w:val="single" w:color="27251e" w:sz="0" w:space="0"/>
          <w:bottom w:val="single" w:color="27251e" w:sz="0" w:space="0"/>
          <w:right w:val="single" w:color="27251e" w:sz="0" w:space="0"/>
        </w:pBdr>
        <w:spacing w:after="120" w:before="239" w:line="300" w:lineRule="auto"/>
        <w:ind w:right="0" w:firstLine="0" w:left="0"/>
        <w:rPr>
          <w:rFonts w:ascii="Arial" w:hAnsi="Arial" w:cs="Arial"/>
          <w:sz w:val="20"/>
          <w:szCs w:val="20"/>
        </w:rPr>
      </w:pPr>
      <w:r>
        <w:rPr>
          <w:rFonts w:ascii="Arial" w:hAnsi="Arial" w:eastAsia="Arial" w:cs="Arial"/>
          <w:color w:val="27251e"/>
          <w:sz w:val="20"/>
          <w:szCs w:val="20"/>
        </w:rPr>
        <w:t xml:space="preserve">What matters most</w:t>
      </w:r>
      <w:r>
        <w:rPr>
          <w:rFonts w:ascii="Arial" w:hAnsi="Arial" w:eastAsia="Arial" w:cs="Arial"/>
          <w:sz w:val="20"/>
          <w:szCs w:val="20"/>
        </w:rPr>
      </w:r>
    </w:p>
    <w:p>
      <w:pPr>
        <w:pStyle w:val="664"/>
        <w:numPr>
          <w:ilvl w:val="0"/>
          <w:numId w:val="28"/>
        </w:numPr>
        <w:pBdr>
          <w:top w:val="single" w:color="27251e" w:sz="0" w:space="0"/>
          <w:left w:val="single" w:color="27251e" w:sz="0" w:space="0"/>
          <w:bottom w:val="single" w:color="27251e" w:sz="0" w:space="0"/>
          <w:right w:val="single" w:color="27251e" w:sz="0" w:space="0"/>
        </w:pBdr>
        <w:spacing w:after="120" w:before="0"/>
        <w:ind w:right="0"/>
        <w:rPr>
          <w:rFonts w:ascii="Arial" w:hAnsi="Arial" w:cs="Arial"/>
          <w:sz w:val="20"/>
          <w:szCs w:val="20"/>
        </w:rPr>
      </w:pPr>
      <w:r>
        <w:rPr>
          <w:rFonts w:ascii="Arial" w:hAnsi="Arial" w:eastAsia="Arial" w:cs="Arial"/>
          <w:b/>
          <w:color w:val="27251e"/>
          <w:sz w:val="20"/>
          <w:szCs w:val="20"/>
        </w:rPr>
        <w:t xml:space="preserve">Consumer confidence is weak and durable-goods intent remains poor.[cite:53]</w:t>
      </w:r>
      <w:r>
        <w:rPr>
          <w:rFonts w:ascii="Arial" w:hAnsi="Arial" w:eastAsia="Arial" w:cs="Arial"/>
          <w:sz w:val="20"/>
          <w:szCs w:val="20"/>
        </w:rPr>
      </w:r>
    </w:p>
    <w:p>
      <w:pPr>
        <w:pStyle w:val="664"/>
        <w:numPr>
          <w:ilvl w:val="0"/>
          <w:numId w:val="28"/>
        </w:numPr>
        <w:pBdr>
          <w:top w:val="single" w:color="27251e" w:sz="0" w:space="0"/>
          <w:left w:val="single" w:color="27251e" w:sz="0" w:space="0"/>
          <w:bottom w:val="single" w:color="27251e" w:sz="0" w:space="0"/>
          <w:right w:val="single" w:color="27251e" w:sz="0" w:space="0"/>
        </w:pBdr>
        <w:spacing w:after="120" w:before="0"/>
        <w:ind w:right="0"/>
        <w:rPr>
          <w:rFonts w:ascii="Arial" w:hAnsi="Arial" w:cs="Arial"/>
          <w:sz w:val="20"/>
          <w:szCs w:val="20"/>
        </w:rPr>
      </w:pPr>
      <w:r>
        <w:rPr>
          <w:rFonts w:ascii="Arial" w:hAnsi="Arial" w:eastAsia="Arial" w:cs="Arial"/>
          <w:b/>
          <w:color w:val="27251e"/>
          <w:sz w:val="20"/>
          <w:szCs w:val="20"/>
        </w:rPr>
        <w:t xml:space="preserve">Finns are increasingly price-driven and actively look for cheaper options.[cite:52]</w:t>
      </w:r>
      <w:r>
        <w:rPr>
          <w:rFonts w:ascii="Arial" w:hAnsi="Arial" w:eastAsia="Arial" w:cs="Arial"/>
          <w:sz w:val="20"/>
          <w:szCs w:val="20"/>
        </w:rPr>
      </w:r>
    </w:p>
    <w:p>
      <w:pPr>
        <w:pStyle w:val="664"/>
        <w:numPr>
          <w:ilvl w:val="0"/>
          <w:numId w:val="28"/>
        </w:numPr>
        <w:pBdr>
          <w:top w:val="single" w:color="27251e" w:sz="0" w:space="0"/>
          <w:left w:val="single" w:color="27251e" w:sz="0" w:space="0"/>
          <w:bottom w:val="single" w:color="27251e" w:sz="0" w:space="0"/>
          <w:right w:val="single" w:color="27251e" w:sz="0" w:space="0"/>
        </w:pBdr>
        <w:spacing w:after="120" w:before="0"/>
        <w:ind w:right="0"/>
        <w:rPr>
          <w:rFonts w:ascii="Arial" w:hAnsi="Arial" w:cs="Arial"/>
          <w:sz w:val="20"/>
          <w:szCs w:val="20"/>
        </w:rPr>
      </w:pPr>
      <w:r>
        <w:rPr>
          <w:rFonts w:ascii="Arial" w:hAnsi="Arial" w:eastAsia="Arial" w:cs="Arial"/>
          <w:b/>
          <w:color w:val="27251e"/>
          <w:sz w:val="20"/>
          <w:szCs w:val="20"/>
        </w:rPr>
        <w:t xml:space="preserve">Second-hand and circular buying are expanding quickly, especially in apparel and electronics.[cite:69][cite:71]</w:t>
      </w:r>
      <w:r>
        <w:rPr>
          <w:rFonts w:ascii="Arial" w:hAnsi="Arial" w:eastAsia="Arial" w:cs="Arial"/>
          <w:sz w:val="20"/>
          <w:szCs w:val="20"/>
        </w:rPr>
      </w:r>
    </w:p>
    <w:p>
      <w:pPr>
        <w:pStyle w:val="664"/>
        <w:numPr>
          <w:ilvl w:val="0"/>
          <w:numId w:val="28"/>
        </w:numPr>
        <w:pBdr>
          <w:top w:val="single" w:color="27251e" w:sz="0" w:space="0"/>
          <w:left w:val="single" w:color="27251e" w:sz="0" w:space="0"/>
          <w:bottom w:val="single" w:color="27251e" w:sz="0" w:space="0"/>
          <w:right w:val="single" w:color="27251e" w:sz="0" w:space="0"/>
        </w:pBdr>
        <w:spacing w:after="120" w:before="0"/>
        <w:ind w:right="0"/>
        <w:rPr>
          <w:rFonts w:ascii="Arial" w:hAnsi="Arial" w:cs="Arial"/>
          <w:sz w:val="20"/>
          <w:szCs w:val="20"/>
        </w:rPr>
      </w:pPr>
      <w:r>
        <w:rPr>
          <w:rFonts w:ascii="Arial" w:hAnsi="Arial" w:eastAsia="Arial" w:cs="Arial"/>
          <w:b/>
          <w:color w:val="27251e"/>
          <w:sz w:val="20"/>
          <w:szCs w:val="20"/>
        </w:rPr>
        <w:t xml:space="preserve">The Bank of Finland expects a gradual consumption rebound later in the cycle.[cite:54][cite:48]</w:t>
      </w:r>
      <w:r>
        <w:rPr>
          <w:rFonts w:ascii="Arial" w:hAnsi="Arial" w:eastAsia="Arial" w:cs="Arial"/>
          <w:sz w:val="20"/>
          <w:szCs w:val="20"/>
        </w:rPr>
      </w:r>
    </w:p>
    <w:p>
      <w:pPr>
        <w:pStyle w:val="139"/>
        <w:pBdr>
          <w:top w:val="single" w:color="27251e" w:sz="0" w:space="0"/>
          <w:left w:val="single" w:color="27251e" w:sz="0" w:space="0"/>
          <w:bottom w:val="single" w:color="27251e" w:sz="0" w:space="0"/>
          <w:right w:val="single" w:color="27251e" w:sz="0" w:space="0"/>
        </w:pBdr>
        <w:spacing w:after="120" w:before="239" w:line="300" w:lineRule="auto"/>
        <w:ind w:right="0" w:firstLine="0" w:left="0"/>
        <w:rPr>
          <w:rFonts w:ascii="Arial" w:hAnsi="Arial" w:cs="Arial"/>
          <w:sz w:val="20"/>
          <w:szCs w:val="20"/>
        </w:rPr>
      </w:pPr>
      <w:r>
        <w:rPr>
          <w:rFonts w:ascii="Arial" w:hAnsi="Arial" w:eastAsia="Arial" w:cs="Arial"/>
          <w:color w:val="27251e"/>
          <w:sz w:val="20"/>
          <w:szCs w:val="20"/>
        </w:rPr>
        <w:t xml:space="preserve">Channel priorities</w:t>
      </w:r>
      <w:r>
        <w:rPr>
          <w:rFonts w:ascii="Arial" w:hAnsi="Arial" w:eastAsia="Arial" w:cs="Arial"/>
          <w:sz w:val="20"/>
          <w:szCs w:val="20"/>
        </w:rPr>
      </w:r>
    </w:p>
    <w:p>
      <w:pPr>
        <w:pStyle w:val="139"/>
        <w:pBdr>
          <w:top w:val="single" w:color="27251e" w:sz="0" w:space="0"/>
          <w:left w:val="single" w:color="27251e" w:sz="0" w:space="0"/>
          <w:bottom w:val="single" w:color="27251e" w:sz="0" w:space="0"/>
          <w:right w:val="single" w:color="27251e" w:sz="0" w:space="0"/>
        </w:pBdr>
        <w:spacing w:after="120" w:before="239" w:line="300" w:lineRule="auto"/>
        <w:ind w:right="0" w:firstLine="0" w:left="0"/>
        <w:rPr>
          <w:rFonts w:ascii="Arial" w:hAnsi="Arial" w:cs="Arial"/>
          <w:sz w:val="20"/>
          <w:szCs w:val="20"/>
        </w:rPr>
      </w:pPr>
      <w:r>
        <w:rPr>
          <w:rFonts w:ascii="Arial" w:hAnsi="Arial" w:eastAsia="Arial" w:cs="Arial"/>
          <w:color w:val="27251e"/>
          <w:sz w:val="20"/>
          <w:szCs w:val="20"/>
        </w:rPr>
        <w:t xml:space="preserve">Grocery</w:t>
      </w:r>
      <w:r>
        <w:rPr>
          <w:rFonts w:ascii="Arial" w:hAnsi="Arial" w:eastAsia="Arial" w:cs="Arial"/>
          <w:sz w:val="20"/>
          <w:szCs w:val="20"/>
        </w:rPr>
      </w:r>
    </w:p>
    <w:p>
      <w:pPr>
        <w:pBdr>
          <w:top w:val="single" w:color="27251e" w:sz="0" w:space="0"/>
          <w:left w:val="single" w:color="27251e" w:sz="0" w:space="0"/>
          <w:bottom w:val="single" w:color="27251e" w:sz="0" w:space="0"/>
          <w:right w:val="single" w:color="27251e" w:sz="0" w:space="0"/>
        </w:pBdr>
        <w:spacing w:after="120" w:before="120"/>
        <w:ind w:right="0" w:firstLine="0" w:left="0"/>
        <w:rPr>
          <w:rFonts w:ascii="Arial" w:hAnsi="Arial" w:cs="Arial"/>
          <w:sz w:val="20"/>
          <w:szCs w:val="20"/>
        </w:rPr>
      </w:pPr>
      <w:r>
        <w:rPr>
          <w:rFonts w:ascii="Arial" w:hAnsi="Arial" w:eastAsia="Arial" w:cs="Arial"/>
          <w:b/>
          <w:color w:val="27251e"/>
          <w:sz w:val="20"/>
          <w:szCs w:val="20"/>
        </w:rPr>
        <w:t xml:space="preserve">Lead with private label, visible savings, and pack-size flexibility.[cite:52][cite:53] Use loyalty mechanics to protect frequency and share of wallet.</w:t>
      </w:r>
      <w:r>
        <w:rPr>
          <w:rFonts w:ascii="Arial" w:hAnsi="Arial" w:eastAsia="Arial" w:cs="Arial"/>
          <w:sz w:val="20"/>
          <w:szCs w:val="20"/>
        </w:rPr>
      </w:r>
    </w:p>
    <w:p>
      <w:pPr>
        <w:pStyle w:val="139"/>
        <w:pBdr>
          <w:top w:val="single" w:color="27251e" w:sz="0" w:space="0"/>
          <w:left w:val="single" w:color="27251e" w:sz="0" w:space="0"/>
          <w:bottom w:val="single" w:color="27251e" w:sz="0" w:space="0"/>
          <w:right w:val="single" w:color="27251e" w:sz="0" w:space="0"/>
        </w:pBdr>
        <w:spacing w:after="120" w:before="239" w:line="300" w:lineRule="auto"/>
        <w:ind w:right="0" w:firstLine="0" w:left="0"/>
        <w:rPr>
          <w:rFonts w:ascii="Arial" w:hAnsi="Arial" w:cs="Arial"/>
          <w:sz w:val="20"/>
          <w:szCs w:val="20"/>
        </w:rPr>
      </w:pPr>
      <w:r>
        <w:rPr>
          <w:rFonts w:ascii="Arial" w:hAnsi="Arial" w:eastAsia="Arial" w:cs="Arial"/>
          <w:color w:val="27251e"/>
          <w:sz w:val="20"/>
          <w:szCs w:val="20"/>
        </w:rPr>
        <w:t xml:space="preserve">Beauty and personal care</w:t>
      </w:r>
      <w:r>
        <w:rPr>
          <w:rFonts w:ascii="Arial" w:hAnsi="Arial" w:eastAsia="Arial" w:cs="Arial"/>
          <w:sz w:val="20"/>
          <w:szCs w:val="20"/>
        </w:rPr>
      </w:r>
    </w:p>
    <w:p>
      <w:pPr>
        <w:pBdr>
          <w:top w:val="single" w:color="27251e" w:sz="0" w:space="0"/>
          <w:left w:val="single" w:color="27251e" w:sz="0" w:space="0"/>
          <w:bottom w:val="single" w:color="27251e" w:sz="0" w:space="0"/>
          <w:right w:val="single" w:color="27251e" w:sz="0" w:space="0"/>
        </w:pBdr>
        <w:spacing w:after="120" w:before="120"/>
        <w:ind w:right="0" w:firstLine="0" w:left="0"/>
        <w:rPr>
          <w:rFonts w:ascii="Arial" w:hAnsi="Arial" w:cs="Arial"/>
          <w:sz w:val="20"/>
          <w:szCs w:val="20"/>
        </w:rPr>
      </w:pPr>
      <w:r>
        <w:rPr>
          <w:rFonts w:ascii="Arial" w:hAnsi="Arial" w:eastAsia="Arial" w:cs="Arial"/>
          <w:b/>
          <w:color w:val="27251e"/>
          <w:sz w:val="20"/>
          <w:szCs w:val="20"/>
        </w:rPr>
        <w:t xml:space="preserve">Position premium as rational self-care, not status.[cite:16][cite:19] Bundles, efficacy claims, and accessible premium tiers should outperform pure luxury cues.</w:t>
      </w:r>
      <w:r>
        <w:rPr>
          <w:rFonts w:ascii="Arial" w:hAnsi="Arial" w:eastAsia="Arial" w:cs="Arial"/>
          <w:sz w:val="20"/>
          <w:szCs w:val="20"/>
        </w:rPr>
      </w:r>
    </w:p>
    <w:p>
      <w:pPr>
        <w:pStyle w:val="139"/>
        <w:pBdr>
          <w:top w:val="single" w:color="27251e" w:sz="0" w:space="0"/>
          <w:left w:val="single" w:color="27251e" w:sz="0" w:space="0"/>
          <w:bottom w:val="single" w:color="27251e" w:sz="0" w:space="0"/>
          <w:right w:val="single" w:color="27251e" w:sz="0" w:space="0"/>
        </w:pBdr>
        <w:spacing w:after="120" w:before="239" w:line="300" w:lineRule="auto"/>
        <w:ind w:right="0" w:firstLine="0" w:left="0"/>
        <w:rPr>
          <w:rFonts w:ascii="Arial" w:hAnsi="Arial" w:cs="Arial"/>
          <w:sz w:val="20"/>
          <w:szCs w:val="20"/>
        </w:rPr>
      </w:pPr>
      <w:r>
        <w:rPr>
          <w:rFonts w:ascii="Arial" w:hAnsi="Arial" w:eastAsia="Arial" w:cs="Arial"/>
          <w:color w:val="27251e"/>
          <w:sz w:val="20"/>
          <w:szCs w:val="20"/>
        </w:rPr>
        <w:t xml:space="preserve">Apparel</w:t>
      </w:r>
      <w:r>
        <w:rPr>
          <w:rFonts w:ascii="Arial" w:hAnsi="Arial" w:eastAsia="Arial" w:cs="Arial"/>
          <w:sz w:val="20"/>
          <w:szCs w:val="20"/>
        </w:rPr>
      </w:r>
    </w:p>
    <w:p>
      <w:pPr>
        <w:pBdr>
          <w:top w:val="single" w:color="27251e" w:sz="0" w:space="0"/>
          <w:left w:val="single" w:color="27251e" w:sz="0" w:space="0"/>
          <w:bottom w:val="single" w:color="27251e" w:sz="0" w:space="0"/>
          <w:right w:val="single" w:color="27251e" w:sz="0" w:space="0"/>
        </w:pBdr>
        <w:spacing w:after="120" w:before="120"/>
        <w:ind w:right="0" w:firstLine="0" w:left="0"/>
        <w:rPr>
          <w:rFonts w:ascii="Arial" w:hAnsi="Arial" w:cs="Arial"/>
          <w:sz w:val="20"/>
          <w:szCs w:val="20"/>
        </w:rPr>
      </w:pPr>
      <w:r>
        <w:rPr>
          <w:rFonts w:ascii="Arial" w:hAnsi="Arial" w:eastAsia="Arial" w:cs="Arial"/>
          <w:b/>
          <w:color w:val="27251e"/>
          <w:sz w:val="20"/>
          <w:szCs w:val="20"/>
        </w:rPr>
        <w:t xml:space="preserve">Build resale, outlet, and repair into the commercial model.[cite:69][cite:71] Circularity is not only a sustainability story in Finland; it is a pricing and access story.</w:t>
      </w:r>
      <w:r>
        <w:rPr>
          <w:rFonts w:ascii="Arial" w:hAnsi="Arial" w:eastAsia="Arial" w:cs="Arial"/>
          <w:sz w:val="20"/>
          <w:szCs w:val="20"/>
        </w:rPr>
      </w:r>
    </w:p>
    <w:p>
      <w:pPr>
        <w:pStyle w:val="139"/>
        <w:pBdr>
          <w:top w:val="single" w:color="27251e" w:sz="0" w:space="0"/>
          <w:left w:val="single" w:color="27251e" w:sz="0" w:space="0"/>
          <w:bottom w:val="single" w:color="27251e" w:sz="0" w:space="0"/>
          <w:right w:val="single" w:color="27251e" w:sz="0" w:space="0"/>
        </w:pBdr>
        <w:spacing w:after="120" w:before="239" w:line="300" w:lineRule="auto"/>
        <w:ind w:right="0" w:firstLine="0" w:left="0"/>
        <w:rPr>
          <w:rFonts w:ascii="Arial" w:hAnsi="Arial" w:cs="Arial"/>
          <w:sz w:val="20"/>
          <w:szCs w:val="20"/>
        </w:rPr>
      </w:pPr>
      <w:r>
        <w:rPr>
          <w:rFonts w:ascii="Arial" w:hAnsi="Arial" w:eastAsia="Arial" w:cs="Arial"/>
          <w:color w:val="27251e"/>
          <w:sz w:val="20"/>
          <w:szCs w:val="20"/>
        </w:rPr>
        <w:t xml:space="preserve">Electronics and durables</w:t>
      </w:r>
      <w:r>
        <w:rPr>
          <w:rFonts w:ascii="Arial" w:hAnsi="Arial" w:eastAsia="Arial" w:cs="Arial"/>
          <w:sz w:val="20"/>
          <w:szCs w:val="20"/>
        </w:rPr>
      </w:r>
    </w:p>
    <w:p>
      <w:pPr>
        <w:pBdr>
          <w:top w:val="single" w:color="27251e" w:sz="0" w:space="0"/>
          <w:left w:val="single" w:color="27251e" w:sz="0" w:space="0"/>
          <w:bottom w:val="single" w:color="27251e" w:sz="0" w:space="0"/>
          <w:right w:val="single" w:color="27251e" w:sz="0" w:space="0"/>
        </w:pBdr>
        <w:spacing w:after="120" w:before="120"/>
        <w:ind w:right="0" w:firstLine="0" w:left="0"/>
        <w:rPr>
          <w:rFonts w:ascii="Arial" w:hAnsi="Arial" w:cs="Arial"/>
          <w:sz w:val="20"/>
          <w:szCs w:val="20"/>
        </w:rPr>
      </w:pPr>
      <w:r>
        <w:rPr>
          <w:rFonts w:ascii="Arial" w:hAnsi="Arial" w:eastAsia="Arial" w:cs="Arial"/>
          <w:b/>
          <w:color w:val="27251e"/>
          <w:sz w:val="20"/>
          <w:szCs w:val="20"/>
        </w:rPr>
        <w:t xml:space="preserve">Use trade-in, warranty, financing, and pre-owned offers to lower purchase friction.[cite:69][cite:53] Avoid heavy reliance on full-price new-product demand.</w:t>
      </w:r>
      <w:r>
        <w:rPr>
          <w:rFonts w:ascii="Arial" w:hAnsi="Arial" w:eastAsia="Arial" w:cs="Arial"/>
          <w:sz w:val="20"/>
          <w:szCs w:val="20"/>
        </w:rPr>
      </w:r>
    </w:p>
    <w:p>
      <w:pPr>
        <w:pStyle w:val="139"/>
        <w:pBdr>
          <w:top w:val="single" w:color="27251e" w:sz="0" w:space="0"/>
          <w:left w:val="single" w:color="27251e" w:sz="0" w:space="0"/>
          <w:bottom w:val="single" w:color="27251e" w:sz="0" w:space="0"/>
          <w:right w:val="single" w:color="27251e" w:sz="0" w:space="0"/>
        </w:pBdr>
        <w:spacing w:after="120" w:before="239" w:line="300" w:lineRule="auto"/>
        <w:ind w:right="0" w:firstLine="0" w:left="0"/>
        <w:rPr>
          <w:rFonts w:ascii="Arial" w:hAnsi="Arial" w:cs="Arial"/>
          <w:sz w:val="20"/>
          <w:szCs w:val="20"/>
        </w:rPr>
      </w:pPr>
      <w:r>
        <w:rPr>
          <w:rFonts w:ascii="Arial" w:hAnsi="Arial" w:eastAsia="Arial" w:cs="Arial"/>
          <w:color w:val="27251e"/>
          <w:sz w:val="20"/>
          <w:szCs w:val="20"/>
        </w:rPr>
        <w:t xml:space="preserve">Risks</w:t>
      </w:r>
      <w:r>
        <w:rPr>
          <w:rFonts w:ascii="Arial" w:hAnsi="Arial" w:eastAsia="Arial" w:cs="Arial"/>
          <w:sz w:val="20"/>
          <w:szCs w:val="20"/>
        </w:rPr>
      </w:r>
    </w:p>
    <w:p>
      <w:pPr>
        <w:pStyle w:val="664"/>
        <w:numPr>
          <w:ilvl w:val="0"/>
          <w:numId w:val="29"/>
        </w:numPr>
        <w:pBdr>
          <w:top w:val="single" w:color="27251e" w:sz="0" w:space="0"/>
          <w:left w:val="single" w:color="27251e" w:sz="0" w:space="0"/>
          <w:bottom w:val="single" w:color="27251e" w:sz="0" w:space="0"/>
          <w:right w:val="single" w:color="27251e" w:sz="0" w:space="0"/>
        </w:pBdr>
        <w:spacing w:after="120" w:before="0"/>
        <w:ind w:right="0"/>
        <w:rPr>
          <w:rFonts w:ascii="Arial" w:hAnsi="Arial" w:cs="Arial"/>
          <w:sz w:val="20"/>
          <w:szCs w:val="20"/>
        </w:rPr>
      </w:pPr>
      <w:r>
        <w:rPr>
          <w:rFonts w:ascii="Arial" w:hAnsi="Arial" w:eastAsia="Arial" w:cs="Arial"/>
          <w:b/>
          <w:color w:val="27251e"/>
          <w:sz w:val="20"/>
          <w:szCs w:val="20"/>
        </w:rPr>
        <w:t xml:space="preserve">Margin compression if pricing is too aggressive without a clear value narrative.[cite:52][cite:24]</w:t>
      </w:r>
      <w:r>
        <w:rPr>
          <w:rFonts w:ascii="Arial" w:hAnsi="Arial" w:eastAsia="Arial" w:cs="Arial"/>
          <w:sz w:val="20"/>
          <w:szCs w:val="20"/>
        </w:rPr>
      </w:r>
    </w:p>
    <w:p>
      <w:pPr>
        <w:pStyle w:val="664"/>
        <w:numPr>
          <w:ilvl w:val="0"/>
          <w:numId w:val="29"/>
        </w:numPr>
        <w:pBdr>
          <w:top w:val="single" w:color="27251e" w:sz="0" w:space="0"/>
          <w:left w:val="single" w:color="27251e" w:sz="0" w:space="0"/>
          <w:bottom w:val="single" w:color="27251e" w:sz="0" w:space="0"/>
          <w:right w:val="single" w:color="27251e" w:sz="0" w:space="0"/>
        </w:pBdr>
        <w:spacing w:after="120" w:before="0"/>
        <w:ind w:right="0"/>
        <w:rPr>
          <w:rFonts w:ascii="Arial" w:hAnsi="Arial" w:cs="Arial"/>
          <w:sz w:val="20"/>
          <w:szCs w:val="20"/>
        </w:rPr>
      </w:pPr>
      <w:r>
        <w:rPr>
          <w:rFonts w:ascii="Arial" w:hAnsi="Arial" w:eastAsia="Arial" w:cs="Arial"/>
          <w:b/>
          <w:color w:val="27251e"/>
          <w:sz w:val="20"/>
          <w:szCs w:val="20"/>
        </w:rPr>
        <w:t xml:space="preserve">Over-investing in emotional luxury cues that do not fit the Finnish consumer mood.[cite:53][cite:55]</w:t>
      </w:r>
      <w:r>
        <w:rPr>
          <w:rFonts w:ascii="Arial" w:hAnsi="Arial" w:eastAsia="Arial" w:cs="Arial"/>
          <w:sz w:val="20"/>
          <w:szCs w:val="20"/>
        </w:rPr>
      </w:r>
    </w:p>
    <w:p>
      <w:pPr>
        <w:pStyle w:val="664"/>
        <w:numPr>
          <w:ilvl w:val="0"/>
          <w:numId w:val="29"/>
        </w:numPr>
        <w:pBdr>
          <w:top w:val="single" w:color="27251e" w:sz="0" w:space="0"/>
          <w:left w:val="single" w:color="27251e" w:sz="0" w:space="0"/>
          <w:bottom w:val="single" w:color="27251e" w:sz="0" w:space="0"/>
          <w:right w:val="single" w:color="27251e" w:sz="0" w:space="0"/>
        </w:pBdr>
        <w:spacing w:after="120" w:before="0"/>
        <w:ind w:right="0"/>
        <w:rPr>
          <w:rFonts w:ascii="Arial" w:hAnsi="Arial" w:cs="Arial"/>
          <w:sz w:val="20"/>
          <w:szCs w:val="20"/>
        </w:rPr>
      </w:pPr>
      <w:r>
        <w:rPr>
          <w:rFonts w:ascii="Arial" w:hAnsi="Arial" w:eastAsia="Arial" w:cs="Arial"/>
          <w:b/>
          <w:color w:val="27251e"/>
          <w:sz w:val="20"/>
          <w:szCs w:val="20"/>
        </w:rPr>
        <w:t xml:space="preserve">Missing the resale and refurbished opportunity while competitors capture it.[cite:69][cite:71]</w:t>
      </w:r>
      <w:r>
        <w:rPr>
          <w:rFonts w:ascii="Arial" w:hAnsi="Arial" w:eastAsia="Arial" w:cs="Arial"/>
          <w:sz w:val="20"/>
          <w:szCs w:val="20"/>
        </w:rPr>
      </w:r>
    </w:p>
    <w:p>
      <w:pPr>
        <w:pStyle w:val="139"/>
        <w:pBdr>
          <w:top w:val="single" w:color="27251e" w:sz="0" w:space="0"/>
          <w:left w:val="single" w:color="27251e" w:sz="0" w:space="0"/>
          <w:bottom w:val="single" w:color="27251e" w:sz="0" w:space="0"/>
          <w:right w:val="single" w:color="27251e" w:sz="0" w:space="0"/>
        </w:pBdr>
        <w:spacing w:after="120" w:before="239" w:line="300" w:lineRule="auto"/>
        <w:ind w:right="0" w:firstLine="0" w:left="0"/>
        <w:rPr>
          <w:rFonts w:ascii="Arial" w:hAnsi="Arial" w:cs="Arial"/>
          <w:sz w:val="20"/>
          <w:szCs w:val="20"/>
        </w:rPr>
      </w:pPr>
      <w:r>
        <w:rPr>
          <w:rFonts w:ascii="Arial" w:hAnsi="Arial" w:eastAsia="Arial" w:cs="Arial"/>
          <w:color w:val="27251e"/>
          <w:sz w:val="20"/>
          <w:szCs w:val="20"/>
        </w:rPr>
        <w:t xml:space="preserve">Opportunities</w:t>
      </w:r>
      <w:r>
        <w:rPr>
          <w:rFonts w:ascii="Arial" w:hAnsi="Arial" w:eastAsia="Arial" w:cs="Arial"/>
          <w:sz w:val="20"/>
          <w:szCs w:val="20"/>
        </w:rPr>
      </w:r>
    </w:p>
    <w:p>
      <w:pPr>
        <w:pStyle w:val="664"/>
        <w:numPr>
          <w:ilvl w:val="0"/>
          <w:numId w:val="30"/>
        </w:numPr>
        <w:pBdr>
          <w:top w:val="single" w:color="27251e" w:sz="0" w:space="0"/>
          <w:left w:val="single" w:color="27251e" w:sz="0" w:space="0"/>
          <w:bottom w:val="single" w:color="27251e" w:sz="0" w:space="0"/>
          <w:right w:val="single" w:color="27251e" w:sz="0" w:space="0"/>
        </w:pBdr>
        <w:spacing w:after="120" w:before="0"/>
        <w:ind w:right="0"/>
        <w:rPr>
          <w:rFonts w:ascii="Arial" w:hAnsi="Arial" w:cs="Arial"/>
          <w:sz w:val="20"/>
          <w:szCs w:val="20"/>
        </w:rPr>
      </w:pPr>
      <w:r>
        <w:rPr>
          <w:rFonts w:ascii="Arial" w:hAnsi="Arial" w:eastAsia="Arial" w:cs="Arial"/>
          <w:b/>
          <w:color w:val="27251e"/>
          <w:sz w:val="20"/>
          <w:szCs w:val="20"/>
        </w:rPr>
        <w:t xml:space="preserve">AI-driven personalization that saves money and time.[cite:40][cite:5]</w:t>
      </w:r>
      <w:r>
        <w:rPr>
          <w:rFonts w:ascii="Arial" w:hAnsi="Arial" w:eastAsia="Arial" w:cs="Arial"/>
          <w:sz w:val="20"/>
          <w:szCs w:val="20"/>
        </w:rPr>
      </w:r>
    </w:p>
    <w:p>
      <w:pPr>
        <w:pStyle w:val="664"/>
        <w:numPr>
          <w:ilvl w:val="0"/>
          <w:numId w:val="30"/>
        </w:numPr>
        <w:pBdr>
          <w:top w:val="single" w:color="27251e" w:sz="0" w:space="0"/>
          <w:left w:val="single" w:color="27251e" w:sz="0" w:space="0"/>
          <w:bottom w:val="single" w:color="27251e" w:sz="0" w:space="0"/>
          <w:right w:val="single" w:color="27251e" w:sz="0" w:space="0"/>
        </w:pBdr>
        <w:spacing w:after="120" w:before="0"/>
        <w:ind w:right="0"/>
        <w:rPr>
          <w:rFonts w:ascii="Arial" w:hAnsi="Arial" w:cs="Arial"/>
          <w:sz w:val="20"/>
          <w:szCs w:val="20"/>
        </w:rPr>
      </w:pPr>
      <w:r>
        <w:rPr>
          <w:rFonts w:ascii="Arial" w:hAnsi="Arial" w:eastAsia="Arial" w:cs="Arial"/>
          <w:b/>
          <w:color w:val="27251e"/>
          <w:sz w:val="20"/>
          <w:szCs w:val="20"/>
        </w:rPr>
        <w:t xml:space="preserve">Loyalty</w:t>
      </w:r>
      <w:r>
        <w:rPr>
          <w:rFonts w:ascii="Arial" w:hAnsi="Arial" w:eastAsia="Arial" w:cs="Arial"/>
          <w:sz w:val="20"/>
          <w:szCs w:val="20"/>
        </w:rPr>
      </w:r>
    </w:p>
    <w:p>
      <w:pPr>
        <w:pBdr/>
        <w:spacing/>
        <w:ind/>
        <w:rPr>
          <w:rFonts w:ascii="Arial" w:hAnsi="Arial" w:eastAsia="Arial" w:cs="Arial"/>
          <w:sz w:val="20"/>
          <w:szCs w:val="20"/>
          <w:highlight w:val="none"/>
        </w:rPr>
      </w:pPr>
      <w:r>
        <w:rPr>
          <w:rFonts w:ascii="Arial" w:hAnsi="Arial" w:eastAsia="Arial" w:cs="Arial"/>
          <w:sz w:val="20"/>
          <w:szCs w:val="20"/>
          <w:highlight w:val="none"/>
        </w:rPr>
      </w:r>
      <w:r>
        <w:rPr>
          <w:rFonts w:ascii="Arial" w:hAnsi="Arial" w:eastAsia="Arial" w:cs="Arial"/>
          <w:sz w:val="20"/>
          <w:szCs w:val="20"/>
          <w:highlight w:val="none"/>
        </w:rPr>
      </w:r>
    </w:p>
    <w:p>
      <w:pPr>
        <w:pBdr/>
        <w:spacing/>
        <w:ind/>
        <w:rPr>
          <w:rFonts w:ascii="Arial" w:hAnsi="Arial" w:eastAsia="Arial" w:cs="Arial"/>
          <w:sz w:val="20"/>
          <w:szCs w:val="20"/>
          <w:highlight w:val="none"/>
        </w:rPr>
      </w:pPr>
      <w:r>
        <w:rPr>
          <w:rFonts w:ascii="Arial" w:hAnsi="Arial" w:eastAsia="Arial" w:cs="Arial"/>
          <w:sz w:val="20"/>
          <w:szCs w:val="20"/>
          <w:highlight w:val="none"/>
        </w:rPr>
      </w:r>
      <w:r>
        <w:rPr>
          <w:rFonts w:ascii="Arial" w:hAnsi="Arial" w:eastAsia="Arial" w:cs="Arial"/>
          <w:sz w:val="20"/>
          <w:szCs w:val="20"/>
          <w:highlight w:val="none"/>
        </w:rPr>
      </w:r>
    </w:p>
    <w:p>
      <w:pPr>
        <w:pBdr/>
        <w:spacing/>
        <w:ind/>
        <w:rPr>
          <w:rFonts w:ascii="Arial" w:hAnsi="Arial" w:eastAsia="Arial" w:cs="Arial"/>
          <w:sz w:val="20"/>
          <w:szCs w:val="20"/>
          <w:highlight w:val="none"/>
        </w:rPr>
      </w:pPr>
      <w:r>
        <w:rPr>
          <w:rFonts w:ascii="Arial" w:hAnsi="Arial" w:eastAsia="Arial" w:cs="Arial"/>
          <w:sz w:val="20"/>
          <w:szCs w:val="20"/>
          <w:highlight w:val="none"/>
        </w:rPr>
        <mc:AlternateContent>
          <mc:Choice Requires="wpg">
            <w:drawing>
              <wp:inline xmlns:wp="http://schemas.openxmlformats.org/drawingml/2006/wordprocessingDrawing" distT="0" distB="0" distL="0" distR="0">
                <wp:extent cx="5943600" cy="3714750"/>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893760" name=""/>
                        <pic:cNvPicPr>
                          <a:picLocks noChangeAspect="1"/>
                        </pic:cNvPicPr>
                        <pic:nvPr/>
                      </pic:nvPicPr>
                      <pic:blipFill>
                        <a:blip r:embed="rId127"/>
                        <a:stretch/>
                      </pic:blipFill>
                      <pic:spPr bwMode="auto">
                        <a:xfrm>
                          <a:off x="0" y="0"/>
                          <a:ext cx="5943599" cy="37147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8.00pt;height:292.50pt;mso-wrap-distance-left:0.00pt;mso-wrap-distance-top:0.00pt;mso-wrap-distance-right:0.00pt;mso-wrap-distance-bottom:0.00pt;z-index:1;" stroked="false">
                <v:imagedata r:id="rId127" o:title=""/>
                <o:lock v:ext="edit" rotation="t"/>
              </v:shape>
            </w:pict>
          </mc:Fallback>
        </mc:AlternateContent>
      </w:r>
      <w:r>
        <w:rPr>
          <w:rFonts w:ascii="Arial" w:hAnsi="Arial" w:eastAsia="Arial" w:cs="Arial"/>
          <w:sz w:val="20"/>
          <w:szCs w:val="20"/>
        </w:rPr>
      </w:r>
      <w:r>
        <w:rPr>
          <w:rFonts w:ascii="Arial" w:hAnsi="Arial" w:eastAsia="Arial" w:cs="Arial"/>
          <w:sz w:val="20"/>
          <w:szCs w:val="20"/>
        </w:rPr>
      </w:r>
    </w:p>
    <w:p>
      <w:pPr>
        <w:pBdr/>
        <w:spacing/>
        <w:ind/>
        <w:rPr>
          <w:rFonts w:ascii="Arial" w:hAnsi="Arial" w:eastAsia="Arial" w:cs="Arial"/>
          <w:sz w:val="20"/>
          <w:szCs w:val="20"/>
          <w:highlight w:val="none"/>
        </w:rPr>
      </w:pPr>
      <w:r>
        <w:rPr>
          <w:rFonts w:ascii="Arial" w:hAnsi="Arial" w:eastAsia="Arial" w:cs="Arial"/>
          <w:sz w:val="20"/>
          <w:szCs w:val="20"/>
          <w:highlight w:val="none"/>
        </w:rPr>
      </w:r>
      <w:r>
        <w:rPr>
          <w:rFonts w:ascii="Arial" w:hAnsi="Arial" w:eastAsia="Arial" w:cs="Arial"/>
          <w:sz w:val="20"/>
          <w:szCs w:val="20"/>
          <w:highlight w:val="none"/>
        </w:rPr>
      </w:r>
    </w:p>
    <w:p>
      <w:pPr>
        <w:pBdr/>
        <w:spacing/>
        <w:ind/>
        <w:rPr>
          <w:rFonts w:ascii="Arial" w:hAnsi="Arial" w:eastAsia="Arial" w:cs="Arial"/>
          <w:sz w:val="20"/>
          <w:szCs w:val="20"/>
          <w:highlight w:val="none"/>
        </w:rPr>
      </w:pPr>
      <w:r>
        <w:rPr>
          <w:rFonts w:ascii="Arial" w:hAnsi="Arial" w:eastAsia="Arial" w:cs="Arial"/>
          <w:sz w:val="20"/>
          <w:szCs w:val="20"/>
          <w:highlight w:val="none"/>
        </w:rPr>
      </w:r>
      <w:r>
        <w:rPr>
          <w:rFonts w:ascii="Arial" w:hAnsi="Arial" w:eastAsia="Arial" w:cs="Arial"/>
          <w:sz w:val="20"/>
          <w:szCs w:val="20"/>
          <w:highlight w:val="none"/>
        </w:rPr>
      </w:r>
    </w:p>
    <w:p>
      <w:pPr>
        <w:pBdr/>
        <w:spacing/>
        <w:ind/>
        <w:rPr>
          <w:rFonts w:ascii="Arial" w:hAnsi="Arial" w:cs="Arial"/>
          <w:sz w:val="20"/>
          <w:szCs w:val="20"/>
          <w:highlight w:val="none"/>
        </w:rPr>
      </w:pPr>
      <w:r>
        <w:rPr>
          <w:rFonts w:ascii="Arial" w:hAnsi="Arial" w:eastAsia="Arial" w:cs="Arial"/>
          <w:sz w:val="20"/>
          <w:szCs w:val="20"/>
          <w:highlight w:val="none"/>
        </w:rPr>
        <w:t xml:space="preserve">CHINA AND KOREA</w:t>
      </w:r>
      <w:r>
        <w:rPr>
          <w:rFonts w:ascii="Arial" w:hAnsi="Arial" w:eastAsia="Arial" w:cs="Arial"/>
          <w:sz w:val="20"/>
          <w:szCs w:val="20"/>
          <w:highlight w:val="none"/>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0"/>
          <w:szCs w:val="20"/>
        </w:rPr>
      </w:pPr>
      <w:r>
        <w:rPr>
          <w:rFonts w:ascii="Arial" w:hAnsi="Arial" w:eastAsia="Arial" w:cs="Arial"/>
          <w:color w:val="000000"/>
          <w:sz w:val="20"/>
          <w:szCs w:val="20"/>
        </w:rPr>
        <w:t xml:space="preserve">Here are the early signals from China and Korea that matter for retail, food, and shopping in 2026-2027: China looks more </w:t>
      </w:r>
      <w:r>
        <w:rPr>
          <w:rFonts w:ascii="Arial" w:hAnsi="Arial" w:eastAsia="Arial" w:cs="Arial"/>
          <w:b/>
          <w:color w:val="000000"/>
          <w:sz w:val="20"/>
          <w:szCs w:val="20"/>
        </w:rPr>
        <w:t xml:space="preserve">selective and emotional</w:t>
      </w:r>
      <w:r>
        <w:rPr>
          <w:rFonts w:ascii="Arial" w:hAnsi="Arial" w:eastAsia="Arial" w:cs="Arial"/>
          <w:color w:val="000000"/>
          <w:sz w:val="20"/>
          <w:szCs w:val="20"/>
        </w:rPr>
        <w:t xml:space="preserve">, while Korea looks more </w:t>
      </w:r>
      <w:r>
        <w:rPr>
          <w:rFonts w:ascii="Arial" w:hAnsi="Arial" w:eastAsia="Arial" w:cs="Arial"/>
          <w:b/>
          <w:color w:val="000000"/>
          <w:sz w:val="20"/>
          <w:szCs w:val="20"/>
        </w:rPr>
        <w:t xml:space="preserve">recovery-led but premium-aware</w:t>
      </w:r>
      <w:r>
        <w:rPr>
          <w:rFonts w:ascii="Arial" w:hAnsi="Arial" w:eastAsia="Arial" w:cs="Arial"/>
          <w:color w:val="000000"/>
          <w:sz w:val="20"/>
          <w:szCs w:val="20"/>
        </w:rPr>
        <w:t xml:space="preserve">.jingdaily+2</w:t>
      </w:r>
      <w:r>
        <w:rPr>
          <w:rFonts w:ascii="Arial" w:hAnsi="Arial" w:eastAsia="Arial" w:cs="Arial"/>
          <w:sz w:val="20"/>
          <w:szCs w:val="20"/>
        </w:rPr>
      </w:r>
    </w:p>
    <w:p>
      <w:pPr>
        <w:pStyle w:val="139"/>
        <w:pBdr>
          <w:top w:val="none" w:color="000000" w:sz="4" w:space="0"/>
          <w:left w:val="none" w:color="000000" w:sz="4" w:space="0"/>
          <w:bottom w:val="none" w:color="000000" w:sz="4" w:space="0"/>
          <w:right w:val="none" w:color="000000" w:sz="4" w:space="0"/>
        </w:pBdr>
        <w:spacing/>
        <w:ind w:right="0" w:firstLine="0" w:left="0"/>
        <w:rPr>
          <w:rFonts w:ascii="Arial" w:hAnsi="Arial" w:cs="Arial"/>
          <w:sz w:val="20"/>
          <w:szCs w:val="20"/>
        </w:rPr>
      </w:pPr>
      <w:r>
        <w:rPr>
          <w:rFonts w:ascii="Arial" w:hAnsi="Arial" w:eastAsia="Arial" w:cs="Arial"/>
          <w:b/>
          <w:color w:val="000000"/>
          <w:sz w:val="20"/>
          <w:szCs w:val="20"/>
        </w:rPr>
        <w:t xml:space="preserve">China signals</w:t>
      </w:r>
      <w:r>
        <w:rPr>
          <w:rFonts w:ascii="Arial" w:hAnsi="Arial" w:eastAsia="Arial" w:cs="Arial"/>
          <w:sz w:val="20"/>
          <w:szCs w:val="20"/>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0"/>
          <w:szCs w:val="20"/>
        </w:rPr>
      </w:pPr>
      <w:r>
        <w:rPr>
          <w:rFonts w:ascii="Arial" w:hAnsi="Arial" w:eastAsia="Arial" w:cs="Arial"/>
          <w:color w:val="000000"/>
          <w:sz w:val="20"/>
          <w:szCs w:val="20"/>
        </w:rPr>
        <w:t xml:space="preserve">China’s consumer is spending again, but on tighter rules: routine spending is more rational, while purchases that feel meaningful, fun, or identity-building still get funded. That points to a split market where value, utility, and emotional payoff all matt</w:t>
      </w:r>
      <w:r>
        <w:rPr>
          <w:rFonts w:ascii="Arial" w:hAnsi="Arial" w:eastAsia="Arial" w:cs="Arial"/>
          <w:color w:val="000000"/>
          <w:sz w:val="20"/>
          <w:szCs w:val="20"/>
        </w:rPr>
        <w:t xml:space="preserve">er, but in different categories.linkedin+1</w:t>
      </w:r>
      <w:r>
        <w:rPr>
          <w:rFonts w:ascii="Arial" w:hAnsi="Arial" w:eastAsia="Arial" w:cs="Arial"/>
          <w:sz w:val="20"/>
          <w:szCs w:val="20"/>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0"/>
          <w:szCs w:val="20"/>
        </w:rPr>
      </w:pPr>
      <w:r>
        <w:rPr>
          <w:rFonts w:ascii="Arial" w:hAnsi="Arial" w:eastAsia="Arial" w:cs="Arial"/>
          <w:color w:val="000000"/>
          <w:sz w:val="20"/>
          <w:szCs w:val="20"/>
        </w:rPr>
        <w:t xml:space="preserve">WGSN-style signals in China include “less but better,” emotional relief, nostalgia, playful design, and targeted wellness, which suggests shoppers are moving away from broad conspicuous consumption toward curated, intentional buying. Retailers should watch</w:t>
      </w:r>
      <w:r>
        <w:rPr>
          <w:rFonts w:ascii="Arial" w:hAnsi="Arial" w:eastAsia="Arial" w:cs="Arial"/>
          <w:color w:val="000000"/>
          <w:sz w:val="20"/>
          <w:szCs w:val="20"/>
        </w:rPr>
        <w:t xml:space="preserve"> for stronger demand in AI-assisted shopping, micro-ritual products, wellness, and experience-led formats rather than blanket volume growth.jingdaily+3</w:t>
      </w:r>
      <w:r>
        <w:rPr>
          <w:rFonts w:ascii="Arial" w:hAnsi="Arial" w:eastAsia="Arial" w:cs="Arial"/>
          <w:sz w:val="20"/>
          <w:szCs w:val="20"/>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0"/>
          <w:szCs w:val="20"/>
        </w:rPr>
      </w:pPr>
      <w:r>
        <w:rPr>
          <w:rFonts w:ascii="Arial" w:hAnsi="Arial" w:eastAsia="Arial" w:cs="Arial"/>
          <w:color w:val="000000"/>
          <w:sz w:val="20"/>
          <w:szCs w:val="20"/>
        </w:rPr>
        <w:t xml:space="preserve">Food and grocery in China also show early signs of practical premiumization, where consumers trade up only when the product has clear taste, health, or ritual value. The strongest commercial signal is that online remains the central growth engine, with e-c</w:t>
      </w:r>
      <w:r>
        <w:rPr>
          <w:rFonts w:ascii="Arial" w:hAnsi="Arial" w:eastAsia="Arial" w:cs="Arial"/>
          <w:color w:val="000000"/>
          <w:sz w:val="20"/>
          <w:szCs w:val="20"/>
        </w:rPr>
        <w:t xml:space="preserve">ommerce still deeply embedded in the shopping journey.mordorintelligence+3</w:t>
      </w:r>
      <w:r>
        <w:rPr>
          <w:rFonts w:ascii="Arial" w:hAnsi="Arial" w:eastAsia="Arial" w:cs="Arial"/>
          <w:sz w:val="20"/>
          <w:szCs w:val="20"/>
        </w:rPr>
      </w:r>
    </w:p>
    <w:p>
      <w:pPr>
        <w:pStyle w:val="139"/>
        <w:pBdr>
          <w:top w:val="none" w:color="000000" w:sz="4" w:space="0"/>
          <w:left w:val="none" w:color="000000" w:sz="4" w:space="0"/>
          <w:bottom w:val="none" w:color="000000" w:sz="4" w:space="0"/>
          <w:right w:val="none" w:color="000000" w:sz="4" w:space="0"/>
        </w:pBdr>
        <w:spacing/>
        <w:ind w:right="0" w:firstLine="0" w:left="0"/>
        <w:rPr>
          <w:rFonts w:ascii="Arial" w:hAnsi="Arial" w:cs="Arial"/>
          <w:sz w:val="20"/>
          <w:szCs w:val="20"/>
        </w:rPr>
      </w:pPr>
      <w:r>
        <w:rPr>
          <w:rFonts w:ascii="Arial" w:hAnsi="Arial" w:eastAsia="Arial" w:cs="Arial"/>
          <w:b/>
          <w:color w:val="000000"/>
          <w:sz w:val="20"/>
          <w:szCs w:val="20"/>
        </w:rPr>
        <w:t xml:space="preserve">Korea signals</w:t>
      </w:r>
      <w:r>
        <w:rPr>
          <w:rFonts w:ascii="Arial" w:hAnsi="Arial" w:eastAsia="Arial" w:cs="Arial"/>
          <w:sz w:val="20"/>
          <w:szCs w:val="20"/>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0"/>
          <w:szCs w:val="20"/>
        </w:rPr>
      </w:pPr>
      <w:r>
        <w:rPr>
          <w:rFonts w:ascii="Arial" w:hAnsi="Arial" w:eastAsia="Arial" w:cs="Arial"/>
          <w:color w:val="000000"/>
          <w:sz w:val="20"/>
          <w:szCs w:val="20"/>
        </w:rPr>
        <w:t xml:space="preserve">South Korea shows a more positive near-term recovery signal than much of the region, with government reporting a continuing economic recovery trend driven by domestic demand and exports. McKinsey-linked reporting also says consumer optimism in Korea rose s</w:t>
      </w:r>
      <w:r>
        <w:rPr>
          <w:rFonts w:ascii="Arial" w:hAnsi="Arial" w:eastAsia="Arial" w:cs="Arial"/>
          <w:color w:val="000000"/>
          <w:sz w:val="20"/>
          <w:szCs w:val="20"/>
        </w:rPr>
        <w:t xml:space="preserve">harply from late 2024 levels, which is a useful early read for discretionary categories.english.news+1</w:t>
      </w:r>
      <w:r>
        <w:rPr>
          <w:rFonts w:ascii="Arial" w:hAnsi="Arial" w:eastAsia="Arial" w:cs="Arial"/>
          <w:sz w:val="20"/>
          <w:szCs w:val="20"/>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0"/>
          <w:szCs w:val="20"/>
        </w:rPr>
      </w:pPr>
      <w:r>
        <w:rPr>
          <w:rFonts w:ascii="Arial" w:hAnsi="Arial" w:eastAsia="Arial" w:cs="Arial"/>
          <w:color w:val="000000"/>
          <w:sz w:val="20"/>
          <w:szCs w:val="20"/>
        </w:rPr>
        <w:t xml:space="preserve">A notable Korea signal is the rising appeal of Chinese brands among younger consumers, showing that quality perception is changing quickly and that price is no longer the only advantage for cross-border brands. At the same time, Korean brands are expanding</w:t>
      </w:r>
      <w:r>
        <w:rPr>
          <w:rFonts w:ascii="Arial" w:hAnsi="Arial" w:eastAsia="Arial" w:cs="Arial"/>
          <w:color w:val="000000"/>
          <w:sz w:val="20"/>
          <w:szCs w:val="20"/>
        </w:rPr>
        <w:t xml:space="preserve"> into China through fashion, beauty, and physical retail, which suggests active two-way brand flow rather than one-way demand.koreajoongangdaily.joins+1</w:t>
      </w:r>
      <w:r>
        <w:rPr>
          <w:rFonts w:ascii="Arial" w:hAnsi="Arial" w:eastAsia="Arial" w:cs="Arial"/>
          <w:sz w:val="20"/>
          <w:szCs w:val="20"/>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0"/>
          <w:szCs w:val="20"/>
        </w:rPr>
      </w:pPr>
      <w:r>
        <w:rPr>
          <w:rFonts w:ascii="Arial" w:hAnsi="Arial" w:eastAsia="Arial" w:cs="Arial"/>
          <w:color w:val="000000"/>
          <w:sz w:val="20"/>
          <w:szCs w:val="20"/>
        </w:rPr>
        <w:t xml:space="preserve">For shopping and food, Korea continues to look highly channel-mixed: digital, pop-up, premium convenience, and experience-driven retail all matter. This means emotional spending is still alive, but it is increasingly expressed through discovery, novelty, a</w:t>
      </w:r>
      <w:r>
        <w:rPr>
          <w:rFonts w:ascii="Arial" w:hAnsi="Arial" w:eastAsia="Arial" w:cs="Arial"/>
          <w:color w:val="000000"/>
          <w:sz w:val="20"/>
          <w:szCs w:val="20"/>
        </w:rPr>
        <w:t xml:space="preserve">nd premium moments rather than just status labels.research.hktdc+1</w:t>
      </w:r>
      <w:r>
        <w:rPr>
          <w:rFonts w:ascii="Arial" w:hAnsi="Arial" w:eastAsia="Arial" w:cs="Arial"/>
          <w:sz w:val="20"/>
          <w:szCs w:val="20"/>
        </w:rPr>
      </w:r>
    </w:p>
    <w:p>
      <w:pPr>
        <w:pStyle w:val="139"/>
        <w:pBdr>
          <w:top w:val="none" w:color="000000" w:sz="4" w:space="0"/>
          <w:left w:val="none" w:color="000000" w:sz="4" w:space="0"/>
          <w:bottom w:val="none" w:color="000000" w:sz="4" w:space="0"/>
          <w:right w:val="none" w:color="000000" w:sz="4" w:space="0"/>
        </w:pBdr>
        <w:spacing/>
        <w:ind w:right="0" w:firstLine="0" w:left="0"/>
        <w:rPr>
          <w:rFonts w:ascii="Arial" w:hAnsi="Arial" w:cs="Arial"/>
          <w:sz w:val="20"/>
          <w:szCs w:val="20"/>
        </w:rPr>
      </w:pPr>
      <w:r>
        <w:rPr>
          <w:rFonts w:ascii="Arial" w:hAnsi="Arial" w:eastAsia="Arial" w:cs="Arial"/>
          <w:b/>
          <w:color w:val="000000"/>
          <w:sz w:val="20"/>
          <w:szCs w:val="20"/>
        </w:rPr>
        <w:t xml:space="preserve">What to watch</w:t>
      </w:r>
      <w:r>
        <w:rPr>
          <w:rFonts w:ascii="Arial" w:hAnsi="Arial" w:eastAsia="Arial" w:cs="Arial"/>
          <w:sz w:val="20"/>
          <w:szCs w:val="20"/>
        </w:rPr>
      </w:r>
    </w:p>
    <w:tbl>
      <w:tblPr>
        <w:tblStyle w:val="11"/>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710"/>
        <w:gridCol w:w="3098"/>
        <w:gridCol w:w="3703"/>
        <w:gridCol w:w="1843"/>
      </w:tblGrid>
      <w:tr>
        <w:trPr/>
        <w:tc>
          <w:tcPr>
            <w:tcBorders/>
            <w:tcMar>
              <w:left w:w="15" w:type="dxa"/>
              <w:top w:w="15" w:type="dxa"/>
              <w:right w:w="15" w:type="dxa"/>
              <w:bottom w:w="15" w:type="dxa"/>
            </w:tcMar>
            <w:tcW w:w="710" w:type="dxa"/>
            <w:vAlign w:val="center"/>
            <w:textDirection w:val="lrTb"/>
            <w:noWrap w:val="false"/>
          </w:tcPr>
          <w:p>
            <w:pPr>
              <w:pBdr/>
              <w:spacing w:after="0" w:before="0" w:line="240"/>
              <w:ind/>
              <w:jc w:val="center"/>
              <w:rPr>
                <w:rFonts w:ascii="Arial" w:hAnsi="Arial" w:cs="Arial"/>
                <w:sz w:val="20"/>
                <w:szCs w:val="20"/>
              </w:rPr>
            </w:pPr>
            <w:r>
              <w:rPr>
                <w:rFonts w:ascii="Arial" w:hAnsi="Arial" w:eastAsia="Arial" w:cs="Arial"/>
                <w:b/>
                <w:color w:val="000000"/>
                <w:sz w:val="20"/>
                <w:szCs w:val="20"/>
              </w:rPr>
              <w:t xml:space="preserve">Signal</w:t>
            </w:r>
            <w:r>
              <w:rPr>
                <w:rFonts w:ascii="Arial" w:hAnsi="Arial" w:eastAsia="Arial" w:cs="Arial"/>
                <w:sz w:val="20"/>
                <w:szCs w:val="20"/>
              </w:rPr>
            </w:r>
          </w:p>
        </w:tc>
        <w:tc>
          <w:tcPr>
            <w:tcBorders/>
            <w:tcMar>
              <w:left w:w="15" w:type="dxa"/>
              <w:top w:w="15" w:type="dxa"/>
              <w:right w:w="15" w:type="dxa"/>
              <w:bottom w:w="15" w:type="dxa"/>
            </w:tcMar>
            <w:tcW w:w="3098" w:type="dxa"/>
            <w:vAlign w:val="center"/>
            <w:textDirection w:val="lrTb"/>
            <w:noWrap w:val="false"/>
          </w:tcPr>
          <w:p>
            <w:pPr>
              <w:pBdr/>
              <w:spacing w:after="0" w:before="0" w:line="240"/>
              <w:ind/>
              <w:jc w:val="center"/>
              <w:rPr>
                <w:rFonts w:ascii="Arial" w:hAnsi="Arial" w:cs="Arial"/>
                <w:sz w:val="20"/>
                <w:szCs w:val="20"/>
              </w:rPr>
            </w:pPr>
            <w:r>
              <w:rPr>
                <w:rFonts w:ascii="Arial" w:hAnsi="Arial" w:eastAsia="Arial" w:cs="Arial"/>
                <w:b/>
                <w:color w:val="000000"/>
                <w:sz w:val="20"/>
                <w:szCs w:val="20"/>
              </w:rPr>
              <w:t xml:space="preserve">China</w:t>
            </w:r>
            <w:r>
              <w:rPr>
                <w:rFonts w:ascii="Arial" w:hAnsi="Arial" w:eastAsia="Arial" w:cs="Arial"/>
                <w:sz w:val="20"/>
                <w:szCs w:val="20"/>
              </w:rPr>
            </w:r>
          </w:p>
        </w:tc>
        <w:tc>
          <w:tcPr>
            <w:tcBorders/>
            <w:tcMar>
              <w:left w:w="15" w:type="dxa"/>
              <w:top w:w="15" w:type="dxa"/>
              <w:right w:w="15" w:type="dxa"/>
              <w:bottom w:w="15" w:type="dxa"/>
            </w:tcMar>
            <w:tcW w:w="3703" w:type="dxa"/>
            <w:vAlign w:val="center"/>
            <w:textDirection w:val="lrTb"/>
            <w:noWrap w:val="false"/>
          </w:tcPr>
          <w:p>
            <w:pPr>
              <w:pBdr/>
              <w:spacing w:after="0" w:before="0" w:line="240"/>
              <w:ind/>
              <w:jc w:val="center"/>
              <w:rPr>
                <w:rFonts w:ascii="Arial" w:hAnsi="Arial" w:cs="Arial"/>
                <w:sz w:val="20"/>
                <w:szCs w:val="20"/>
              </w:rPr>
            </w:pPr>
            <w:r>
              <w:rPr>
                <w:rFonts w:ascii="Arial" w:hAnsi="Arial" w:eastAsia="Arial" w:cs="Arial"/>
                <w:b/>
                <w:color w:val="000000"/>
                <w:sz w:val="20"/>
                <w:szCs w:val="20"/>
              </w:rPr>
              <w:t xml:space="preserve">Korea</w:t>
            </w:r>
            <w:r>
              <w:rPr>
                <w:rFonts w:ascii="Arial" w:hAnsi="Arial" w:eastAsia="Arial" w:cs="Arial"/>
                <w:sz w:val="20"/>
                <w:szCs w:val="20"/>
              </w:rPr>
            </w:r>
          </w:p>
        </w:tc>
        <w:tc>
          <w:tcPr>
            <w:tcBorders/>
            <w:tcMar>
              <w:left w:w="15" w:type="dxa"/>
              <w:top w:w="15" w:type="dxa"/>
              <w:right w:w="15" w:type="dxa"/>
              <w:bottom w:w="15" w:type="dxa"/>
            </w:tcMar>
            <w:tcW w:w="1843" w:type="dxa"/>
            <w:vAlign w:val="center"/>
            <w:textDirection w:val="lrTb"/>
            <w:noWrap w:val="false"/>
          </w:tcPr>
          <w:p>
            <w:pPr>
              <w:pBdr/>
              <w:spacing w:after="0" w:before="0" w:line="240"/>
              <w:ind/>
              <w:jc w:val="center"/>
              <w:rPr>
                <w:rFonts w:ascii="Arial" w:hAnsi="Arial" w:cs="Arial"/>
                <w:sz w:val="20"/>
                <w:szCs w:val="20"/>
              </w:rPr>
            </w:pPr>
            <w:r>
              <w:rPr>
                <w:rFonts w:ascii="Arial" w:hAnsi="Arial" w:eastAsia="Arial" w:cs="Arial"/>
                <w:b/>
                <w:color w:val="000000"/>
                <w:sz w:val="20"/>
                <w:szCs w:val="20"/>
              </w:rPr>
              <w:t xml:space="preserve">Why it matters</w:t>
            </w:r>
            <w:r>
              <w:rPr>
                <w:rFonts w:ascii="Arial" w:hAnsi="Arial" w:eastAsia="Arial" w:cs="Arial"/>
                <w:sz w:val="20"/>
                <w:szCs w:val="20"/>
              </w:rPr>
            </w:r>
          </w:p>
        </w:tc>
      </w:tr>
      <w:tr>
        <w:trPr/>
        <w:tc>
          <w:tcPr>
            <w:tcBorders/>
            <w:tcMar>
              <w:left w:w="15" w:type="dxa"/>
              <w:top w:w="15" w:type="dxa"/>
              <w:right w:w="15" w:type="dxa"/>
              <w:bottom w:w="15" w:type="dxa"/>
            </w:tcMar>
            <w:tcW w:w="710"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Spending style</w:t>
            </w:r>
            <w:r>
              <w:rPr>
                <w:rFonts w:ascii="Arial" w:hAnsi="Arial" w:eastAsia="Arial" w:cs="Arial"/>
                <w:sz w:val="20"/>
                <w:szCs w:val="20"/>
              </w:rPr>
            </w:r>
          </w:p>
        </w:tc>
        <w:tc>
          <w:tcPr>
            <w:tcBorders/>
            <w:tcMar>
              <w:left w:w="15" w:type="dxa"/>
              <w:top w:w="15" w:type="dxa"/>
              <w:right w:w="15" w:type="dxa"/>
              <w:bottom w:w="15" w:type="dxa"/>
            </w:tcMar>
            <w:tcW w:w="3098"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Rational on basics, generous on meaningful purchases.linkedin+1</w:t>
            </w:r>
            <w:r>
              <w:rPr>
                <w:rFonts w:ascii="Arial" w:hAnsi="Arial" w:eastAsia="Arial" w:cs="Arial"/>
                <w:sz w:val="20"/>
                <w:szCs w:val="20"/>
              </w:rPr>
            </w:r>
          </w:p>
        </w:tc>
        <w:tc>
          <w:tcPr>
            <w:tcBorders/>
            <w:tcMar>
              <w:left w:w="15" w:type="dxa"/>
              <w:top w:w="15" w:type="dxa"/>
              <w:right w:w="15" w:type="dxa"/>
              <w:bottom w:w="15" w:type="dxa"/>
            </w:tcMar>
            <w:tcW w:w="3703"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More optimistic and willing to spend, especially in premium or lifestyle categories.english.news+1</w:t>
            </w:r>
            <w:r>
              <w:rPr>
                <w:rFonts w:ascii="Arial" w:hAnsi="Arial" w:eastAsia="Arial" w:cs="Arial"/>
                <w:sz w:val="20"/>
                <w:szCs w:val="20"/>
              </w:rPr>
            </w:r>
          </w:p>
        </w:tc>
        <w:tc>
          <w:tcPr>
            <w:tcBorders/>
            <w:tcMar>
              <w:left w:w="15" w:type="dxa"/>
              <w:top w:w="15" w:type="dxa"/>
              <w:right w:w="15" w:type="dxa"/>
              <w:bottom w:w="15" w:type="dxa"/>
            </w:tcMar>
            <w:tcW w:w="1843"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Shows where volume vs margin can come from.</w:t>
            </w:r>
            <w:r>
              <w:rPr>
                <w:rFonts w:ascii="Arial" w:hAnsi="Arial" w:eastAsia="Arial" w:cs="Arial"/>
                <w:sz w:val="20"/>
                <w:szCs w:val="20"/>
              </w:rPr>
            </w:r>
          </w:p>
        </w:tc>
      </w:tr>
      <w:tr>
        <w:trPr/>
        <w:tc>
          <w:tcPr>
            <w:tcBorders/>
            <w:tcMar>
              <w:left w:w="15" w:type="dxa"/>
              <w:top w:w="15" w:type="dxa"/>
              <w:right w:w="15" w:type="dxa"/>
              <w:bottom w:w="15" w:type="dxa"/>
            </w:tcMar>
            <w:tcW w:w="710"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Shopping behavior</w:t>
            </w:r>
            <w:r>
              <w:rPr>
                <w:rFonts w:ascii="Arial" w:hAnsi="Arial" w:eastAsia="Arial" w:cs="Arial"/>
                <w:sz w:val="20"/>
                <w:szCs w:val="20"/>
              </w:rPr>
            </w:r>
          </w:p>
        </w:tc>
        <w:tc>
          <w:tcPr>
            <w:tcBorders/>
            <w:tcMar>
              <w:left w:w="15" w:type="dxa"/>
              <w:top w:w="15" w:type="dxa"/>
              <w:right w:w="15" w:type="dxa"/>
              <w:bottom w:w="15" w:type="dxa"/>
            </w:tcMar>
            <w:tcW w:w="3098"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AI, social, and OMO-first discovery.mordorintelligence+1</w:t>
            </w:r>
            <w:r>
              <w:rPr>
                <w:rFonts w:ascii="Arial" w:hAnsi="Arial" w:eastAsia="Arial" w:cs="Arial"/>
                <w:sz w:val="20"/>
                <w:szCs w:val="20"/>
              </w:rPr>
            </w:r>
          </w:p>
        </w:tc>
        <w:tc>
          <w:tcPr>
            <w:tcBorders/>
            <w:tcMar>
              <w:left w:w="15" w:type="dxa"/>
              <w:top w:w="15" w:type="dxa"/>
              <w:right w:w="15" w:type="dxa"/>
              <w:bottom w:w="15" w:type="dxa"/>
            </w:tcMar>
            <w:tcW w:w="3703"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Experience-led, pop-up, and premium retail remain important.koreajoongangdaily.joins+1</w:t>
            </w:r>
            <w:r>
              <w:rPr>
                <w:rFonts w:ascii="Arial" w:hAnsi="Arial" w:eastAsia="Arial" w:cs="Arial"/>
                <w:sz w:val="20"/>
                <w:szCs w:val="20"/>
              </w:rPr>
            </w:r>
          </w:p>
        </w:tc>
        <w:tc>
          <w:tcPr>
            <w:tcBorders/>
            <w:tcMar>
              <w:left w:w="15" w:type="dxa"/>
              <w:top w:w="15" w:type="dxa"/>
              <w:right w:w="15" w:type="dxa"/>
              <w:bottom w:w="15" w:type="dxa"/>
            </w:tcMar>
            <w:tcW w:w="1843"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Shapes channel strategy.</w:t>
            </w:r>
            <w:r>
              <w:rPr>
                <w:rFonts w:ascii="Arial" w:hAnsi="Arial" w:eastAsia="Arial" w:cs="Arial"/>
                <w:sz w:val="20"/>
                <w:szCs w:val="20"/>
              </w:rPr>
            </w:r>
          </w:p>
        </w:tc>
      </w:tr>
      <w:tr>
        <w:trPr/>
        <w:tc>
          <w:tcPr>
            <w:tcBorders/>
            <w:tcMar>
              <w:left w:w="15" w:type="dxa"/>
              <w:top w:w="15" w:type="dxa"/>
              <w:right w:w="15" w:type="dxa"/>
              <w:bottom w:w="15" w:type="dxa"/>
            </w:tcMar>
            <w:tcW w:w="710"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Food demand</w:t>
            </w:r>
            <w:r>
              <w:rPr>
                <w:rFonts w:ascii="Arial" w:hAnsi="Arial" w:eastAsia="Arial" w:cs="Arial"/>
                <w:sz w:val="20"/>
                <w:szCs w:val="20"/>
              </w:rPr>
            </w:r>
          </w:p>
        </w:tc>
        <w:tc>
          <w:tcPr>
            <w:tcBorders/>
            <w:tcMar>
              <w:left w:w="15" w:type="dxa"/>
              <w:top w:w="15" w:type="dxa"/>
              <w:right w:w="15" w:type="dxa"/>
              <w:bottom w:w="15" w:type="dxa"/>
            </w:tcMar>
            <w:tcW w:w="3098"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Practical premiumization and wellness-led consumption.linkedin+1</w:t>
            </w:r>
            <w:r>
              <w:rPr>
                <w:rFonts w:ascii="Arial" w:hAnsi="Arial" w:eastAsia="Arial" w:cs="Arial"/>
                <w:sz w:val="20"/>
                <w:szCs w:val="20"/>
              </w:rPr>
            </w:r>
          </w:p>
        </w:tc>
        <w:tc>
          <w:tcPr>
            <w:tcBorders/>
            <w:tcMar>
              <w:left w:w="15" w:type="dxa"/>
              <w:top w:w="15" w:type="dxa"/>
              <w:right w:w="15" w:type="dxa"/>
              <w:bottom w:w="15" w:type="dxa"/>
            </w:tcMar>
            <w:tcW w:w="3703"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Premium convenience and experiential food retail.koreajoongangdaily.joins+1</w:t>
            </w:r>
            <w:r>
              <w:rPr>
                <w:rFonts w:ascii="Arial" w:hAnsi="Arial" w:eastAsia="Arial" w:cs="Arial"/>
                <w:sz w:val="20"/>
                <w:szCs w:val="20"/>
              </w:rPr>
            </w:r>
          </w:p>
        </w:tc>
        <w:tc>
          <w:tcPr>
            <w:tcBorders/>
            <w:tcMar>
              <w:left w:w="15" w:type="dxa"/>
              <w:top w:w="15" w:type="dxa"/>
              <w:right w:w="15" w:type="dxa"/>
              <w:bottom w:w="15" w:type="dxa"/>
            </w:tcMar>
            <w:tcW w:w="1843"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Guides assortment and format design.</w:t>
            </w:r>
            <w:r>
              <w:rPr>
                <w:rFonts w:ascii="Arial" w:hAnsi="Arial" w:eastAsia="Arial" w:cs="Arial"/>
                <w:sz w:val="20"/>
                <w:szCs w:val="20"/>
              </w:rPr>
            </w:r>
          </w:p>
        </w:tc>
      </w:tr>
      <w:tr>
        <w:trPr/>
        <w:tc>
          <w:tcPr>
            <w:tcBorders/>
            <w:tcMar>
              <w:left w:w="15" w:type="dxa"/>
              <w:top w:w="15" w:type="dxa"/>
              <w:right w:w="15" w:type="dxa"/>
              <w:bottom w:w="15" w:type="dxa"/>
            </w:tcMar>
            <w:tcW w:w="710"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Brand dynamics</w:t>
            </w:r>
            <w:r>
              <w:rPr>
                <w:rFonts w:ascii="Arial" w:hAnsi="Arial" w:eastAsia="Arial" w:cs="Arial"/>
                <w:sz w:val="20"/>
                <w:szCs w:val="20"/>
              </w:rPr>
            </w:r>
          </w:p>
        </w:tc>
        <w:tc>
          <w:tcPr>
            <w:tcBorders/>
            <w:tcMar>
              <w:left w:w="15" w:type="dxa"/>
              <w:top w:w="15" w:type="dxa"/>
              <w:right w:w="15" w:type="dxa"/>
              <w:bottom w:w="15" w:type="dxa"/>
            </w:tcMar>
            <w:tcW w:w="3098"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Domestic consumption recovery plus policy push for domestic demand.linkedin+1</w:t>
            </w:r>
            <w:r>
              <w:rPr>
                <w:rFonts w:ascii="Arial" w:hAnsi="Arial" w:eastAsia="Arial" w:cs="Arial"/>
                <w:sz w:val="20"/>
                <w:szCs w:val="20"/>
              </w:rPr>
            </w:r>
          </w:p>
        </w:tc>
        <w:tc>
          <w:tcPr>
            <w:tcBorders/>
            <w:tcMar>
              <w:left w:w="15" w:type="dxa"/>
              <w:top w:w="15" w:type="dxa"/>
              <w:right w:w="15" w:type="dxa"/>
              <w:bottom w:w="15" w:type="dxa"/>
            </w:tcMar>
            <w:tcW w:w="3703"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Cross-border brand acceptance rising both ways.koreajoongangdaily.joins+1</w:t>
            </w:r>
            <w:r>
              <w:rPr>
                <w:rFonts w:ascii="Arial" w:hAnsi="Arial" w:eastAsia="Arial" w:cs="Arial"/>
                <w:sz w:val="20"/>
                <w:szCs w:val="20"/>
              </w:rPr>
            </w:r>
          </w:p>
        </w:tc>
        <w:tc>
          <w:tcPr>
            <w:tcBorders/>
            <w:tcMar>
              <w:left w:w="15" w:type="dxa"/>
              <w:top w:w="15" w:type="dxa"/>
              <w:right w:w="15" w:type="dxa"/>
              <w:bottom w:w="15" w:type="dxa"/>
            </w:tcMar>
            <w:tcW w:w="1843" w:type="dxa"/>
            <w:vAlign w:val="center"/>
            <w:textDirection w:val="lrTb"/>
            <w:noWrap w:val="false"/>
          </w:tcPr>
          <w:p>
            <w:pPr>
              <w:pBdr/>
              <w:spacing w:after="0" w:before="0" w:line="240"/>
              <w:ind/>
              <w:rPr>
                <w:rFonts w:ascii="Arial" w:hAnsi="Arial" w:cs="Arial"/>
                <w:sz w:val="20"/>
                <w:szCs w:val="20"/>
              </w:rPr>
            </w:pPr>
            <w:r>
              <w:rPr>
                <w:rFonts w:ascii="Arial" w:hAnsi="Arial" w:eastAsia="Arial" w:cs="Arial"/>
                <w:color w:val="000000"/>
                <w:sz w:val="20"/>
                <w:szCs w:val="20"/>
              </w:rPr>
              <w:t xml:space="preserve">Shows opportunity for local and foreign entrants.</w:t>
            </w:r>
            <w:r>
              <w:rPr>
                <w:rFonts w:ascii="Arial" w:hAnsi="Arial" w:eastAsia="Arial" w:cs="Arial"/>
                <w:sz w:val="20"/>
                <w:szCs w:val="20"/>
              </w:rPr>
            </w:r>
          </w:p>
        </w:tc>
      </w:tr>
    </w:tbl>
    <w:p>
      <w:pPr>
        <w:pStyle w:val="139"/>
        <w:pBdr>
          <w:top w:val="none" w:color="000000" w:sz="4" w:space="0"/>
          <w:left w:val="none" w:color="000000" w:sz="4" w:space="0"/>
          <w:bottom w:val="none" w:color="000000" w:sz="4" w:space="0"/>
          <w:right w:val="none" w:color="000000" w:sz="4" w:space="0"/>
        </w:pBdr>
        <w:spacing/>
        <w:ind w:right="0" w:firstLine="0" w:left="0"/>
        <w:rPr>
          <w:rFonts w:ascii="Arial" w:hAnsi="Arial" w:cs="Arial"/>
          <w:sz w:val="20"/>
          <w:szCs w:val="20"/>
        </w:rPr>
      </w:pPr>
      <w:r>
        <w:rPr>
          <w:rFonts w:ascii="Arial" w:hAnsi="Arial" w:eastAsia="Arial" w:cs="Arial"/>
          <w:b/>
          <w:color w:val="000000"/>
          <w:sz w:val="20"/>
          <w:szCs w:val="20"/>
        </w:rPr>
        <w:t xml:space="preserve">Early implications</w:t>
      </w:r>
      <w:r>
        <w:rPr>
          <w:rFonts w:ascii="Arial" w:hAnsi="Arial" w:eastAsia="Arial" w:cs="Arial"/>
          <w:sz w:val="20"/>
          <w:szCs w:val="20"/>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0"/>
          <w:szCs w:val="20"/>
        </w:rPr>
      </w:pPr>
      <w:r>
        <w:rPr>
          <w:rFonts w:ascii="Arial" w:hAnsi="Arial" w:eastAsia="Arial" w:cs="Arial"/>
          <w:color w:val="000000"/>
          <w:sz w:val="20"/>
          <w:szCs w:val="20"/>
        </w:rPr>
        <w:t xml:space="preserve">In China, the winning play is likely to be </w:t>
      </w:r>
      <w:r>
        <w:rPr>
          <w:rFonts w:ascii="Arial" w:hAnsi="Arial" w:eastAsia="Arial" w:cs="Arial"/>
          <w:b/>
          <w:color w:val="000000"/>
          <w:sz w:val="20"/>
          <w:szCs w:val="20"/>
        </w:rPr>
        <w:t xml:space="preserve">precision commerce</w:t>
      </w:r>
      <w:r>
        <w:rPr>
          <w:rFonts w:ascii="Arial" w:hAnsi="Arial" w:eastAsia="Arial" w:cs="Arial"/>
          <w:color w:val="000000"/>
          <w:sz w:val="20"/>
          <w:szCs w:val="20"/>
        </w:rPr>
        <w:t xml:space="preserve">: AI-driven discovery, value-aware pricing, and emotionally resonant product stories. In Korea, the opening looks stronger for </w:t>
      </w:r>
      <w:r>
        <w:rPr>
          <w:rFonts w:ascii="Arial" w:hAnsi="Arial" w:eastAsia="Arial" w:cs="Arial"/>
          <w:b/>
          <w:color w:val="000000"/>
          <w:sz w:val="20"/>
          <w:szCs w:val="20"/>
        </w:rPr>
        <w:t xml:space="preserve">premium discovery and brand-led retail</w:t>
      </w:r>
      <w:r>
        <w:rPr>
          <w:rFonts w:ascii="Arial" w:hAnsi="Arial" w:eastAsia="Arial" w:cs="Arial"/>
          <w:color w:val="000000"/>
          <w:sz w:val="20"/>
          <w:szCs w:val="20"/>
        </w:rPr>
        <w:t xml:space="preserve">, especially where younger shoppers are willing to adopt new brands if quality and design feel credible.retailasia+5</w:t>
      </w:r>
      <w:r>
        <w:rPr>
          <w:rFonts w:ascii="Arial" w:hAnsi="Arial" w:eastAsia="Arial" w:cs="Arial"/>
          <w:sz w:val="20"/>
          <w:szCs w:val="20"/>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0"/>
          <w:szCs w:val="20"/>
        </w:rPr>
      </w:pPr>
      <w:r>
        <w:rPr>
          <w:rFonts w:ascii="Arial" w:hAnsi="Arial" w:eastAsia="Arial" w:cs="Arial"/>
          <w:color w:val="000000"/>
          <w:sz w:val="20"/>
          <w:szCs w:val="20"/>
        </w:rPr>
        <w:t xml:space="preserve">For food and shopping, both markets point toward more personalized, channel-fluid behavior, but China’s tone is more cautious and selective while Korea’s tone is more recovered and opportunity-rich. The practical takeaway is that China is a test bed for de</w:t>
      </w:r>
      <w:r>
        <w:rPr>
          <w:rFonts w:ascii="Arial" w:hAnsi="Arial" w:eastAsia="Arial" w:cs="Arial"/>
          <w:color w:val="000000"/>
          <w:sz w:val="20"/>
          <w:szCs w:val="20"/>
        </w:rPr>
        <w:t xml:space="preserve">liberate, AI-enabled consumption, while Korea is a signal market for which premium and experiential retail concepts can still scale.bain+5</w:t>
      </w:r>
      <w:r>
        <w:rPr>
          <w:rFonts w:ascii="Arial" w:hAnsi="Arial" w:eastAsia="Arial" w:cs="Arial"/>
          <w:sz w:val="20"/>
          <w:szCs w:val="20"/>
        </w:rPr>
      </w:r>
    </w:p>
    <w:p>
      <w:pPr>
        <w:pBdr/>
        <w:spacing/>
        <w:ind/>
        <w:rPr>
          <w:rFonts w:ascii="Arial" w:hAnsi="Arial" w:cs="Arial"/>
          <w:sz w:val="20"/>
          <w:szCs w:val="20"/>
          <w:highlight w:val="none"/>
        </w:rPr>
      </w:pPr>
      <w:r>
        <w:rPr>
          <w:rFonts w:ascii="Arial" w:hAnsi="Arial" w:cs="Arial"/>
          <w:sz w:val="20"/>
          <w:szCs w:val="20"/>
          <w:highlight w:val="none"/>
        </w:rPr>
      </w:r>
      <w:r>
        <w:rPr>
          <w:rFonts w:ascii="Arial" w:hAnsi="Arial" w:cs="Arial"/>
          <w:sz w:val="20"/>
          <w:szCs w:val="20"/>
          <w:highlight w:val="none"/>
        </w:rPr>
      </w:r>
    </w:p>
    <w:p>
      <w:pPr>
        <w:pBdr/>
        <w:spacing/>
        <w:ind/>
        <w:rPr>
          <w:rFonts w:ascii="Arial" w:hAnsi="Arial" w:cs="Arial"/>
          <w:sz w:val="20"/>
          <w:szCs w:val="20"/>
          <w:highlight w:val="none"/>
        </w:rPr>
      </w:pPr>
      <w:r>
        <w:rPr>
          <w:rFonts w:ascii="Arial" w:hAnsi="Arial" w:cs="Arial"/>
          <w:sz w:val="20"/>
          <w:szCs w:val="20"/>
          <w:highlight w:val="none"/>
        </w:rPr>
      </w:r>
      <w:r>
        <w:rPr>
          <w:rFonts w:ascii="Arial" w:hAnsi="Arial" w:cs="Arial"/>
          <w:sz w:val="20"/>
          <w:szCs w:val="20"/>
          <w:highlight w:val="none"/>
        </w:rPr>
      </w:r>
    </w:p>
    <w:p>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Here is a structured 2026 comparison of China vs South Korea retail, food, and shopping signals, with the main strategic takeaway that China is showing a cautious but improving consumption base while South Korea is more mixed, with strong holiday-driven re</w:t>
      </w:r>
      <w:r>
        <w:rPr>
          <w:rFonts w:ascii="Times" w:hAnsi="Times" w:eastAsia="Times" w:cs="Times"/>
          <w:color w:val="000000"/>
          <w:sz w:val="24"/>
        </w:rPr>
        <w:t xml:space="preserve">tail but a sharp April sentiment drop. The cross-border brand story is also important: Flower Knows is gaining traction in Korea, while Korean brands and retailers still have room to localize and expand in China’s more deliberate, value-conscious market.st</w:t>
      </w:r>
      <w:r>
        <w:rPr>
          <w:rFonts w:ascii="Times" w:hAnsi="Times" w:eastAsia="Times" w:cs="Times"/>
          <w:color w:val="000000"/>
          <w:sz w:val="24"/>
        </w:rPr>
        <w:t xml:space="preserve">ats+3</w:t>
      </w:r>
      <w:r/>
    </w:p>
    <w:p>
      <w:pPr>
        <w:pStyle w:val="139"/>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36"/>
        </w:rPr>
        <w:t xml:space="preserve">Market snapshot</w:t>
      </w:r>
      <w:r/>
    </w:p>
    <w:tbl>
      <w:tblPr>
        <w:tblStyle w:val="11"/>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118"/>
        <w:gridCol w:w="2922"/>
        <w:gridCol w:w="5314"/>
      </w:tblGrid>
      <w:tr>
        <w:trPr/>
        <w:tc>
          <w:tcPr>
            <w:tcBorders/>
            <w:tcMar>
              <w:left w:w="15" w:type="dxa"/>
              <w:top w:w="15" w:type="dxa"/>
              <w:right w:w="15" w:type="dxa"/>
              <w:bottom w:w="15" w:type="dxa"/>
            </w:tcMar>
            <w:tcW w:w="1118" w:type="dxa"/>
            <w:vAlign w:val="center"/>
            <w:textDirection w:val="lrTb"/>
            <w:noWrap w:val="false"/>
          </w:tcPr>
          <w:p>
            <w:pPr>
              <w:pBdr/>
              <w:spacing w:after="0" w:before="0" w:line="240"/>
              <w:ind/>
              <w:jc w:val="center"/>
              <w:rPr/>
            </w:pPr>
            <w:r>
              <w:rPr>
                <w:rFonts w:ascii="Times" w:hAnsi="Times" w:eastAsia="Times" w:cs="Times"/>
                <w:b/>
                <w:color w:val="000000"/>
                <w:sz w:val="24"/>
              </w:rPr>
              <w:t xml:space="preserve">Metric</w:t>
            </w:r>
            <w:r/>
          </w:p>
        </w:tc>
        <w:tc>
          <w:tcPr>
            <w:tcBorders/>
            <w:tcMar>
              <w:left w:w="15" w:type="dxa"/>
              <w:top w:w="15" w:type="dxa"/>
              <w:right w:w="15" w:type="dxa"/>
              <w:bottom w:w="15" w:type="dxa"/>
            </w:tcMar>
            <w:tcW w:w="2922" w:type="dxa"/>
            <w:vAlign w:val="center"/>
            <w:textDirection w:val="lrTb"/>
            <w:noWrap w:val="false"/>
          </w:tcPr>
          <w:p>
            <w:pPr>
              <w:pBdr/>
              <w:spacing w:after="0" w:before="0" w:line="240"/>
              <w:ind/>
              <w:jc w:val="center"/>
              <w:rPr/>
            </w:pPr>
            <w:r>
              <w:rPr>
                <w:rFonts w:ascii="Times" w:hAnsi="Times" w:eastAsia="Times" w:cs="Times"/>
                <w:b/>
                <w:color w:val="000000"/>
                <w:sz w:val="24"/>
              </w:rPr>
              <w:t xml:space="preserve">China</w:t>
            </w:r>
            <w:r/>
          </w:p>
        </w:tc>
        <w:tc>
          <w:tcPr>
            <w:tcBorders/>
            <w:tcMar>
              <w:left w:w="15" w:type="dxa"/>
              <w:top w:w="15" w:type="dxa"/>
              <w:right w:w="15" w:type="dxa"/>
              <w:bottom w:w="15" w:type="dxa"/>
            </w:tcMar>
            <w:tcW w:w="5314" w:type="dxa"/>
            <w:vAlign w:val="center"/>
            <w:textDirection w:val="lrTb"/>
            <w:noWrap w:val="false"/>
          </w:tcPr>
          <w:p>
            <w:pPr>
              <w:pBdr/>
              <w:spacing w:after="0" w:before="0" w:line="240"/>
              <w:ind/>
              <w:jc w:val="center"/>
              <w:rPr/>
            </w:pPr>
            <w:r>
              <w:rPr>
                <w:rFonts w:ascii="Times" w:hAnsi="Times" w:eastAsia="Times" w:cs="Times"/>
                <w:b/>
                <w:color w:val="000000"/>
                <w:sz w:val="24"/>
              </w:rPr>
              <w:t xml:space="preserve">South Korea</w:t>
            </w:r>
            <w:r/>
          </w:p>
        </w:tc>
      </w:tr>
      <w:tr>
        <w:trPr/>
        <w:tc>
          <w:tcPr>
            <w:tcBorders/>
            <w:tcMar>
              <w:left w:w="15" w:type="dxa"/>
              <w:top w:w="15" w:type="dxa"/>
              <w:right w:w="15" w:type="dxa"/>
              <w:bottom w:w="15" w:type="dxa"/>
            </w:tcMar>
            <w:tcW w:w="1118" w:type="dxa"/>
            <w:vAlign w:val="center"/>
            <w:textDirection w:val="lrTb"/>
            <w:noWrap w:val="false"/>
          </w:tcPr>
          <w:p>
            <w:pPr>
              <w:pBdr/>
              <w:spacing w:after="0" w:before="0" w:line="240"/>
              <w:ind/>
              <w:rPr/>
            </w:pPr>
            <w:r>
              <w:rPr>
                <w:rFonts w:ascii="Times" w:hAnsi="Times" w:eastAsia="Times" w:cs="Times"/>
                <w:color w:val="000000"/>
                <w:sz w:val="24"/>
              </w:rPr>
              <w:t xml:space="preserve">Latest retail sales growth</w:t>
            </w:r>
            <w:r/>
          </w:p>
        </w:tc>
        <w:tc>
          <w:tcPr>
            <w:tcBorders/>
            <w:tcMar>
              <w:left w:w="15" w:type="dxa"/>
              <w:top w:w="15" w:type="dxa"/>
              <w:right w:w="15" w:type="dxa"/>
              <w:bottom w:w="15" w:type="dxa"/>
            </w:tcMar>
            <w:tcW w:w="2922" w:type="dxa"/>
            <w:vAlign w:val="center"/>
            <w:textDirection w:val="lrTb"/>
            <w:noWrap w:val="false"/>
          </w:tcPr>
          <w:p>
            <w:pPr>
              <w:pBdr/>
              <w:spacing w:after="0" w:before="0" w:line="240"/>
              <w:ind/>
              <w:rPr/>
            </w:pPr>
            <w:r>
              <w:rPr>
                <w:rFonts w:ascii="Times" w:hAnsi="Times" w:eastAsia="Times" w:cs="Times"/>
                <w:color w:val="000000"/>
                <w:sz w:val="24"/>
              </w:rPr>
              <w:t xml:space="preserve">2.8% YoY in Jan–Feb 2026; online retail goods +10.3% </w:t>
            </w:r>
            <w:hyperlink r:id="rId129" w:tooltip="https://www.stats.gov.cn/english/PressRelease/202603/t20260317_1962805.html" w:history="1">
              <w:r>
                <w:rPr>
                  <w:rStyle w:val="186"/>
                  <w:rFonts w:ascii="Times" w:hAnsi="Times" w:eastAsia="Times" w:cs="Times"/>
                  <w:color w:val="0000ee"/>
                  <w:sz w:val="24"/>
                  <w:u w:val="single"/>
                </w:rPr>
                <w:t xml:space="preserve">stats</w:t>
              </w:r>
            </w:hyperlink>
            <w:r/>
          </w:p>
        </w:tc>
        <w:tc>
          <w:tcPr>
            <w:tcBorders/>
            <w:tcMar>
              <w:left w:w="15" w:type="dxa"/>
              <w:top w:w="15" w:type="dxa"/>
              <w:right w:w="15" w:type="dxa"/>
              <w:bottom w:w="15" w:type="dxa"/>
            </w:tcMar>
            <w:tcW w:w="5314" w:type="dxa"/>
            <w:vAlign w:val="center"/>
            <w:textDirection w:val="lrTb"/>
            <w:noWrap w:val="false"/>
          </w:tcPr>
          <w:p>
            <w:pPr>
              <w:pBdr/>
              <w:spacing w:after="0" w:before="0" w:line="240"/>
              <w:ind/>
              <w:rPr/>
            </w:pPr>
            <w:r>
              <w:rPr>
                <w:rFonts w:ascii="Times" w:hAnsi="Times" w:eastAsia="Times" w:cs="Times"/>
                <w:color w:val="000000"/>
                <w:sz w:val="24"/>
              </w:rPr>
              <w:t xml:space="preserve">Retail sales +4.7% YoY in Feb 2026 </w:t>
            </w:r>
            <w:hyperlink r:id="rId130" w:tooltip="https://tradingeconomics.com/south-korea/retail-sales-annual" w:history="1">
              <w:r>
                <w:rPr>
                  <w:rStyle w:val="186"/>
                  <w:rFonts w:ascii="Times" w:hAnsi="Times" w:eastAsia="Times" w:cs="Times"/>
                  <w:color w:val="0000ee"/>
                  <w:sz w:val="24"/>
                  <w:u w:val="single"/>
                </w:rPr>
                <w:t xml:space="preserve">tradingeconomics</w:t>
              </w:r>
            </w:hyperlink>
            <w:r/>
          </w:p>
        </w:tc>
      </w:tr>
      <w:tr>
        <w:trPr/>
        <w:tc>
          <w:tcPr>
            <w:tcBorders/>
            <w:tcMar>
              <w:left w:w="15" w:type="dxa"/>
              <w:top w:w="15" w:type="dxa"/>
              <w:right w:w="15" w:type="dxa"/>
              <w:bottom w:w="15" w:type="dxa"/>
            </w:tcMar>
            <w:tcW w:w="1118" w:type="dxa"/>
            <w:vAlign w:val="center"/>
            <w:textDirection w:val="lrTb"/>
            <w:noWrap w:val="false"/>
          </w:tcPr>
          <w:p>
            <w:pPr>
              <w:pBdr/>
              <w:spacing w:after="0" w:before="0" w:line="240"/>
              <w:ind/>
              <w:rPr/>
            </w:pPr>
            <w:r>
              <w:rPr>
                <w:rFonts w:ascii="Times" w:hAnsi="Times" w:eastAsia="Times" w:cs="Times"/>
                <w:color w:val="000000"/>
                <w:sz w:val="24"/>
              </w:rPr>
              <w:t xml:space="preserve">Recent momentum</w:t>
            </w:r>
            <w:r/>
          </w:p>
        </w:tc>
        <w:tc>
          <w:tcPr>
            <w:tcBorders/>
            <w:tcMar>
              <w:left w:w="15" w:type="dxa"/>
              <w:top w:w="15" w:type="dxa"/>
              <w:right w:w="15" w:type="dxa"/>
              <w:bottom w:w="15" w:type="dxa"/>
            </w:tcMar>
            <w:tcW w:w="2922" w:type="dxa"/>
            <w:vAlign w:val="center"/>
            <w:textDirection w:val="lrTb"/>
            <w:noWrap w:val="false"/>
          </w:tcPr>
          <w:p>
            <w:pPr>
              <w:pBdr/>
              <w:spacing w:after="0" w:before="0" w:line="240"/>
              <w:ind/>
              <w:rPr/>
            </w:pPr>
            <w:r>
              <w:rPr>
                <w:rFonts w:ascii="Times" w:hAnsi="Times" w:eastAsia="Times" w:cs="Times"/>
                <w:color w:val="000000"/>
                <w:sz w:val="24"/>
              </w:rPr>
              <w:t xml:space="preserve">Q1 retail sales nearly 13 trillion yuan, +2.4% YoY </w:t>
            </w:r>
            <w:hyperlink r:id="rId131" w:tooltip="https://www.facebook.com/CGTNGlobalBusiness/posts/2026-kicks-off-with-fresh-consumer-trendschinas-first-quarter-retail-sales-hit-n/1358437146303888/" w:history="1">
              <w:r>
                <w:rPr>
                  <w:rStyle w:val="186"/>
                  <w:rFonts w:ascii="Times" w:hAnsi="Times" w:eastAsia="Times" w:cs="Times"/>
                  <w:color w:val="0000ee"/>
                  <w:sz w:val="24"/>
                  <w:u w:val="single"/>
                </w:rPr>
                <w:t xml:space="preserve">facebook</w:t>
              </w:r>
            </w:hyperlink>
            <w:r/>
          </w:p>
        </w:tc>
        <w:tc>
          <w:tcPr>
            <w:tcBorders/>
            <w:tcMar>
              <w:left w:w="15" w:type="dxa"/>
              <w:top w:w="15" w:type="dxa"/>
              <w:right w:w="15" w:type="dxa"/>
              <w:bottom w:w="15" w:type="dxa"/>
            </w:tcMar>
            <w:tcW w:w="5314" w:type="dxa"/>
            <w:vAlign w:val="center"/>
            <w:textDirection w:val="lrTb"/>
            <w:noWrap w:val="false"/>
          </w:tcPr>
          <w:p>
            <w:pPr>
              <w:pBdr/>
              <w:spacing w:after="0" w:before="0" w:line="240"/>
              <w:ind/>
              <w:rPr/>
            </w:pPr>
            <w:r>
              <w:rPr>
                <w:rFonts w:ascii="Times" w:hAnsi="Times" w:eastAsia="Times" w:cs="Times"/>
                <w:color w:val="000000"/>
                <w:sz w:val="24"/>
              </w:rPr>
              <w:t xml:space="preserve">Feb retail was flat MoM in one release, but holiday effects lifted total retail +7.9% YoY in another tradingeconomics+1</w:t>
            </w:r>
            <w:r/>
          </w:p>
        </w:tc>
      </w:tr>
      <w:tr>
        <w:trPr/>
        <w:tc>
          <w:tcPr>
            <w:tcBorders/>
            <w:tcMar>
              <w:left w:w="15" w:type="dxa"/>
              <w:top w:w="15" w:type="dxa"/>
              <w:right w:w="15" w:type="dxa"/>
              <w:bottom w:w="15" w:type="dxa"/>
            </w:tcMar>
            <w:tcW w:w="1118" w:type="dxa"/>
            <w:vAlign w:val="center"/>
            <w:textDirection w:val="lrTb"/>
            <w:noWrap w:val="false"/>
          </w:tcPr>
          <w:p>
            <w:pPr>
              <w:pBdr/>
              <w:spacing w:after="0" w:before="0" w:line="240"/>
              <w:ind/>
              <w:rPr/>
            </w:pPr>
            <w:r>
              <w:rPr>
                <w:rFonts w:ascii="Times" w:hAnsi="Times" w:eastAsia="Times" w:cs="Times"/>
                <w:color w:val="000000"/>
                <w:sz w:val="24"/>
              </w:rPr>
              <w:t xml:space="preserve">Consumer sentiment</w:t>
            </w:r>
            <w:r/>
          </w:p>
        </w:tc>
        <w:tc>
          <w:tcPr>
            <w:tcBorders/>
            <w:tcMar>
              <w:left w:w="15" w:type="dxa"/>
              <w:top w:w="15" w:type="dxa"/>
              <w:right w:w="15" w:type="dxa"/>
              <w:bottom w:w="15" w:type="dxa"/>
            </w:tcMar>
            <w:tcW w:w="2922" w:type="dxa"/>
            <w:vAlign w:val="center"/>
            <w:textDirection w:val="lrTb"/>
            <w:noWrap w:val="false"/>
          </w:tcPr>
          <w:p>
            <w:pPr>
              <w:pBdr/>
              <w:spacing w:after="0" w:before="0" w:line="240"/>
              <w:ind/>
              <w:rPr/>
            </w:pPr>
            <w:r>
              <w:rPr>
                <w:rFonts w:ascii="Times" w:hAnsi="Times" w:eastAsia="Times" w:cs="Times"/>
                <w:color w:val="000000"/>
                <w:sz w:val="24"/>
              </w:rPr>
              <w:t xml:space="preserve">Modest improvement in early 2026, but still cautious coresight+1</w:t>
            </w:r>
            <w:r/>
          </w:p>
        </w:tc>
        <w:tc>
          <w:tcPr>
            <w:tcBorders/>
            <w:tcMar>
              <w:left w:w="15" w:type="dxa"/>
              <w:top w:w="15" w:type="dxa"/>
              <w:right w:w="15" w:type="dxa"/>
              <w:bottom w:w="15" w:type="dxa"/>
            </w:tcMar>
            <w:tcW w:w="5314" w:type="dxa"/>
            <w:vAlign w:val="center"/>
            <w:textDirection w:val="lrTb"/>
            <w:noWrap w:val="false"/>
          </w:tcPr>
          <w:p>
            <w:pPr>
              <w:pBdr/>
              <w:spacing w:after="0" w:before="0" w:line="240"/>
              <w:ind/>
              <w:rPr/>
            </w:pPr>
            <w:r>
              <w:rPr>
                <w:rFonts w:ascii="Times" w:hAnsi="Times" w:eastAsia="Times" w:cs="Times"/>
                <w:color w:val="000000"/>
                <w:sz w:val="24"/>
              </w:rPr>
              <w:t xml:space="preserve">Fell to 99.2 in April from 107.0 in March, below neutral 100 </w:t>
            </w:r>
            <w:hyperlink r:id="rId132" w:tooltip="https://tradingeconomics.com/south-korea/consumer-confidence/news/544077" w:history="1">
              <w:r>
                <w:rPr>
                  <w:rStyle w:val="186"/>
                  <w:rFonts w:ascii="Times" w:hAnsi="Times" w:eastAsia="Times" w:cs="Times"/>
                  <w:color w:val="0000ee"/>
                  <w:sz w:val="24"/>
                  <w:u w:val="single"/>
                </w:rPr>
                <w:t xml:space="preserve">tradingeconomics</w:t>
              </w:r>
            </w:hyperlink>
            <w:r/>
          </w:p>
        </w:tc>
      </w:tr>
      <w:tr>
        <w:trPr/>
        <w:tc>
          <w:tcPr>
            <w:tcBorders/>
            <w:tcMar>
              <w:left w:w="15" w:type="dxa"/>
              <w:top w:w="15" w:type="dxa"/>
              <w:right w:w="15" w:type="dxa"/>
              <w:bottom w:w="15" w:type="dxa"/>
            </w:tcMar>
            <w:tcW w:w="1118" w:type="dxa"/>
            <w:vAlign w:val="center"/>
            <w:textDirection w:val="lrTb"/>
            <w:noWrap w:val="false"/>
          </w:tcPr>
          <w:p>
            <w:pPr>
              <w:pBdr/>
              <w:spacing w:after="0" w:before="0" w:line="240"/>
              <w:ind/>
              <w:rPr/>
            </w:pPr>
            <w:r>
              <w:rPr>
                <w:rFonts w:ascii="Times" w:hAnsi="Times" w:eastAsia="Times" w:cs="Times"/>
                <w:color w:val="000000"/>
                <w:sz w:val="24"/>
              </w:rPr>
              <w:t xml:space="preserve">Online / mobile channel</w:t>
            </w:r>
            <w:r/>
          </w:p>
        </w:tc>
        <w:tc>
          <w:tcPr>
            <w:tcBorders/>
            <w:tcMar>
              <w:left w:w="15" w:type="dxa"/>
              <w:top w:w="15" w:type="dxa"/>
              <w:right w:w="15" w:type="dxa"/>
              <w:bottom w:w="15" w:type="dxa"/>
            </w:tcMar>
            <w:tcW w:w="2922" w:type="dxa"/>
            <w:vAlign w:val="center"/>
            <w:textDirection w:val="lrTb"/>
            <w:noWrap w:val="false"/>
          </w:tcPr>
          <w:p>
            <w:pPr>
              <w:pBdr/>
              <w:spacing w:after="0" w:before="0" w:line="240"/>
              <w:ind/>
              <w:rPr/>
            </w:pPr>
            <w:r>
              <w:rPr>
                <w:rFonts w:ascii="Times" w:hAnsi="Times" w:eastAsia="Times" w:cs="Times"/>
                <w:color w:val="000000"/>
                <w:sz w:val="24"/>
              </w:rPr>
              <w:t xml:space="preserve">Online retail goods +10.3%, services +9.2% </w:t>
            </w:r>
            <w:hyperlink r:id="rId133" w:tooltip="https://www.stats.gov.cn/english/PressRelease/202603/t20260317_1962805.html" w:history="1">
              <w:r>
                <w:rPr>
                  <w:rStyle w:val="186"/>
                  <w:rFonts w:ascii="Times" w:hAnsi="Times" w:eastAsia="Times" w:cs="Times"/>
                  <w:color w:val="0000ee"/>
                  <w:sz w:val="24"/>
                  <w:u w:val="single"/>
                </w:rPr>
                <w:t xml:space="preserve">stats</w:t>
              </w:r>
            </w:hyperlink>
            <w:r/>
          </w:p>
        </w:tc>
        <w:tc>
          <w:tcPr>
            <w:tcBorders/>
            <w:tcMar>
              <w:left w:w="15" w:type="dxa"/>
              <w:top w:w="15" w:type="dxa"/>
              <w:right w:w="15" w:type="dxa"/>
              <w:bottom w:w="15" w:type="dxa"/>
            </w:tcMar>
            <w:tcW w:w="5314" w:type="dxa"/>
            <w:vAlign w:val="center"/>
            <w:textDirection w:val="lrTb"/>
            <w:noWrap w:val="false"/>
          </w:tcPr>
          <w:p>
            <w:pPr>
              <w:pBdr/>
              <w:spacing w:after="0" w:before="0" w:line="240"/>
              <w:ind/>
              <w:rPr/>
            </w:pPr>
            <w:r>
              <w:rPr>
                <w:rFonts w:ascii="Times" w:hAnsi="Times" w:eastAsia="Times" w:cs="Times"/>
                <w:color w:val="000000"/>
                <w:sz w:val="24"/>
              </w:rPr>
              <w:t xml:space="preserve">Online shopping transactions +5.9% YoY; mobile shopping +6.7% YoY </w:t>
            </w:r>
            <w:hyperlink r:id="rId134" w:tooltip="https://mods.go.kr/board.es?mid=a20101000000&amp;bid=11722&amp;list_no=444356&amp;act=view&amp;mainXml=Y" w:history="1">
              <w:r>
                <w:rPr>
                  <w:rStyle w:val="186"/>
                  <w:rFonts w:ascii="Times" w:hAnsi="Times" w:eastAsia="Times" w:cs="Times"/>
                  <w:color w:val="0000ee"/>
                  <w:sz w:val="24"/>
                  <w:u w:val="single"/>
                </w:rPr>
                <w:t xml:space="preserve">mods.go</w:t>
              </w:r>
            </w:hyperlink>
            <w:r/>
          </w:p>
        </w:tc>
      </w:tr>
      <w:tr>
        <w:trPr/>
        <w:tc>
          <w:tcPr>
            <w:tcBorders/>
            <w:tcMar>
              <w:left w:w="15" w:type="dxa"/>
              <w:top w:w="15" w:type="dxa"/>
              <w:right w:w="15" w:type="dxa"/>
              <w:bottom w:w="15" w:type="dxa"/>
            </w:tcMar>
            <w:tcW w:w="1118" w:type="dxa"/>
            <w:vAlign w:val="center"/>
            <w:textDirection w:val="lrTb"/>
            <w:noWrap w:val="false"/>
          </w:tcPr>
          <w:p>
            <w:pPr>
              <w:pBdr/>
              <w:spacing w:after="0" w:before="0" w:line="240"/>
              <w:ind/>
              <w:rPr/>
            </w:pPr>
            <w:r>
              <w:rPr>
                <w:rFonts w:ascii="Times" w:hAnsi="Times" w:eastAsia="Times" w:cs="Times"/>
                <w:color w:val="000000"/>
                <w:sz w:val="24"/>
              </w:rPr>
              <w:t xml:space="preserve">Food signal</w:t>
            </w:r>
            <w:r/>
          </w:p>
        </w:tc>
        <w:tc>
          <w:tcPr>
            <w:tcBorders/>
            <w:tcMar>
              <w:left w:w="15" w:type="dxa"/>
              <w:top w:w="15" w:type="dxa"/>
              <w:right w:w="15" w:type="dxa"/>
              <w:bottom w:w="15" w:type="dxa"/>
            </w:tcMar>
            <w:tcW w:w="2922" w:type="dxa"/>
            <w:vAlign w:val="center"/>
            <w:textDirection w:val="lrTb"/>
            <w:noWrap w:val="false"/>
          </w:tcPr>
          <w:p>
            <w:pPr>
              <w:pBdr/>
              <w:spacing w:after="0" w:before="0" w:line="240"/>
              <w:ind/>
              <w:rPr/>
            </w:pPr>
            <w:r>
              <w:rPr>
                <w:rFonts w:ascii="Times" w:hAnsi="Times" w:eastAsia="Times" w:cs="Times"/>
                <w:color w:val="000000"/>
                <w:sz w:val="24"/>
              </w:rPr>
              <w:t xml:space="preserve">Food online sales +20.7% in Jan–Feb </w:t>
            </w:r>
            <w:hyperlink r:id="rId135" w:tooltip="https://www.stats.gov.cn/english/PressRelease/202603/t20260317_1962805.html" w:history="1">
              <w:r>
                <w:rPr>
                  <w:rStyle w:val="186"/>
                  <w:rFonts w:ascii="Times" w:hAnsi="Times" w:eastAsia="Times" w:cs="Times"/>
                  <w:color w:val="0000ee"/>
                  <w:sz w:val="24"/>
                  <w:u w:val="single"/>
                </w:rPr>
                <w:t xml:space="preserve">stats</w:t>
              </w:r>
            </w:hyperlink>
            <w:r/>
          </w:p>
        </w:tc>
        <w:tc>
          <w:tcPr>
            <w:tcBorders/>
            <w:tcMar>
              <w:left w:w="15" w:type="dxa"/>
              <w:top w:w="15" w:type="dxa"/>
              <w:right w:w="15" w:type="dxa"/>
              <w:bottom w:w="15" w:type="dxa"/>
            </w:tcMar>
            <w:tcW w:w="5314" w:type="dxa"/>
            <w:vAlign w:val="center"/>
            <w:textDirection w:val="lrTb"/>
            <w:noWrap w:val="false"/>
          </w:tcPr>
          <w:p>
            <w:pPr>
              <w:pBdr/>
              <w:spacing w:after="0" w:before="0" w:line="240"/>
              <w:ind/>
              <w:rPr/>
            </w:pPr>
            <w:r>
              <w:rPr>
                <w:rFonts w:ascii="Times" w:hAnsi="Times" w:eastAsia="Times" w:cs="Times"/>
                <w:color w:val="000000"/>
                <w:sz w:val="24"/>
              </w:rPr>
              <w:t xml:space="preserve">Food and beverage purchases increased while semidurables like clothing fell </w:t>
            </w:r>
            <w:hyperlink r:id="rId136" w:tooltip="https://tradingeconomics.com/south-korea/retail-sales/news/537576" w:history="1">
              <w:r>
                <w:rPr>
                  <w:rStyle w:val="186"/>
                  <w:rFonts w:ascii="Times" w:hAnsi="Times" w:eastAsia="Times" w:cs="Times"/>
                  <w:color w:val="0000ee"/>
                  <w:sz w:val="24"/>
                  <w:u w:val="single"/>
                </w:rPr>
                <w:t xml:space="preserve">tradingeconomics</w:t>
              </w:r>
            </w:hyperlink>
            <w:r/>
          </w:p>
        </w:tc>
      </w:tr>
    </w:tbl>
    <w:p>
      <w:pPr>
        <w:pStyle w:val="139"/>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36"/>
        </w:rPr>
        <w:t xml:space="preserve">China signals</w:t>
      </w:r>
      <w:r/>
    </w:p>
    <w:p>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China’s 2026 retail picture is improving, but in a selective way. Official data show total retail sales of consumer goods up 2.8% in Jan–Feb 2026, with online retail of goods rising 10.3% and food online sales up 20.7%. Commentary around 2026 consumer beha</w:t>
      </w:r>
      <w:r>
        <w:rPr>
          <w:rFonts w:ascii="Times" w:hAnsi="Times" w:eastAsia="Times" w:cs="Times"/>
          <w:color w:val="000000"/>
          <w:sz w:val="24"/>
        </w:rPr>
        <w:t xml:space="preserve">vior points to “deliberate spending,” where consumers are rational on routine items but spend more freely on emotionally meaningful or identity-driven purchases.linkedin+2</w:t>
      </w:r>
      <w:r/>
    </w:p>
    <w:p>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The strongest product themes are food, functional wellness, beauty, and experience-led retail. Reports highlight organic food, functional beverages, protein, gut health, and healthy-aging products as notable demand areas, while fashion and lower-priority c</w:t>
      </w:r>
      <w:r>
        <w:rPr>
          <w:rFonts w:ascii="Times" w:hAnsi="Times" w:eastAsia="Times" w:cs="Times"/>
          <w:color w:val="000000"/>
          <w:sz w:val="24"/>
        </w:rPr>
        <w:t xml:space="preserve">ategories remain more constrained. In physical retail, categories tied to fast food, ACG, outdoor apparel, and IP-driven experiences are holding up better than traditional mall formats.retailasia+2</w:t>
      </w:r>
      <w:r/>
    </w:p>
    <w:p>
      <w:pPr>
        <w:pStyle w:val="139"/>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36"/>
        </w:rPr>
        <w:t xml:space="preserve">South Korea signals</w:t>
      </w:r>
      <w:r/>
    </w:p>
    <w:p>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South Korea looks more volatile. Retail sales were up 4.7% YoY in February 2026, helped by Lunar New Year spending, but consumer sentiment then dropped sharply in April to 99.2, its lowest in 15 months and below the neutral threshold. That combination sugg</w:t>
      </w:r>
      <w:r>
        <w:rPr>
          <w:rFonts w:ascii="Times" w:hAnsi="Times" w:eastAsia="Times" w:cs="Times"/>
          <w:color w:val="000000"/>
          <w:sz w:val="24"/>
        </w:rPr>
        <w:t xml:space="preserve">ests households are still spending, but confidence weakened quickly in spring.tradingeconomics+2</w:t>
      </w:r>
      <w:r/>
    </w:p>
    <w:p>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Category data show a bifurcation between food and discretionary apparel. In February, food and beverage purchases rose, while semidurables like clothing declined, and online shopping still grew 5.9% with mobile shopping up 6.7%. Offline retail got a strong</w:t>
      </w:r>
      <w:r>
        <w:rPr>
          <w:rFonts w:ascii="Times" w:hAnsi="Times" w:eastAsia="Times" w:cs="Times"/>
          <w:color w:val="000000"/>
          <w:sz w:val="24"/>
        </w:rPr>
        <w:t xml:space="preserve"> holiday boost, especially department stores and discount outlets, which signals that promotions still matter a lot in Korea.tradingeconomics+3</w:t>
      </w:r>
      <w:r/>
    </w:p>
    <w:p>
      <w:pPr>
        <w:pStyle w:val="139"/>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36"/>
        </w:rPr>
        <w:t xml:space="preserve">Cross-border brands</w:t>
      </w:r>
      <w:r/>
    </w:p>
    <w:p>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Flower Knows is a strong signal for Chinese beauty brands entering Korea. It opened a pop-up and then entered Chicor in Seoul, with strong shopper attention and sell-through on products like its Bunny Garden palette. That matters because it shows Korean co</w:t>
      </w:r>
      <w:r>
        <w:rPr>
          <w:rFonts w:ascii="Times" w:hAnsi="Times" w:eastAsia="Times" w:cs="Times"/>
          <w:color w:val="000000"/>
          <w:sz w:val="24"/>
        </w:rPr>
        <w:t xml:space="preserve">nsumers are willing to try Chinese brands when the packaging, story, and perceived novelty are compelling.biz.chosun+1</w:t>
      </w:r>
      <w:r/>
    </w:p>
    <w:p>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For Korean brands in China, the opportunity is still real but the playbook is changing. China’s market is increasingly social-commerce led, value-aware, and selective about premiumization, so Korean brands need stronger localization, digital-native storyte</w:t>
      </w:r>
      <w:r>
        <w:rPr>
          <w:rFonts w:ascii="Times" w:hAnsi="Times" w:eastAsia="Times" w:cs="Times"/>
          <w:color w:val="000000"/>
          <w:sz w:val="24"/>
        </w:rPr>
        <w:t xml:space="preserve">lling, and clearer functional benefit claims. The broader competitive pattern is that K-beauty no longer owns the “interesting beauty brand” lane by default; Chinese brands are now contesting it in Korea too.koreajoongangdaily.joins+4</w:t>
      </w:r>
      <w:r/>
    </w:p>
    <w:p>
      <w:pPr>
        <w:pStyle w:val="139"/>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36"/>
        </w:rPr>
        <w:t xml:space="preserve">Deliberate spending</w:t>
      </w:r>
      <w:r/>
    </w:p>
    <w:p>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“Deliberate spending” is the clearest consumer theme across both markets, but it looks different in each. In China, consumers are described as more rational for everyday purchases and more generous when the purchase feels meaningful, identity-based, or wel</w:t>
      </w:r>
      <w:r>
        <w:rPr>
          <w:rFonts w:ascii="Times" w:hAnsi="Times" w:eastAsia="Times" w:cs="Times"/>
          <w:color w:val="000000"/>
          <w:sz w:val="24"/>
        </w:rPr>
        <w:t xml:space="preserve">lness-linked. In South Korea, the sentiment drop suggests that spending is still occurring, but confidence-sensitive categories may soften unless promotions or practical value are obvious.jingdaily+3</w:t>
      </w:r>
      <w:r/>
    </w:p>
    <w:p>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For retailers, this means value does not have to mean cheap. It can mean functional benefits, design, emotional reward, social proof, or convenience; China appears especially receptive to this hybrid value logic in beauty, food, and lifestyle categories.da</w:t>
      </w:r>
      <w:r>
        <w:rPr>
          <w:rFonts w:ascii="Times" w:hAnsi="Times" w:eastAsia="Times" w:cs="Times"/>
          <w:color w:val="000000"/>
          <w:sz w:val="24"/>
        </w:rPr>
        <w:t xml:space="preserve">xueconsulting+1</w:t>
      </w:r>
      <w:r/>
    </w:p>
    <w:p>
      <w:pPr>
        <w:pStyle w:val="139"/>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36"/>
        </w:rPr>
        <w:t xml:space="preserve">EU and Finland use</w:t>
      </w:r>
      <w:r/>
    </w:p>
    <w:p>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For EU and Finland, the most useful lesson is that Asian demand is moving toward curated, premium-but-justified products rather than generic luxury or mass-market expansion. Finnish and EU brands entering China or Korea should lead with functional claims, </w:t>
      </w:r>
      <w:r>
        <w:rPr>
          <w:rFonts w:ascii="Times" w:hAnsi="Times" w:eastAsia="Times" w:cs="Times"/>
          <w:color w:val="000000"/>
          <w:sz w:val="24"/>
        </w:rPr>
        <w:t xml:space="preserve">design clarity, traceability, sustainability, and a strong digital commerce path, because consumers are comparing more and buying more selectively. For Finland specifically, the strongest near-term angle is in wellness food, clean-label products, premium g</w:t>
      </w:r>
      <w:r>
        <w:rPr>
          <w:rFonts w:ascii="Times" w:hAnsi="Times" w:eastAsia="Times" w:cs="Times"/>
          <w:color w:val="000000"/>
          <w:sz w:val="24"/>
        </w:rPr>
        <w:t xml:space="preserve">ifting, design-led retail, and experience-oriented tourism or retail concepts that map well to Asian consumer expectations.esignals+2</w:t>
      </w:r>
      <w:r/>
    </w:p>
    <w:p>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There is also a channel implication. China’s social commerce and Korea’s mobile-first shopping patterns suggest that EU brands should treat content, community, and conversion as one system rather than separate marketing stages. For Finnish retailers and de</w:t>
      </w:r>
      <w:r>
        <w:rPr>
          <w:rFonts w:ascii="Times" w:hAnsi="Times" w:eastAsia="Times" w:cs="Times"/>
          <w:color w:val="000000"/>
          <w:sz w:val="24"/>
        </w:rPr>
        <w:t xml:space="preserve">stinations, that means multilingual social commerce, KOL/KOC-style storytelling, mobile payments, and culturally specific packaging or merchandising can materially improve conversion.mods.go+4</w:t>
      </w:r>
      <w:r/>
    </w:p>
    <w:p>
      <w:pPr>
        <w:pStyle w:val="139"/>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36"/>
        </w:rPr>
        <w:t xml:space="preserve">Weekly monitoring</w:t>
      </w:r>
      <w:r/>
    </w:p>
    <w:p>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A weekly watchlist should track five things: retail sales growth, consumer sentiment, online share, category winners, and cross-border brand activity. The important alerts are: a China retail acceleration above recent 2.8% levels, a Korea sentiment recover</w:t>
      </w:r>
      <w:r>
        <w:rPr>
          <w:rFonts w:ascii="Times" w:hAnsi="Times" w:eastAsia="Times" w:cs="Times"/>
          <w:color w:val="000000"/>
          <w:sz w:val="24"/>
        </w:rPr>
        <w:t xml:space="preserve">y back above 100, a sudden category swing in food vs apparel, and any new overseas rollout by brands like Flower Knows or leading Korean labels in China. </w:t>
      </w:r>
      <w:r>
        <w:rPr>
          <w:rFonts w:ascii="Times" w:hAnsi="Times" w:eastAsia="Times" w:cs="Times"/>
          <w:color w:val="000000"/>
          <w:sz w:val="24"/>
        </w:rPr>
      </w:r>
      <w:r/>
    </w:p>
    <w:p>
      <w:pPr>
        <w:pBdr/>
        <w:spacing/>
        <w:ind/>
        <w:rPr>
          <w:rFonts w:ascii="Arial" w:hAnsi="Arial" w:cs="Arial"/>
          <w:sz w:val="20"/>
          <w:szCs w:val="20"/>
          <w:highlight w:val="none"/>
        </w:rPr>
      </w:pPr>
      <w:r>
        <w:rPr>
          <w:rFonts w:ascii="Arial" w:hAnsi="Arial" w:eastAsia="Arial" w:cs="Arial"/>
          <w:sz w:val="20"/>
          <w:szCs w:val="20"/>
          <w:highlight w:val="none"/>
        </w:rPr>
      </w:r>
      <w:r>
        <w:rPr>
          <w:rFonts w:ascii="Arial" w:hAnsi="Arial" w:eastAsia="Arial" w:cs="Arial"/>
          <w:sz w:val="20"/>
          <w:szCs w:val="20"/>
          <w:highlight w:val="none"/>
        </w:rPr>
      </w:r>
    </w:p>
    <w:sectPr>
      <w:footnotePr/>
      <w:endnotePr/>
      <w:type w:val="nextPage"/>
      <w:pgSz w:h="15840" w:orient="portrait" w:w="12240"/>
      <w:pgMar w:top="1440" w:right="1020" w:bottom="1440" w:left="1015"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w:panose1 w:val="00000500000000020000"/>
  </w:font>
  <w:font w:name="Symbol">
    <w:panose1 w:val="05010000000000000000"/>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1">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2">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3">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4">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5">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6">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7">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8">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9">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10">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11">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12">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13">
    <w:lvl w:ilvl="0">
      <w:isLgl w:val="false"/>
      <w:lvlJc w:val="left"/>
      <w:lvlText w:val="·"/>
      <w:numFmt w:val="bullet"/>
      <w:pPr>
        <w:pBdr/>
        <w:spacing/>
        <w:ind w:hanging="360" w:left="709"/>
      </w:pPr>
      <w:rPr>
        <w:rFonts w:hint="default" w:ascii="Symbol" w:hAnsi="Symbol" w:eastAsia="Symbol" w:cs="Symbol"/>
        <w:color w:val="000000"/>
        <w:sz w:val="20"/>
      </w:rPr>
      <w:start w:val="1"/>
      <w:suff w:val="tab"/>
    </w:lvl>
    <w:lvl w:ilvl="1">
      <w:isLgl w:val="false"/>
      <w:lvlJc w:val="left"/>
      <w:lvlText w:val="·"/>
      <w:numFmt w:val="bullet"/>
      <w:pPr>
        <w:pBdr/>
        <w:spacing/>
        <w:ind w:hanging="360" w:left="1429"/>
      </w:pPr>
      <w:rPr>
        <w:rFonts w:hint="default" w:ascii="Symbol" w:hAnsi="Symbol" w:eastAsia="Symbol" w:cs="Symbol"/>
        <w:color w:val="000000"/>
        <w:sz w:val="20"/>
      </w:rPr>
      <w:start w:val="1"/>
      <w:suff w:val="tab"/>
    </w:lvl>
    <w:lvl w:ilvl="2">
      <w:isLgl w:val="false"/>
      <w:lvlJc w:val="left"/>
      <w:lvlText w:val="·"/>
      <w:numFmt w:val="bullet"/>
      <w:pPr>
        <w:pBdr/>
        <w:spacing/>
        <w:ind w:hanging="360" w:left="2149"/>
      </w:pPr>
      <w:rPr>
        <w:rFonts w:hint="default" w:ascii="Symbol" w:hAnsi="Symbol" w:eastAsia="Symbol" w:cs="Symbol"/>
        <w:color w:val="000000"/>
        <w:sz w:val="20"/>
      </w:rPr>
      <w:start w:val="1"/>
      <w:suff w:val="tab"/>
    </w:lvl>
    <w:lvl w:ilvl="3">
      <w:isLgl w:val="false"/>
      <w:lvlJc w:val="left"/>
      <w:lvlText w:val="·"/>
      <w:numFmt w:val="bullet"/>
      <w:pPr>
        <w:pBdr/>
        <w:spacing/>
        <w:ind w:hanging="360" w:left="2869"/>
      </w:pPr>
      <w:rPr>
        <w:rFonts w:hint="default" w:ascii="Symbol" w:hAnsi="Symbol" w:eastAsia="Symbol" w:cs="Symbol"/>
        <w:color w:val="000000"/>
        <w:sz w:val="20"/>
      </w:rPr>
      <w:start w:val="1"/>
      <w:suff w:val="tab"/>
    </w:lvl>
    <w:lvl w:ilvl="4">
      <w:isLgl w:val="false"/>
      <w:lvlJc w:val="left"/>
      <w:lvlText w:val="·"/>
      <w:numFmt w:val="bullet"/>
      <w:pPr>
        <w:pBdr/>
        <w:spacing/>
        <w:ind w:hanging="360" w:left="3589"/>
      </w:pPr>
      <w:rPr>
        <w:rFonts w:hint="default" w:ascii="Symbol" w:hAnsi="Symbol" w:eastAsia="Symbol" w:cs="Symbol"/>
        <w:color w:val="000000"/>
        <w:sz w:val="20"/>
      </w:rPr>
      <w:start w:val="1"/>
      <w:suff w:val="tab"/>
    </w:lvl>
    <w:lvl w:ilvl="5">
      <w:isLgl w:val="false"/>
      <w:lvlJc w:val="left"/>
      <w:lvlText w:val="·"/>
      <w:numFmt w:val="bullet"/>
      <w:pPr>
        <w:pBdr/>
        <w:spacing/>
        <w:ind w:hanging="360" w:left="4309"/>
      </w:pPr>
      <w:rPr>
        <w:rFonts w:hint="default" w:ascii="Symbol" w:hAnsi="Symbol" w:eastAsia="Symbol" w:cs="Symbol"/>
        <w:color w:val="000000"/>
        <w:sz w:val="20"/>
      </w:rPr>
      <w:start w:val="1"/>
      <w:suff w:val="tab"/>
    </w:lvl>
    <w:lvl w:ilvl="6">
      <w:isLgl w:val="false"/>
      <w:lvlJc w:val="left"/>
      <w:lvlText w:val="·"/>
      <w:numFmt w:val="bullet"/>
      <w:pPr>
        <w:pBdr/>
        <w:spacing/>
        <w:ind w:hanging="360" w:left="5029"/>
      </w:pPr>
      <w:rPr>
        <w:rFonts w:hint="default" w:ascii="Symbol" w:hAnsi="Symbol" w:eastAsia="Symbol" w:cs="Symbol"/>
        <w:color w:val="000000"/>
        <w:sz w:val="20"/>
      </w:rPr>
      <w:start w:val="1"/>
      <w:suff w:val="tab"/>
    </w:lvl>
    <w:lvl w:ilvl="7">
      <w:isLgl w:val="false"/>
      <w:lvlJc w:val="left"/>
      <w:lvlText w:val="·"/>
      <w:numFmt w:val="bullet"/>
      <w:pPr>
        <w:pBdr/>
        <w:spacing/>
        <w:ind w:hanging="360" w:left="5749"/>
      </w:pPr>
      <w:rPr>
        <w:rFonts w:hint="default" w:ascii="Symbol" w:hAnsi="Symbol" w:eastAsia="Symbol" w:cs="Symbol"/>
        <w:color w:val="000000"/>
        <w:sz w:val="20"/>
      </w:rPr>
      <w:start w:val="1"/>
      <w:suff w:val="tab"/>
    </w:lvl>
    <w:lvl w:ilvl="8">
      <w:isLgl w:val="false"/>
      <w:lvlJc w:val="left"/>
      <w:lvlText w:val="·"/>
      <w:numFmt w:val="bullet"/>
      <w:pPr>
        <w:pBdr/>
        <w:spacing/>
        <w:ind w:hanging="360" w:left="6469"/>
      </w:pPr>
      <w:rPr>
        <w:rFonts w:hint="default" w:ascii="Symbol" w:hAnsi="Symbol" w:eastAsia="Symbol" w:cs="Symbol"/>
        <w:color w:val="000000"/>
        <w:sz w:val="20"/>
      </w:rPr>
      <w:start w:val="1"/>
      <w:suff w:val="tab"/>
    </w:lvl>
  </w:abstractNum>
  <w:abstractNum w:abstractNumId="1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left"/>
      <w:lvlText w:val="·"/>
      <w:numFmt w:val="bullet"/>
      <w:pPr>
        <w:pBdr/>
        <w:spacing/>
        <w:ind w:hanging="360" w:left="2149"/>
      </w:pPr>
      <w:rPr>
        <w:rFonts w:hint="default" w:ascii="Symbol" w:hAnsi="Symbol" w:eastAsia="Symbol" w:cs="Symbol"/>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
      <w:numFmt w:val="bullet"/>
      <w:pPr>
        <w:pBdr/>
        <w:spacing/>
        <w:ind w:hanging="360" w:left="3589"/>
      </w:pPr>
      <w:rPr>
        <w:rFonts w:hint="default" w:ascii="Symbol" w:hAnsi="Symbol" w:eastAsia="Symbol" w:cs="Symbol"/>
      </w:rPr>
      <w:start w:val="1"/>
      <w:suff w:val="tab"/>
    </w:lvl>
    <w:lvl w:ilvl="5">
      <w:isLgl w:val="false"/>
      <w:lvlJc w:val="left"/>
      <w:lvlText w:val="·"/>
      <w:numFmt w:val="bullet"/>
      <w:pPr>
        <w:pBdr/>
        <w:spacing/>
        <w:ind w:hanging="360" w:left="4309"/>
      </w:pPr>
      <w:rPr>
        <w:rFonts w:hint="default" w:ascii="Symbol" w:hAnsi="Symbol" w:eastAsia="Symbol" w:cs="Symbol"/>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
      <w:numFmt w:val="bullet"/>
      <w:pPr>
        <w:pBdr/>
        <w:spacing/>
        <w:ind w:hanging="360" w:left="5749"/>
      </w:pPr>
      <w:rPr>
        <w:rFonts w:hint="default" w:ascii="Symbol" w:hAnsi="Symbol" w:eastAsia="Symbol" w:cs="Symbol"/>
      </w:rPr>
      <w:start w:val="1"/>
      <w:suff w:val="tab"/>
    </w:lvl>
    <w:lvl w:ilvl="8">
      <w:isLgl w:val="false"/>
      <w:lvlJc w:val="left"/>
      <w:lvlText w:val="·"/>
      <w:numFmt w:val="bullet"/>
      <w:pPr>
        <w:pBdr/>
        <w:spacing/>
        <w:ind w:hanging="360" w:left="6469"/>
      </w:pPr>
      <w:rPr>
        <w:rFonts w:hint="default" w:ascii="Symbol" w:hAnsi="Symbol" w:eastAsia="Symbol" w:cs="Symbol"/>
      </w:rPr>
      <w:start w:val="1"/>
      <w:suff w:val="tab"/>
    </w:lvl>
  </w:abstractNum>
  <w:abstractNum w:abstractNumId="15">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16">
    <w:lvl w:ilvl="0">
      <w:isLgl w:val="false"/>
      <w:lvlJc w:val="right"/>
      <w:lvlText w:val="%1."/>
      <w:numFmt w:val="decimal"/>
      <w:pPr>
        <w:pBdr/>
        <w:spacing/>
        <w:ind w:hanging="360" w:left="709"/>
      </w:pPr>
      <w:rPr>
        <w:rFonts w:ascii="Times" w:hAnsi="Times" w:eastAsia="Times" w:cs="Times"/>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1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left"/>
      <w:lvlText w:val="·"/>
      <w:numFmt w:val="bullet"/>
      <w:pPr>
        <w:pBdr/>
        <w:spacing/>
        <w:ind w:hanging="360" w:left="2149"/>
      </w:pPr>
      <w:rPr>
        <w:rFonts w:hint="default" w:ascii="Symbol" w:hAnsi="Symbol" w:eastAsia="Symbol" w:cs="Symbol"/>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
      <w:numFmt w:val="bullet"/>
      <w:pPr>
        <w:pBdr/>
        <w:spacing/>
        <w:ind w:hanging="360" w:left="3589"/>
      </w:pPr>
      <w:rPr>
        <w:rFonts w:hint="default" w:ascii="Symbol" w:hAnsi="Symbol" w:eastAsia="Symbol" w:cs="Symbol"/>
      </w:rPr>
      <w:start w:val="1"/>
      <w:suff w:val="tab"/>
    </w:lvl>
    <w:lvl w:ilvl="5">
      <w:isLgl w:val="false"/>
      <w:lvlJc w:val="left"/>
      <w:lvlText w:val="·"/>
      <w:numFmt w:val="bullet"/>
      <w:pPr>
        <w:pBdr/>
        <w:spacing/>
        <w:ind w:hanging="360" w:left="4309"/>
      </w:pPr>
      <w:rPr>
        <w:rFonts w:hint="default" w:ascii="Symbol" w:hAnsi="Symbol" w:eastAsia="Symbol" w:cs="Symbol"/>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
      <w:numFmt w:val="bullet"/>
      <w:pPr>
        <w:pBdr/>
        <w:spacing/>
        <w:ind w:hanging="360" w:left="5749"/>
      </w:pPr>
      <w:rPr>
        <w:rFonts w:hint="default" w:ascii="Symbol" w:hAnsi="Symbol" w:eastAsia="Symbol" w:cs="Symbol"/>
      </w:rPr>
      <w:start w:val="1"/>
      <w:suff w:val="tab"/>
    </w:lvl>
    <w:lvl w:ilvl="8">
      <w:isLgl w:val="false"/>
      <w:lvlJc w:val="left"/>
      <w:lvlText w:val="·"/>
      <w:numFmt w:val="bullet"/>
      <w:pPr>
        <w:pBdr/>
        <w:spacing/>
        <w:ind w:hanging="360" w:left="6469"/>
      </w:pPr>
      <w:rPr>
        <w:rFonts w:hint="default" w:ascii="Symbol" w:hAnsi="Symbol" w:eastAsia="Symbol" w:cs="Symbol"/>
      </w:rPr>
      <w:start w:val="1"/>
      <w:suff w:val="tab"/>
    </w:lvl>
  </w:abstractNum>
  <w:abstractNum w:abstractNumId="18">
    <w:lvl w:ilvl="0">
      <w:isLgl w:val="false"/>
      <w:lvlJc w:val="right"/>
      <w:lvlText w:val="%1."/>
      <w:numFmt w:val="decimal"/>
      <w:pPr>
        <w:pBdr/>
        <w:spacing/>
        <w:ind w:hanging="360" w:left="709"/>
      </w:pPr>
      <w:rPr>
        <w:rFonts w:ascii="Times" w:hAnsi="Times" w:eastAsia="Times" w:cs="Times"/>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1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left"/>
      <w:lvlText w:val="·"/>
      <w:numFmt w:val="bullet"/>
      <w:pPr>
        <w:pBdr/>
        <w:spacing/>
        <w:ind w:hanging="360" w:left="2149"/>
      </w:pPr>
      <w:rPr>
        <w:rFonts w:hint="default" w:ascii="Symbol" w:hAnsi="Symbol" w:eastAsia="Symbol" w:cs="Symbol"/>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
      <w:numFmt w:val="bullet"/>
      <w:pPr>
        <w:pBdr/>
        <w:spacing/>
        <w:ind w:hanging="360" w:left="3589"/>
      </w:pPr>
      <w:rPr>
        <w:rFonts w:hint="default" w:ascii="Symbol" w:hAnsi="Symbol" w:eastAsia="Symbol" w:cs="Symbol"/>
      </w:rPr>
      <w:start w:val="1"/>
      <w:suff w:val="tab"/>
    </w:lvl>
    <w:lvl w:ilvl="5">
      <w:isLgl w:val="false"/>
      <w:lvlJc w:val="left"/>
      <w:lvlText w:val="·"/>
      <w:numFmt w:val="bullet"/>
      <w:pPr>
        <w:pBdr/>
        <w:spacing/>
        <w:ind w:hanging="360" w:left="4309"/>
      </w:pPr>
      <w:rPr>
        <w:rFonts w:hint="default" w:ascii="Symbol" w:hAnsi="Symbol" w:eastAsia="Symbol" w:cs="Symbol"/>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
      <w:numFmt w:val="bullet"/>
      <w:pPr>
        <w:pBdr/>
        <w:spacing/>
        <w:ind w:hanging="360" w:left="5749"/>
      </w:pPr>
      <w:rPr>
        <w:rFonts w:hint="default" w:ascii="Symbol" w:hAnsi="Symbol" w:eastAsia="Symbol" w:cs="Symbol"/>
      </w:rPr>
      <w:start w:val="1"/>
      <w:suff w:val="tab"/>
    </w:lvl>
    <w:lvl w:ilvl="8">
      <w:isLgl w:val="false"/>
      <w:lvlJc w:val="left"/>
      <w:lvlText w:val="·"/>
      <w:numFmt w:val="bullet"/>
      <w:pPr>
        <w:pBdr/>
        <w:spacing/>
        <w:ind w:hanging="360" w:left="6469"/>
      </w:pPr>
      <w:rPr>
        <w:rFonts w:hint="default" w:ascii="Symbol" w:hAnsi="Symbol" w:eastAsia="Symbol" w:cs="Symbol"/>
      </w:rPr>
      <w:start w:val="1"/>
      <w:suff w:val="tab"/>
    </w:lvl>
  </w:abstractNum>
  <w:abstractNum w:abstractNumId="20">
    <w:lvl w:ilvl="0">
      <w:isLgl w:val="false"/>
      <w:lvlJc w:val="right"/>
      <w:lvlText w:val="%1."/>
      <w:numFmt w:val="decimal"/>
      <w:pPr>
        <w:pBdr/>
        <w:spacing/>
        <w:ind w:hanging="360" w:left="709"/>
      </w:pPr>
      <w:rPr>
        <w:rFonts w:ascii="Times" w:hAnsi="Times" w:eastAsia="Times" w:cs="Times"/>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2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left"/>
      <w:lvlText w:val="·"/>
      <w:numFmt w:val="bullet"/>
      <w:pPr>
        <w:pBdr/>
        <w:spacing/>
        <w:ind w:hanging="360" w:left="2149"/>
      </w:pPr>
      <w:rPr>
        <w:rFonts w:hint="default" w:ascii="Symbol" w:hAnsi="Symbol" w:eastAsia="Symbol" w:cs="Symbol"/>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
      <w:numFmt w:val="bullet"/>
      <w:pPr>
        <w:pBdr/>
        <w:spacing/>
        <w:ind w:hanging="360" w:left="3589"/>
      </w:pPr>
      <w:rPr>
        <w:rFonts w:hint="default" w:ascii="Symbol" w:hAnsi="Symbol" w:eastAsia="Symbol" w:cs="Symbol"/>
      </w:rPr>
      <w:start w:val="1"/>
      <w:suff w:val="tab"/>
    </w:lvl>
    <w:lvl w:ilvl="5">
      <w:isLgl w:val="false"/>
      <w:lvlJc w:val="left"/>
      <w:lvlText w:val="·"/>
      <w:numFmt w:val="bullet"/>
      <w:pPr>
        <w:pBdr/>
        <w:spacing/>
        <w:ind w:hanging="360" w:left="4309"/>
      </w:pPr>
      <w:rPr>
        <w:rFonts w:hint="default" w:ascii="Symbol" w:hAnsi="Symbol" w:eastAsia="Symbol" w:cs="Symbol"/>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
      <w:numFmt w:val="bullet"/>
      <w:pPr>
        <w:pBdr/>
        <w:spacing/>
        <w:ind w:hanging="360" w:left="5749"/>
      </w:pPr>
      <w:rPr>
        <w:rFonts w:hint="default" w:ascii="Symbol" w:hAnsi="Symbol" w:eastAsia="Symbol" w:cs="Symbol"/>
      </w:rPr>
      <w:start w:val="1"/>
      <w:suff w:val="tab"/>
    </w:lvl>
    <w:lvl w:ilvl="8">
      <w:isLgl w:val="false"/>
      <w:lvlJc w:val="left"/>
      <w:lvlText w:val="·"/>
      <w:numFmt w:val="bullet"/>
      <w:pPr>
        <w:pBdr/>
        <w:spacing/>
        <w:ind w:hanging="360" w:left="6469"/>
      </w:pPr>
      <w:rPr>
        <w:rFonts w:hint="default" w:ascii="Symbol" w:hAnsi="Symbol" w:eastAsia="Symbol" w:cs="Symbol"/>
      </w:rPr>
      <w:start w:val="1"/>
      <w:suff w:val="tab"/>
    </w:lvl>
  </w:abstractNum>
  <w:abstractNum w:abstractNumId="22">
    <w:lvl w:ilvl="0">
      <w:isLgl w:val="false"/>
      <w:lvlJc w:val="right"/>
      <w:lvlText w:val="%1."/>
      <w:numFmt w:val="decimal"/>
      <w:pPr>
        <w:pBdr/>
        <w:spacing/>
        <w:ind w:hanging="360" w:left="709"/>
      </w:pPr>
      <w:rPr>
        <w:rFonts w:ascii="Times" w:hAnsi="Times" w:eastAsia="Times" w:cs="Times"/>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2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left"/>
      <w:lvlText w:val="·"/>
      <w:numFmt w:val="bullet"/>
      <w:pPr>
        <w:pBdr/>
        <w:spacing/>
        <w:ind w:hanging="360" w:left="2149"/>
      </w:pPr>
      <w:rPr>
        <w:rFonts w:hint="default" w:ascii="Symbol" w:hAnsi="Symbol" w:eastAsia="Symbol" w:cs="Symbol"/>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
      <w:numFmt w:val="bullet"/>
      <w:pPr>
        <w:pBdr/>
        <w:spacing/>
        <w:ind w:hanging="360" w:left="3589"/>
      </w:pPr>
      <w:rPr>
        <w:rFonts w:hint="default" w:ascii="Symbol" w:hAnsi="Symbol" w:eastAsia="Symbol" w:cs="Symbol"/>
      </w:rPr>
      <w:start w:val="1"/>
      <w:suff w:val="tab"/>
    </w:lvl>
    <w:lvl w:ilvl="5">
      <w:isLgl w:val="false"/>
      <w:lvlJc w:val="left"/>
      <w:lvlText w:val="·"/>
      <w:numFmt w:val="bullet"/>
      <w:pPr>
        <w:pBdr/>
        <w:spacing/>
        <w:ind w:hanging="360" w:left="4309"/>
      </w:pPr>
      <w:rPr>
        <w:rFonts w:hint="default" w:ascii="Symbol" w:hAnsi="Symbol" w:eastAsia="Symbol" w:cs="Symbol"/>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
      <w:numFmt w:val="bullet"/>
      <w:pPr>
        <w:pBdr/>
        <w:spacing/>
        <w:ind w:hanging="360" w:left="5749"/>
      </w:pPr>
      <w:rPr>
        <w:rFonts w:hint="default" w:ascii="Symbol" w:hAnsi="Symbol" w:eastAsia="Symbol" w:cs="Symbol"/>
      </w:rPr>
      <w:start w:val="1"/>
      <w:suff w:val="tab"/>
    </w:lvl>
    <w:lvl w:ilvl="8">
      <w:isLgl w:val="false"/>
      <w:lvlJc w:val="left"/>
      <w:lvlText w:val="·"/>
      <w:numFmt w:val="bullet"/>
      <w:pPr>
        <w:pBdr/>
        <w:spacing/>
        <w:ind w:hanging="360" w:left="6469"/>
      </w:pPr>
      <w:rPr>
        <w:rFonts w:hint="default" w:ascii="Symbol" w:hAnsi="Symbol" w:eastAsia="Symbol" w:cs="Symbol"/>
      </w:rPr>
      <w:start w:val="1"/>
      <w:suff w:val="tab"/>
    </w:lvl>
  </w:abstractNum>
  <w:abstractNum w:abstractNumId="24">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2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left"/>
      <w:lvlText w:val="·"/>
      <w:numFmt w:val="bullet"/>
      <w:pPr>
        <w:pBdr/>
        <w:spacing/>
        <w:ind w:hanging="360" w:left="2149"/>
      </w:pPr>
      <w:rPr>
        <w:rFonts w:hint="default" w:ascii="Symbol" w:hAnsi="Symbol" w:eastAsia="Symbol" w:cs="Symbol"/>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
      <w:numFmt w:val="bullet"/>
      <w:pPr>
        <w:pBdr/>
        <w:spacing/>
        <w:ind w:hanging="360" w:left="3589"/>
      </w:pPr>
      <w:rPr>
        <w:rFonts w:hint="default" w:ascii="Symbol" w:hAnsi="Symbol" w:eastAsia="Symbol" w:cs="Symbol"/>
      </w:rPr>
      <w:start w:val="1"/>
      <w:suff w:val="tab"/>
    </w:lvl>
    <w:lvl w:ilvl="5">
      <w:isLgl w:val="false"/>
      <w:lvlJc w:val="left"/>
      <w:lvlText w:val="·"/>
      <w:numFmt w:val="bullet"/>
      <w:pPr>
        <w:pBdr/>
        <w:spacing/>
        <w:ind w:hanging="360" w:left="4309"/>
      </w:pPr>
      <w:rPr>
        <w:rFonts w:hint="default" w:ascii="Symbol" w:hAnsi="Symbol" w:eastAsia="Symbol" w:cs="Symbol"/>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
      <w:numFmt w:val="bullet"/>
      <w:pPr>
        <w:pBdr/>
        <w:spacing/>
        <w:ind w:hanging="360" w:left="5749"/>
      </w:pPr>
      <w:rPr>
        <w:rFonts w:hint="default" w:ascii="Symbol" w:hAnsi="Symbol" w:eastAsia="Symbol" w:cs="Symbol"/>
      </w:rPr>
      <w:start w:val="1"/>
      <w:suff w:val="tab"/>
    </w:lvl>
    <w:lvl w:ilvl="8">
      <w:isLgl w:val="false"/>
      <w:lvlJc w:val="left"/>
      <w:lvlText w:val="·"/>
      <w:numFmt w:val="bullet"/>
      <w:pPr>
        <w:pBdr/>
        <w:spacing/>
        <w:ind w:hanging="360" w:left="6469"/>
      </w:pPr>
      <w:rPr>
        <w:rFonts w:hint="default" w:ascii="Symbol" w:hAnsi="Symbol" w:eastAsia="Symbol" w:cs="Symbol"/>
      </w:rPr>
      <w:start w:val="1"/>
      <w:suff w:val="tab"/>
    </w:lvl>
  </w:abstractNum>
  <w:abstractNum w:abstractNumId="2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left"/>
      <w:lvlText w:val="·"/>
      <w:numFmt w:val="bullet"/>
      <w:pPr>
        <w:pBdr/>
        <w:spacing/>
        <w:ind w:hanging="360" w:left="2149"/>
      </w:pPr>
      <w:rPr>
        <w:rFonts w:hint="default" w:ascii="Symbol" w:hAnsi="Symbol" w:eastAsia="Symbol" w:cs="Symbol"/>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
      <w:numFmt w:val="bullet"/>
      <w:pPr>
        <w:pBdr/>
        <w:spacing/>
        <w:ind w:hanging="360" w:left="3589"/>
      </w:pPr>
      <w:rPr>
        <w:rFonts w:hint="default" w:ascii="Symbol" w:hAnsi="Symbol" w:eastAsia="Symbol" w:cs="Symbol"/>
      </w:rPr>
      <w:start w:val="1"/>
      <w:suff w:val="tab"/>
    </w:lvl>
    <w:lvl w:ilvl="5">
      <w:isLgl w:val="false"/>
      <w:lvlJc w:val="left"/>
      <w:lvlText w:val="·"/>
      <w:numFmt w:val="bullet"/>
      <w:pPr>
        <w:pBdr/>
        <w:spacing/>
        <w:ind w:hanging="360" w:left="4309"/>
      </w:pPr>
      <w:rPr>
        <w:rFonts w:hint="default" w:ascii="Symbol" w:hAnsi="Symbol" w:eastAsia="Symbol" w:cs="Symbol"/>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
      <w:numFmt w:val="bullet"/>
      <w:pPr>
        <w:pBdr/>
        <w:spacing/>
        <w:ind w:hanging="360" w:left="5749"/>
      </w:pPr>
      <w:rPr>
        <w:rFonts w:hint="default" w:ascii="Symbol" w:hAnsi="Symbol" w:eastAsia="Symbol" w:cs="Symbol"/>
      </w:rPr>
      <w:start w:val="1"/>
      <w:suff w:val="tab"/>
    </w:lvl>
    <w:lvl w:ilvl="8">
      <w:isLgl w:val="false"/>
      <w:lvlJc w:val="left"/>
      <w:lvlText w:val="·"/>
      <w:numFmt w:val="bullet"/>
      <w:pPr>
        <w:pBdr/>
        <w:spacing/>
        <w:ind w:hanging="360" w:left="6469"/>
      </w:pPr>
      <w:rPr>
        <w:rFonts w:hint="default" w:ascii="Symbol" w:hAnsi="Symbol" w:eastAsia="Symbol" w:cs="Symbol"/>
      </w:rPr>
      <w:start w:val="1"/>
      <w:suff w:val="tab"/>
    </w:lvl>
  </w:abstractNum>
  <w:abstractNum w:abstractNumId="2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left"/>
      <w:lvlText w:val="·"/>
      <w:numFmt w:val="bullet"/>
      <w:pPr>
        <w:pBdr/>
        <w:spacing/>
        <w:ind w:hanging="360" w:left="2149"/>
      </w:pPr>
      <w:rPr>
        <w:rFonts w:hint="default" w:ascii="Symbol" w:hAnsi="Symbol" w:eastAsia="Symbol" w:cs="Symbol"/>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
      <w:numFmt w:val="bullet"/>
      <w:pPr>
        <w:pBdr/>
        <w:spacing/>
        <w:ind w:hanging="360" w:left="3589"/>
      </w:pPr>
      <w:rPr>
        <w:rFonts w:hint="default" w:ascii="Symbol" w:hAnsi="Symbol" w:eastAsia="Symbol" w:cs="Symbol"/>
      </w:rPr>
      <w:start w:val="1"/>
      <w:suff w:val="tab"/>
    </w:lvl>
    <w:lvl w:ilvl="5">
      <w:isLgl w:val="false"/>
      <w:lvlJc w:val="left"/>
      <w:lvlText w:val="·"/>
      <w:numFmt w:val="bullet"/>
      <w:pPr>
        <w:pBdr/>
        <w:spacing/>
        <w:ind w:hanging="360" w:left="4309"/>
      </w:pPr>
      <w:rPr>
        <w:rFonts w:hint="default" w:ascii="Symbol" w:hAnsi="Symbol" w:eastAsia="Symbol" w:cs="Symbol"/>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
      <w:numFmt w:val="bullet"/>
      <w:pPr>
        <w:pBdr/>
        <w:spacing/>
        <w:ind w:hanging="360" w:left="5749"/>
      </w:pPr>
      <w:rPr>
        <w:rFonts w:hint="default" w:ascii="Symbol" w:hAnsi="Symbol" w:eastAsia="Symbol" w:cs="Symbol"/>
      </w:rPr>
      <w:start w:val="1"/>
      <w:suff w:val="tab"/>
    </w:lvl>
    <w:lvl w:ilvl="8">
      <w:isLgl w:val="false"/>
      <w:lvlJc w:val="left"/>
      <w:lvlText w:val="·"/>
      <w:numFmt w:val="bullet"/>
      <w:pPr>
        <w:pBdr/>
        <w:spacing/>
        <w:ind w:hanging="360" w:left="6469"/>
      </w:pPr>
      <w:rPr>
        <w:rFonts w:hint="default" w:ascii="Symbol" w:hAnsi="Symbol" w:eastAsia="Symbol" w:cs="Symbol"/>
      </w:rPr>
      <w:start w:val="1"/>
      <w:suff w:val="tab"/>
    </w:lvl>
  </w:abstractNum>
  <w:abstractNum w:abstractNumId="2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left"/>
      <w:lvlText w:val="·"/>
      <w:numFmt w:val="bullet"/>
      <w:pPr>
        <w:pBdr/>
        <w:spacing/>
        <w:ind w:hanging="360" w:left="2149"/>
      </w:pPr>
      <w:rPr>
        <w:rFonts w:hint="default" w:ascii="Symbol" w:hAnsi="Symbol" w:eastAsia="Symbol" w:cs="Symbol"/>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
      <w:numFmt w:val="bullet"/>
      <w:pPr>
        <w:pBdr/>
        <w:spacing/>
        <w:ind w:hanging="360" w:left="3589"/>
      </w:pPr>
      <w:rPr>
        <w:rFonts w:hint="default" w:ascii="Symbol" w:hAnsi="Symbol" w:eastAsia="Symbol" w:cs="Symbol"/>
      </w:rPr>
      <w:start w:val="1"/>
      <w:suff w:val="tab"/>
    </w:lvl>
    <w:lvl w:ilvl="5">
      <w:isLgl w:val="false"/>
      <w:lvlJc w:val="left"/>
      <w:lvlText w:val="·"/>
      <w:numFmt w:val="bullet"/>
      <w:pPr>
        <w:pBdr/>
        <w:spacing/>
        <w:ind w:hanging="360" w:left="4309"/>
      </w:pPr>
      <w:rPr>
        <w:rFonts w:hint="default" w:ascii="Symbol" w:hAnsi="Symbol" w:eastAsia="Symbol" w:cs="Symbol"/>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
      <w:numFmt w:val="bullet"/>
      <w:pPr>
        <w:pBdr/>
        <w:spacing/>
        <w:ind w:hanging="360" w:left="5749"/>
      </w:pPr>
      <w:rPr>
        <w:rFonts w:hint="default" w:ascii="Symbol" w:hAnsi="Symbol" w:eastAsia="Symbol" w:cs="Symbol"/>
      </w:rPr>
      <w:start w:val="1"/>
      <w:suff w:val="tab"/>
    </w:lvl>
    <w:lvl w:ilvl="8">
      <w:isLgl w:val="false"/>
      <w:lvlJc w:val="left"/>
      <w:lvlText w:val="·"/>
      <w:numFmt w:val="bullet"/>
      <w:pPr>
        <w:pBdr/>
        <w:spacing/>
        <w:ind w:hanging="360" w:left="6469"/>
      </w:pPr>
      <w:rPr>
        <w:rFonts w:hint="default" w:ascii="Symbol" w:hAnsi="Symbol" w:eastAsia="Symbol" w:cs="Symbol"/>
      </w:rPr>
      <w:start w:val="1"/>
      <w:suff w:val="tab"/>
    </w:lvl>
  </w:abstractNum>
  <w:abstractNum w:abstractNumId="2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left"/>
      <w:lvlText w:val="·"/>
      <w:numFmt w:val="bullet"/>
      <w:pPr>
        <w:pBdr/>
        <w:spacing/>
        <w:ind w:hanging="360" w:left="2149"/>
      </w:pPr>
      <w:rPr>
        <w:rFonts w:hint="default" w:ascii="Symbol" w:hAnsi="Symbol" w:eastAsia="Symbol" w:cs="Symbol"/>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
      <w:numFmt w:val="bullet"/>
      <w:pPr>
        <w:pBdr/>
        <w:spacing/>
        <w:ind w:hanging="360" w:left="3589"/>
      </w:pPr>
      <w:rPr>
        <w:rFonts w:hint="default" w:ascii="Symbol" w:hAnsi="Symbol" w:eastAsia="Symbol" w:cs="Symbol"/>
      </w:rPr>
      <w:start w:val="1"/>
      <w:suff w:val="tab"/>
    </w:lvl>
    <w:lvl w:ilvl="5">
      <w:isLgl w:val="false"/>
      <w:lvlJc w:val="left"/>
      <w:lvlText w:val="·"/>
      <w:numFmt w:val="bullet"/>
      <w:pPr>
        <w:pBdr/>
        <w:spacing/>
        <w:ind w:hanging="360" w:left="4309"/>
      </w:pPr>
      <w:rPr>
        <w:rFonts w:hint="default" w:ascii="Symbol" w:hAnsi="Symbol" w:eastAsia="Symbol" w:cs="Symbol"/>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
      <w:numFmt w:val="bullet"/>
      <w:pPr>
        <w:pBdr/>
        <w:spacing/>
        <w:ind w:hanging="360" w:left="5749"/>
      </w:pPr>
      <w:rPr>
        <w:rFonts w:hint="default" w:ascii="Symbol" w:hAnsi="Symbol" w:eastAsia="Symbol" w:cs="Symbol"/>
      </w:rPr>
      <w:start w:val="1"/>
      <w:suff w:val="tab"/>
    </w:lvl>
    <w:lvl w:ilvl="8">
      <w:isLgl w:val="false"/>
      <w:lvlJc w:val="left"/>
      <w:lvlText w:val="·"/>
      <w:numFmt w:val="bullet"/>
      <w:pPr>
        <w:pBdr/>
        <w:spacing/>
        <w:ind w:hanging="360" w:left="6469"/>
      </w:pPr>
      <w:rPr>
        <w:rFonts w:hint="default" w:ascii="Symbol" w:hAnsi="Symbol" w:eastAsia="Symbol" w:cs="Symbol"/>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name w:val="Table Grid"/>
    <w:basedOn w:val="661"/>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Light"/>
    <w:basedOn w:val="661"/>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Plain Table 1"/>
    <w:basedOn w:val="661"/>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2"/>
    <w:basedOn w:val="661"/>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3"/>
    <w:basedOn w:val="66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4"/>
    <w:basedOn w:val="66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5"/>
    <w:basedOn w:val="66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Grid Table 1 Light"/>
    <w:basedOn w:val="66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 Accent 1"/>
    <w:basedOn w:val="66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2"/>
    <w:basedOn w:val="66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3"/>
    <w:basedOn w:val="66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4"/>
    <w:basedOn w:val="66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5"/>
    <w:basedOn w:val="66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6"/>
    <w:basedOn w:val="66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2"/>
    <w:basedOn w:val="66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 Accent 1"/>
    <w:basedOn w:val="66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2"/>
    <w:basedOn w:val="66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3"/>
    <w:basedOn w:val="66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4"/>
    <w:basedOn w:val="66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5"/>
    <w:basedOn w:val="66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6"/>
    <w:basedOn w:val="66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3"/>
    <w:basedOn w:val="66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 Accent 1"/>
    <w:basedOn w:val="66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2"/>
    <w:basedOn w:val="66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3"/>
    <w:basedOn w:val="66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4"/>
    <w:basedOn w:val="66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5"/>
    <w:basedOn w:val="66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6"/>
    <w:basedOn w:val="66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4"/>
    <w:basedOn w:val="66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 Accent 1"/>
    <w:basedOn w:val="66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2"/>
    <w:basedOn w:val="66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3"/>
    <w:basedOn w:val="66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4"/>
    <w:basedOn w:val="66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5"/>
    <w:basedOn w:val="66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6"/>
    <w:basedOn w:val="66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5 Dark"/>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Accent 1"/>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 Accent 2"/>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3"/>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Accent 4"/>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 Accent 5"/>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6"/>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6 Colorful"/>
    <w:basedOn w:val="66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4">
    <w:name w:val="Grid Table 6 Colorful - Accent 1"/>
    <w:basedOn w:val="66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5">
    <w:name w:val="Grid Table 6 Colorful - Accent 2"/>
    <w:basedOn w:val="66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6">
    <w:name w:val="Grid Table 6 Colorful - Accent 3"/>
    <w:basedOn w:val="66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7">
    <w:name w:val="Grid Table 6 Colorful - Accent 4"/>
    <w:basedOn w:val="66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8">
    <w:name w:val="Grid Table 6 Colorful - Accent 5"/>
    <w:basedOn w:val="66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59">
    <w:name w:val="Grid Table 6 Colorful - Accent 6"/>
    <w:basedOn w:val="66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7 Colorful"/>
    <w:basedOn w:val="66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1">
    <w:name w:val="Grid Table 7 Colorful - Accent 1"/>
    <w:basedOn w:val="66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2"/>
    <w:basedOn w:val="66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3"/>
    <w:basedOn w:val="66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6060"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4"/>
    <w:basedOn w:val="66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5"/>
    <w:basedOn w:val="66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6"/>
    <w:basedOn w:val="66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List Table 1 Light"/>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 Accent 1"/>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2"/>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3"/>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4"/>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5"/>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6"/>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2"/>
    <w:basedOn w:val="66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 Accent 1"/>
    <w:basedOn w:val="66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2"/>
    <w:basedOn w:val="66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3"/>
    <w:basedOn w:val="66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4"/>
    <w:basedOn w:val="66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5"/>
    <w:basedOn w:val="66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6"/>
    <w:basedOn w:val="66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3"/>
    <w:basedOn w:val="66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 Accent 1"/>
    <w:basedOn w:val="66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2"/>
    <w:basedOn w:val="66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3"/>
    <w:basedOn w:val="66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4"/>
    <w:basedOn w:val="66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5"/>
    <w:basedOn w:val="66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6"/>
    <w:basedOn w:val="66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4"/>
    <w:basedOn w:val="66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 Accent 1"/>
    <w:basedOn w:val="66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2"/>
    <w:basedOn w:val="66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3"/>
    <w:basedOn w:val="66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4"/>
    <w:basedOn w:val="66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5"/>
    <w:basedOn w:val="66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6"/>
    <w:basedOn w:val="66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5 Dark"/>
    <w:basedOn w:val="66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
    <w:name w:val="List Table 5 Dark - Accent 1"/>
    <w:basedOn w:val="66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2"/>
    <w:basedOn w:val="66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3"/>
    <w:basedOn w:val="66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4"/>
    <w:basedOn w:val="66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5"/>
    <w:basedOn w:val="66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6"/>
    <w:basedOn w:val="66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6 Colorful"/>
    <w:basedOn w:val="66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
    <w:name w:val="List Table 6 Colorful - Accent 1"/>
    <w:basedOn w:val="66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2"/>
    <w:basedOn w:val="66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3"/>
    <w:basedOn w:val="66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4"/>
    <w:basedOn w:val="66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5"/>
    <w:basedOn w:val="66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6"/>
    <w:basedOn w:val="66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7 Colorful"/>
    <w:basedOn w:val="66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0">
    <w:name w:val="List Table 7 Colorful - Accent 1"/>
    <w:basedOn w:val="66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1">
    <w:name w:val="List Table 7 Colorful - Accent 2"/>
    <w:basedOn w:val="66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112">
    <w:name w:val="List Table 7 Colorful - Accent 3"/>
    <w:basedOn w:val="66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57575"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113">
    <w:name w:val="List Table 7 Colorful - Accent 4"/>
    <w:basedOn w:val="66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4">
    <w:name w:val="List Table 7 Colorful - Accent 5"/>
    <w:basedOn w:val="66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ba0"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115">
    <w:name w:val="List Table 7 Colorful - Accent 6"/>
    <w:basedOn w:val="66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6">
    <w:name w:val="Lined - Accent"/>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
    <w:name w:val="Lined - Accent 1"/>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2"/>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3"/>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4"/>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5"/>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6"/>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Bordered &amp; Lined - Accent"/>
    <w:basedOn w:val="66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1"/>
    <w:basedOn w:val="66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2"/>
    <w:basedOn w:val="66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3"/>
    <w:basedOn w:val="66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4"/>
    <w:basedOn w:val="66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5"/>
    <w:basedOn w:val="66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6"/>
    <w:basedOn w:val="66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w:basedOn w:val="66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 Accent 1"/>
    <w:basedOn w:val="66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2"/>
    <w:basedOn w:val="66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3"/>
    <w:basedOn w:val="66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4"/>
    <w:basedOn w:val="66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5"/>
    <w:basedOn w:val="66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6"/>
    <w:basedOn w:val="66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name w:val="Heading 1"/>
    <w:basedOn w:val="660"/>
    <w:next w:val="660"/>
    <w:link w:val="149"/>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39">
    <w:name w:val="Heading 2"/>
    <w:basedOn w:val="660"/>
    <w:next w:val="660"/>
    <w:link w:val="150"/>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0">
    <w:name w:val="Heading 3"/>
    <w:basedOn w:val="660"/>
    <w:next w:val="660"/>
    <w:link w:val="151"/>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1">
    <w:name w:val="Heading 4"/>
    <w:basedOn w:val="660"/>
    <w:next w:val="660"/>
    <w:link w:val="152"/>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2">
    <w:name w:val="Heading 5"/>
    <w:basedOn w:val="660"/>
    <w:next w:val="660"/>
    <w:link w:val="15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3">
    <w:name w:val="Heading 6"/>
    <w:basedOn w:val="660"/>
    <w:next w:val="660"/>
    <w:link w:val="15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4">
    <w:name w:val="Heading 7"/>
    <w:basedOn w:val="660"/>
    <w:next w:val="660"/>
    <w:link w:val="15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5">
    <w:name w:val="Heading 8"/>
    <w:basedOn w:val="660"/>
    <w:next w:val="660"/>
    <w:link w:val="15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6">
    <w:name w:val="Heading 9"/>
    <w:basedOn w:val="660"/>
    <w:next w:val="660"/>
    <w:link w:val="15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7" w:default="1">
    <w:name w:val="Default Paragraph Font"/>
    <w:uiPriority w:val="1"/>
    <w:semiHidden/>
    <w:unhideWhenUsed/>
    <w:pPr>
      <w:pBdr/>
      <w:spacing/>
      <w:ind/>
    </w:pPr>
  </w:style>
  <w:style w:type="character" w:styleId="149">
    <w:name w:val="Heading 1 Char"/>
    <w:basedOn w:val="147"/>
    <w:link w:val="138"/>
    <w:uiPriority w:val="9"/>
    <w:pPr>
      <w:pBdr/>
      <w:spacing/>
      <w:ind/>
    </w:pPr>
    <w:rPr>
      <w:rFonts w:ascii="Arial" w:hAnsi="Arial" w:eastAsia="Arial" w:cs="Arial"/>
      <w:color w:val="0f4761" w:themeColor="accent1" w:themeShade="BF"/>
      <w:sz w:val="40"/>
      <w:szCs w:val="40"/>
    </w:rPr>
  </w:style>
  <w:style w:type="character" w:styleId="150">
    <w:name w:val="Heading 2 Char"/>
    <w:basedOn w:val="147"/>
    <w:link w:val="139"/>
    <w:uiPriority w:val="9"/>
    <w:pPr>
      <w:pBdr/>
      <w:spacing/>
      <w:ind/>
    </w:pPr>
    <w:rPr>
      <w:rFonts w:ascii="Arial" w:hAnsi="Arial" w:eastAsia="Arial" w:cs="Arial"/>
      <w:color w:val="0f4761" w:themeColor="accent1" w:themeShade="BF"/>
      <w:sz w:val="32"/>
      <w:szCs w:val="32"/>
    </w:rPr>
  </w:style>
  <w:style w:type="character" w:styleId="151">
    <w:name w:val="Heading 3 Char"/>
    <w:basedOn w:val="147"/>
    <w:link w:val="140"/>
    <w:uiPriority w:val="9"/>
    <w:pPr>
      <w:pBdr/>
      <w:spacing/>
      <w:ind/>
    </w:pPr>
    <w:rPr>
      <w:rFonts w:ascii="Arial" w:hAnsi="Arial" w:eastAsia="Arial" w:cs="Arial"/>
      <w:color w:val="0f4761" w:themeColor="accent1" w:themeShade="BF"/>
      <w:sz w:val="28"/>
      <w:szCs w:val="28"/>
    </w:rPr>
  </w:style>
  <w:style w:type="character" w:styleId="152">
    <w:name w:val="Heading 4 Char"/>
    <w:basedOn w:val="147"/>
    <w:link w:val="141"/>
    <w:uiPriority w:val="9"/>
    <w:pPr>
      <w:pBdr/>
      <w:spacing/>
      <w:ind/>
    </w:pPr>
    <w:rPr>
      <w:rFonts w:ascii="Arial" w:hAnsi="Arial" w:eastAsia="Arial" w:cs="Arial"/>
      <w:i/>
      <w:iCs/>
      <w:color w:val="0f4761" w:themeColor="accent1" w:themeShade="BF"/>
    </w:rPr>
  </w:style>
  <w:style w:type="character" w:styleId="153">
    <w:name w:val="Heading 5 Char"/>
    <w:basedOn w:val="147"/>
    <w:link w:val="142"/>
    <w:uiPriority w:val="9"/>
    <w:pPr>
      <w:pBdr/>
      <w:spacing/>
      <w:ind/>
    </w:pPr>
    <w:rPr>
      <w:rFonts w:ascii="Arial" w:hAnsi="Arial" w:eastAsia="Arial" w:cs="Arial"/>
      <w:color w:val="0f4761" w:themeColor="accent1" w:themeShade="BF"/>
    </w:rPr>
  </w:style>
  <w:style w:type="character" w:styleId="154">
    <w:name w:val="Heading 6 Char"/>
    <w:basedOn w:val="147"/>
    <w:link w:val="143"/>
    <w:uiPriority w:val="9"/>
    <w:pPr>
      <w:pBdr/>
      <w:spacing/>
      <w:ind/>
    </w:pPr>
    <w:rPr>
      <w:rFonts w:ascii="Arial" w:hAnsi="Arial" w:eastAsia="Arial" w:cs="Arial"/>
      <w:i/>
      <w:iCs/>
      <w:color w:val="595959" w:themeColor="text1" w:themeTint="A6"/>
    </w:rPr>
  </w:style>
  <w:style w:type="character" w:styleId="155">
    <w:name w:val="Heading 7 Char"/>
    <w:basedOn w:val="147"/>
    <w:link w:val="144"/>
    <w:uiPriority w:val="9"/>
    <w:pPr>
      <w:pBdr/>
      <w:spacing/>
      <w:ind/>
    </w:pPr>
    <w:rPr>
      <w:rFonts w:ascii="Arial" w:hAnsi="Arial" w:eastAsia="Arial" w:cs="Arial"/>
      <w:color w:val="595959" w:themeColor="text1" w:themeTint="A6"/>
    </w:rPr>
  </w:style>
  <w:style w:type="character" w:styleId="156">
    <w:name w:val="Heading 8 Char"/>
    <w:basedOn w:val="147"/>
    <w:link w:val="145"/>
    <w:uiPriority w:val="9"/>
    <w:pPr>
      <w:pBdr/>
      <w:spacing/>
      <w:ind/>
    </w:pPr>
    <w:rPr>
      <w:rFonts w:ascii="Arial" w:hAnsi="Arial" w:eastAsia="Arial" w:cs="Arial"/>
      <w:i/>
      <w:iCs/>
      <w:color w:val="272727" w:themeColor="text1" w:themeTint="D8"/>
    </w:rPr>
  </w:style>
  <w:style w:type="character" w:styleId="157">
    <w:name w:val="Heading 9 Char"/>
    <w:basedOn w:val="147"/>
    <w:link w:val="146"/>
    <w:uiPriority w:val="9"/>
    <w:pPr>
      <w:pBdr/>
      <w:spacing/>
      <w:ind/>
    </w:pPr>
    <w:rPr>
      <w:rFonts w:ascii="Arial" w:hAnsi="Arial" w:eastAsia="Arial" w:cs="Arial"/>
      <w:i/>
      <w:iCs/>
      <w:color w:val="272727" w:themeColor="text1" w:themeTint="D8"/>
    </w:rPr>
  </w:style>
  <w:style w:type="paragraph" w:styleId="158">
    <w:name w:val="Title"/>
    <w:basedOn w:val="660"/>
    <w:next w:val="660"/>
    <w:link w:val="159"/>
    <w:uiPriority w:val="10"/>
    <w:qFormat/>
    <w:pPr>
      <w:pBdr/>
      <w:spacing w:after="80" w:line="240" w:lineRule="auto"/>
      <w:ind/>
      <w:contextualSpacing w:val="true"/>
    </w:pPr>
    <w:rPr>
      <w:rFonts w:ascii="Arial" w:hAnsi="Arial" w:eastAsia="Arial" w:cs="Arial"/>
      <w:spacing w:val="-10"/>
      <w:sz w:val="56"/>
      <w:szCs w:val="56"/>
    </w:rPr>
  </w:style>
  <w:style w:type="character" w:styleId="159">
    <w:name w:val="Title Char"/>
    <w:basedOn w:val="147"/>
    <w:link w:val="158"/>
    <w:uiPriority w:val="10"/>
    <w:pPr>
      <w:pBdr/>
      <w:spacing/>
      <w:ind/>
    </w:pPr>
    <w:rPr>
      <w:rFonts w:ascii="Arial" w:hAnsi="Arial" w:eastAsia="Arial" w:cs="Arial"/>
      <w:spacing w:val="-10"/>
      <w:sz w:val="56"/>
      <w:szCs w:val="56"/>
    </w:rPr>
  </w:style>
  <w:style w:type="paragraph" w:styleId="160">
    <w:name w:val="Subtitle"/>
    <w:basedOn w:val="660"/>
    <w:next w:val="660"/>
    <w:link w:val="161"/>
    <w:uiPriority w:val="11"/>
    <w:qFormat/>
    <w:pPr>
      <w:numPr>
        <w:ilvl w:val="1"/>
      </w:numPr>
      <w:pBdr/>
      <w:spacing/>
      <w:ind/>
    </w:pPr>
    <w:rPr>
      <w:color w:val="595959" w:themeColor="text1" w:themeTint="A6"/>
      <w:spacing w:val="15"/>
      <w:sz w:val="28"/>
      <w:szCs w:val="28"/>
    </w:rPr>
  </w:style>
  <w:style w:type="character" w:styleId="161">
    <w:name w:val="Subtitle Char"/>
    <w:basedOn w:val="147"/>
    <w:link w:val="160"/>
    <w:uiPriority w:val="11"/>
    <w:pPr>
      <w:pBdr/>
      <w:spacing/>
      <w:ind/>
    </w:pPr>
    <w:rPr>
      <w:color w:val="595959" w:themeColor="text1" w:themeTint="A6"/>
      <w:spacing w:val="15"/>
      <w:sz w:val="28"/>
      <w:szCs w:val="28"/>
    </w:rPr>
  </w:style>
  <w:style w:type="paragraph" w:styleId="162">
    <w:name w:val="Quote"/>
    <w:basedOn w:val="660"/>
    <w:next w:val="660"/>
    <w:link w:val="163"/>
    <w:uiPriority w:val="29"/>
    <w:qFormat/>
    <w:pPr>
      <w:pBdr/>
      <w:spacing w:before="160"/>
      <w:ind/>
      <w:jc w:val="center"/>
    </w:pPr>
    <w:rPr>
      <w:i/>
      <w:iCs/>
      <w:color w:val="404040" w:themeColor="text1" w:themeTint="BF"/>
    </w:rPr>
  </w:style>
  <w:style w:type="character" w:styleId="163">
    <w:name w:val="Quote Char"/>
    <w:basedOn w:val="147"/>
    <w:link w:val="162"/>
    <w:uiPriority w:val="29"/>
    <w:pPr>
      <w:pBdr/>
      <w:spacing/>
      <w:ind/>
    </w:pPr>
    <w:rPr>
      <w:i/>
      <w:iCs/>
      <w:color w:val="404040" w:themeColor="text1" w:themeTint="BF"/>
    </w:rPr>
  </w:style>
  <w:style w:type="character" w:styleId="165">
    <w:name w:val="Intense Emphasis"/>
    <w:basedOn w:val="147"/>
    <w:uiPriority w:val="21"/>
    <w:qFormat/>
    <w:pPr>
      <w:pBdr/>
      <w:spacing/>
      <w:ind/>
    </w:pPr>
    <w:rPr>
      <w:i/>
      <w:iCs/>
      <w:color w:val="0f4761" w:themeColor="accent1" w:themeShade="BF"/>
    </w:rPr>
  </w:style>
  <w:style w:type="paragraph" w:styleId="166">
    <w:name w:val="Intense Quote"/>
    <w:basedOn w:val="660"/>
    <w:next w:val="660"/>
    <w:link w:val="167"/>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7">
    <w:name w:val="Intense Quote Char"/>
    <w:basedOn w:val="147"/>
    <w:link w:val="166"/>
    <w:uiPriority w:val="30"/>
    <w:pPr>
      <w:pBdr/>
      <w:spacing/>
      <w:ind/>
    </w:pPr>
    <w:rPr>
      <w:i/>
      <w:iCs/>
      <w:color w:val="0f4761" w:themeColor="accent1" w:themeShade="BF"/>
    </w:rPr>
  </w:style>
  <w:style w:type="character" w:styleId="168">
    <w:name w:val="Intense Reference"/>
    <w:basedOn w:val="147"/>
    <w:uiPriority w:val="32"/>
    <w:qFormat/>
    <w:pPr>
      <w:pBdr/>
      <w:spacing/>
      <w:ind/>
    </w:pPr>
    <w:rPr>
      <w:b/>
      <w:bCs/>
      <w:smallCaps/>
      <w:color w:val="0f4761" w:themeColor="accent1" w:themeShade="BF"/>
      <w:spacing w:val="5"/>
    </w:rPr>
  </w:style>
  <w:style w:type="character" w:styleId="170">
    <w:name w:val="Subtle Emphasis"/>
    <w:basedOn w:val="147"/>
    <w:uiPriority w:val="19"/>
    <w:qFormat/>
    <w:pPr>
      <w:pBdr/>
      <w:spacing/>
      <w:ind/>
    </w:pPr>
    <w:rPr>
      <w:i/>
      <w:iCs/>
      <w:color w:val="404040" w:themeColor="text1" w:themeTint="BF"/>
    </w:rPr>
  </w:style>
  <w:style w:type="character" w:styleId="171">
    <w:name w:val="Emphasis"/>
    <w:basedOn w:val="147"/>
    <w:uiPriority w:val="20"/>
    <w:qFormat/>
    <w:pPr>
      <w:pBdr/>
      <w:spacing/>
      <w:ind/>
    </w:pPr>
    <w:rPr>
      <w:i/>
      <w:iCs/>
    </w:rPr>
  </w:style>
  <w:style w:type="character" w:styleId="172">
    <w:name w:val="Strong"/>
    <w:basedOn w:val="147"/>
    <w:uiPriority w:val="22"/>
    <w:qFormat/>
    <w:pPr>
      <w:pBdr/>
      <w:spacing/>
      <w:ind/>
    </w:pPr>
    <w:rPr>
      <w:b/>
      <w:bCs/>
    </w:rPr>
  </w:style>
  <w:style w:type="character" w:styleId="173">
    <w:name w:val="Subtle Reference"/>
    <w:basedOn w:val="147"/>
    <w:uiPriority w:val="31"/>
    <w:qFormat/>
    <w:pPr>
      <w:pBdr/>
      <w:spacing/>
      <w:ind/>
    </w:pPr>
    <w:rPr>
      <w:smallCaps/>
      <w:color w:val="5a5a5a" w:themeColor="text1" w:themeTint="A5"/>
    </w:rPr>
  </w:style>
  <w:style w:type="character" w:styleId="174">
    <w:name w:val="Book Title"/>
    <w:basedOn w:val="147"/>
    <w:uiPriority w:val="33"/>
    <w:qFormat/>
    <w:pPr>
      <w:pBdr/>
      <w:spacing/>
      <w:ind/>
    </w:pPr>
    <w:rPr>
      <w:b/>
      <w:bCs/>
      <w:i/>
      <w:iCs/>
      <w:spacing w:val="5"/>
    </w:rPr>
  </w:style>
  <w:style w:type="paragraph" w:styleId="175">
    <w:name w:val="Header"/>
    <w:basedOn w:val="660"/>
    <w:link w:val="176"/>
    <w:uiPriority w:val="99"/>
    <w:unhideWhenUsed/>
    <w:pPr>
      <w:pBdr/>
      <w:tabs>
        <w:tab w:val="center" w:leader="none" w:pos="4844"/>
        <w:tab w:val="right" w:leader="none" w:pos="9689"/>
      </w:tabs>
      <w:spacing w:after="0" w:line="240" w:lineRule="auto"/>
      <w:ind/>
    </w:pPr>
  </w:style>
  <w:style w:type="character" w:styleId="176">
    <w:name w:val="Header Char"/>
    <w:basedOn w:val="147"/>
    <w:link w:val="175"/>
    <w:uiPriority w:val="99"/>
    <w:pPr>
      <w:pBdr/>
      <w:spacing/>
      <w:ind/>
    </w:pPr>
  </w:style>
  <w:style w:type="paragraph" w:styleId="177">
    <w:name w:val="Footer"/>
    <w:basedOn w:val="660"/>
    <w:link w:val="178"/>
    <w:uiPriority w:val="99"/>
    <w:unhideWhenUsed/>
    <w:pPr>
      <w:pBdr/>
      <w:tabs>
        <w:tab w:val="center" w:leader="none" w:pos="4844"/>
        <w:tab w:val="right" w:leader="none" w:pos="9689"/>
      </w:tabs>
      <w:spacing w:after="0" w:line="240" w:lineRule="auto"/>
      <w:ind/>
    </w:pPr>
  </w:style>
  <w:style w:type="character" w:styleId="178">
    <w:name w:val="Footer Char"/>
    <w:basedOn w:val="147"/>
    <w:link w:val="177"/>
    <w:uiPriority w:val="99"/>
    <w:pPr>
      <w:pBdr/>
      <w:spacing/>
      <w:ind/>
    </w:pPr>
  </w:style>
  <w:style w:type="paragraph" w:styleId="179">
    <w:name w:val="Caption"/>
    <w:basedOn w:val="660"/>
    <w:next w:val="660"/>
    <w:uiPriority w:val="35"/>
    <w:unhideWhenUsed/>
    <w:qFormat/>
    <w:pPr>
      <w:pBdr/>
      <w:spacing w:after="200" w:line="240" w:lineRule="auto"/>
      <w:ind/>
    </w:pPr>
    <w:rPr>
      <w:i/>
      <w:iCs/>
      <w:color w:val="0e2841" w:themeColor="text2"/>
      <w:sz w:val="18"/>
      <w:szCs w:val="18"/>
    </w:rPr>
  </w:style>
  <w:style w:type="paragraph" w:styleId="180">
    <w:name w:val="footnote text"/>
    <w:basedOn w:val="660"/>
    <w:link w:val="181"/>
    <w:uiPriority w:val="99"/>
    <w:semiHidden/>
    <w:unhideWhenUsed/>
    <w:pPr>
      <w:pBdr/>
      <w:spacing w:after="0" w:line="240" w:lineRule="auto"/>
      <w:ind/>
    </w:pPr>
    <w:rPr>
      <w:sz w:val="20"/>
      <w:szCs w:val="20"/>
    </w:rPr>
  </w:style>
  <w:style w:type="character" w:styleId="181">
    <w:name w:val="Footnote Text Char"/>
    <w:basedOn w:val="147"/>
    <w:link w:val="180"/>
    <w:uiPriority w:val="99"/>
    <w:semiHidden/>
    <w:pPr>
      <w:pBdr/>
      <w:spacing/>
      <w:ind/>
    </w:pPr>
    <w:rPr>
      <w:sz w:val="20"/>
      <w:szCs w:val="20"/>
    </w:rPr>
  </w:style>
  <w:style w:type="character" w:styleId="182">
    <w:name w:val="footnote reference"/>
    <w:basedOn w:val="147"/>
    <w:uiPriority w:val="99"/>
    <w:semiHidden/>
    <w:unhideWhenUsed/>
    <w:pPr>
      <w:pBdr/>
      <w:spacing/>
      <w:ind/>
    </w:pPr>
    <w:rPr>
      <w:vertAlign w:val="superscript"/>
    </w:rPr>
  </w:style>
  <w:style w:type="paragraph" w:styleId="183">
    <w:name w:val="endnote text"/>
    <w:basedOn w:val="660"/>
    <w:link w:val="184"/>
    <w:uiPriority w:val="99"/>
    <w:semiHidden/>
    <w:unhideWhenUsed/>
    <w:pPr>
      <w:pBdr/>
      <w:spacing w:after="0" w:line="240" w:lineRule="auto"/>
      <w:ind/>
    </w:pPr>
    <w:rPr>
      <w:sz w:val="20"/>
      <w:szCs w:val="20"/>
    </w:rPr>
  </w:style>
  <w:style w:type="character" w:styleId="184">
    <w:name w:val="Endnote Text Char"/>
    <w:basedOn w:val="147"/>
    <w:link w:val="183"/>
    <w:uiPriority w:val="99"/>
    <w:semiHidden/>
    <w:pPr>
      <w:pBdr/>
      <w:spacing/>
      <w:ind/>
    </w:pPr>
    <w:rPr>
      <w:sz w:val="20"/>
      <w:szCs w:val="20"/>
    </w:rPr>
  </w:style>
  <w:style w:type="character" w:styleId="185">
    <w:name w:val="endnote reference"/>
    <w:basedOn w:val="147"/>
    <w:uiPriority w:val="99"/>
    <w:semiHidden/>
    <w:unhideWhenUsed/>
    <w:pPr>
      <w:pBdr/>
      <w:spacing/>
      <w:ind/>
    </w:pPr>
    <w:rPr>
      <w:vertAlign w:val="superscript"/>
    </w:rPr>
  </w:style>
  <w:style w:type="character" w:styleId="186">
    <w:name w:val="Hyperlink"/>
    <w:basedOn w:val="147"/>
    <w:uiPriority w:val="99"/>
    <w:unhideWhenUsed/>
    <w:pPr>
      <w:pBdr/>
      <w:spacing/>
      <w:ind/>
    </w:pPr>
    <w:rPr>
      <w:color w:val="0563c1" w:themeColor="hyperlink"/>
      <w:u w:val="single"/>
    </w:rPr>
  </w:style>
  <w:style w:type="character" w:styleId="187">
    <w:name w:val="FollowedHyperlink"/>
    <w:basedOn w:val="147"/>
    <w:uiPriority w:val="99"/>
    <w:semiHidden/>
    <w:unhideWhenUsed/>
    <w:pPr>
      <w:pBdr/>
      <w:spacing/>
      <w:ind/>
    </w:pPr>
    <w:rPr>
      <w:color w:val="954f72" w:themeColor="followedHyperlink"/>
      <w:u w:val="single"/>
    </w:rPr>
  </w:style>
  <w:style w:type="paragraph" w:styleId="188">
    <w:name w:val="toc 1"/>
    <w:basedOn w:val="660"/>
    <w:next w:val="660"/>
    <w:uiPriority w:val="39"/>
    <w:unhideWhenUsed/>
    <w:pPr>
      <w:pBdr/>
      <w:spacing w:after="100"/>
      <w:ind/>
    </w:pPr>
  </w:style>
  <w:style w:type="paragraph" w:styleId="189">
    <w:name w:val="toc 2"/>
    <w:basedOn w:val="660"/>
    <w:next w:val="660"/>
    <w:uiPriority w:val="39"/>
    <w:unhideWhenUsed/>
    <w:pPr>
      <w:pBdr/>
      <w:spacing w:after="100"/>
      <w:ind w:left="220"/>
    </w:pPr>
  </w:style>
  <w:style w:type="paragraph" w:styleId="190">
    <w:name w:val="toc 3"/>
    <w:basedOn w:val="660"/>
    <w:next w:val="660"/>
    <w:uiPriority w:val="39"/>
    <w:unhideWhenUsed/>
    <w:pPr>
      <w:pBdr/>
      <w:spacing w:after="100"/>
      <w:ind w:left="440"/>
    </w:pPr>
  </w:style>
  <w:style w:type="paragraph" w:styleId="191">
    <w:name w:val="toc 4"/>
    <w:basedOn w:val="660"/>
    <w:next w:val="660"/>
    <w:uiPriority w:val="39"/>
    <w:unhideWhenUsed/>
    <w:pPr>
      <w:pBdr/>
      <w:spacing w:after="100"/>
      <w:ind w:left="660"/>
    </w:pPr>
  </w:style>
  <w:style w:type="paragraph" w:styleId="192">
    <w:name w:val="toc 5"/>
    <w:basedOn w:val="660"/>
    <w:next w:val="660"/>
    <w:uiPriority w:val="39"/>
    <w:unhideWhenUsed/>
    <w:pPr>
      <w:pBdr/>
      <w:spacing w:after="100"/>
      <w:ind w:left="880"/>
    </w:pPr>
  </w:style>
  <w:style w:type="paragraph" w:styleId="193">
    <w:name w:val="toc 6"/>
    <w:basedOn w:val="660"/>
    <w:next w:val="660"/>
    <w:uiPriority w:val="39"/>
    <w:unhideWhenUsed/>
    <w:pPr>
      <w:pBdr/>
      <w:spacing w:after="100"/>
      <w:ind w:left="1100"/>
    </w:pPr>
  </w:style>
  <w:style w:type="paragraph" w:styleId="194">
    <w:name w:val="toc 7"/>
    <w:basedOn w:val="660"/>
    <w:next w:val="660"/>
    <w:uiPriority w:val="39"/>
    <w:unhideWhenUsed/>
    <w:pPr>
      <w:pBdr/>
      <w:spacing w:after="100"/>
      <w:ind w:left="1320"/>
    </w:pPr>
  </w:style>
  <w:style w:type="paragraph" w:styleId="195">
    <w:name w:val="toc 8"/>
    <w:basedOn w:val="660"/>
    <w:next w:val="660"/>
    <w:uiPriority w:val="39"/>
    <w:unhideWhenUsed/>
    <w:pPr>
      <w:pBdr/>
      <w:spacing w:after="100"/>
      <w:ind w:left="1540"/>
    </w:pPr>
  </w:style>
  <w:style w:type="paragraph" w:styleId="196">
    <w:name w:val="toc 9"/>
    <w:basedOn w:val="660"/>
    <w:next w:val="660"/>
    <w:uiPriority w:val="39"/>
    <w:unhideWhenUsed/>
    <w:pPr>
      <w:pBdr/>
      <w:spacing w:after="100"/>
      <w:ind w:left="1760"/>
    </w:pPr>
  </w:style>
  <w:style w:type="paragraph" w:styleId="206">
    <w:name w:val="TOC Heading"/>
    <w:uiPriority w:val="39"/>
    <w:unhideWhenUsed/>
    <w:pPr>
      <w:pBdr/>
      <w:spacing/>
      <w:ind/>
    </w:pPr>
  </w:style>
  <w:style w:type="paragraph" w:styleId="207">
    <w:name w:val="table of figures"/>
    <w:basedOn w:val="660"/>
    <w:next w:val="660"/>
    <w:uiPriority w:val="99"/>
    <w:unhideWhenUsed/>
    <w:pPr>
      <w:pBdr/>
      <w:spacing w:after="0" w:afterAutospacing="0"/>
      <w:ind/>
    </w:pPr>
  </w:style>
  <w:style w:type="paragraph" w:styleId="660" w:default="1">
    <w:name w:val="Normal"/>
    <w:qFormat/>
    <w:pPr>
      <w:pBdr/>
      <w:spacing/>
      <w:ind/>
    </w:pPr>
  </w:style>
  <w:style w:type="table" w:styleId="661"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2" w:default="1">
    <w:name w:val="No List"/>
    <w:uiPriority w:val="99"/>
    <w:semiHidden/>
    <w:unhideWhenUsed/>
    <w:pPr>
      <w:pBdr/>
      <w:spacing/>
      <w:ind/>
    </w:pPr>
  </w:style>
  <w:style w:type="paragraph" w:styleId="663">
    <w:name w:val="No Spacing"/>
    <w:basedOn w:val="660"/>
    <w:uiPriority w:val="1"/>
    <w:qFormat/>
    <w:pPr>
      <w:pBdr/>
      <w:spacing w:after="0" w:line="240" w:lineRule="auto"/>
      <w:ind/>
    </w:pPr>
  </w:style>
  <w:style w:type="paragraph" w:styleId="664">
    <w:name w:val="List Paragraph"/>
    <w:basedOn w:val="660"/>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yperlink" Target="https://www.intotheminds.com/blog/en/consumer-trends-2026/" TargetMode="External"/><Relationship Id="rId10" Type="http://schemas.openxmlformats.org/officeDocument/2006/relationships/hyperlink" Target="https://yougov.com/reports/54229-retailer-rankings-2026" TargetMode="External"/><Relationship Id="rId11" Type="http://schemas.openxmlformats.org/officeDocument/2006/relationships/hyperlink" Target="https://www.intotheminds.com/blog/en/consumer-trends-2026/" TargetMode="External"/><Relationship Id="rId12" Type="http://schemas.openxmlformats.org/officeDocument/2006/relationships/hyperlink" Target="https://www.cbre.com/insights/books/european-real-estate-market-outlook-2026/retail" TargetMode="External"/><Relationship Id="rId13" Type="http://schemas.openxmlformats.org/officeDocument/2006/relationships/image" Target="media/image1.png"/><Relationship Id="rId14" Type="http://schemas.openxmlformats.org/officeDocument/2006/relationships/hyperlink" Target="https://www.mckinsey.com/industries/retail/our-insights/state-of-grocery-europe-report" TargetMode="External"/><Relationship Id="rId15" Type="http://schemas.openxmlformats.org/officeDocument/2006/relationships/hyperlink" Target="https://www.eurocommerce.eu/app/uploads/2026/04/press-release-the-state-of-grocery-retail-2026.pdf" TargetMode="External"/><Relationship Id="rId16" Type="http://schemas.openxmlformats.org/officeDocument/2006/relationships/hyperlink" Target="https://www.intotheminds.com/blog/en/consumer-trends-2026/" TargetMode="External"/><Relationship Id="rId17" Type="http://schemas.openxmlformats.org/officeDocument/2006/relationships/hyperlink" Target="https://www.mckinsey.com/industries/retail/our-insights/state-of-grocery-europe-report" TargetMode="External"/><Relationship Id="rId18" Type="http://schemas.openxmlformats.org/officeDocument/2006/relationships/hyperlink" Target="https://www.igd.com/articles/european-retail-trends-driving-growth-in-2026/72167" TargetMode="External"/><Relationship Id="rId19" Type="http://schemas.openxmlformats.org/officeDocument/2006/relationships/hyperlink" Target="https://www.intotheminds.com/blog/en/consumer-trends-2026/" TargetMode="External"/><Relationship Id="rId20" Type="http://schemas.openxmlformats.org/officeDocument/2006/relationships/hyperlink" Target="https://www.intotheminds.com/blog/en/consumer-trends-2026/" TargetMode="External"/><Relationship Id="rId21" Type="http://schemas.openxmlformats.org/officeDocument/2006/relationships/hyperlink" Target="https://www.cbre.com/insights/books/european-real-estate-market-outlook-2026/retail" TargetMode="External"/><Relationship Id="rId22" Type="http://schemas.openxmlformats.org/officeDocument/2006/relationships/hyperlink" Target="https://www.igd.com/articles/european-retail-trends-driving-growth-in-2026/72167" TargetMode="External"/><Relationship Id="rId23" Type="http://schemas.openxmlformats.org/officeDocument/2006/relationships/hyperlink" Target="https://www.igd.com/articles/european-retail-trends-driving-growth-in-2026/72167" TargetMode="External"/><Relationship Id="rId24" Type="http://schemas.openxmlformats.org/officeDocument/2006/relationships/hyperlink" Target="https://www.igd.com/articles/european-retail-trends-driving-growth-in-2026/72167" TargetMode="External"/><Relationship Id="rId25" Type="http://schemas.openxmlformats.org/officeDocument/2006/relationships/hyperlink" Target="https://www.cbre.com/insights/books/european-real-estate-market-outlook-2026/retail" TargetMode="External"/><Relationship Id="rId26" Type="http://schemas.openxmlformats.org/officeDocument/2006/relationships/hyperlink" Target="https://www.intotheminds.com/blog/en/consumer-trends-2026/" TargetMode="External"/><Relationship Id="rId27" Type="http://schemas.openxmlformats.org/officeDocument/2006/relationships/hyperlink" Target="https://www.intotheminds.com/blog/en/consumer-trends-2026/" TargetMode="External"/><Relationship Id="rId28" Type="http://schemas.openxmlformats.org/officeDocument/2006/relationships/hyperlink" Target="https://www.mordorintelligence.com/industry-reports/united-arab-emirates-food-products-market" TargetMode="External"/><Relationship Id="rId29" Type="http://schemas.openxmlformats.org/officeDocument/2006/relationships/hyperlink" Target="https://www.linkedin.com/posts/surya-mahapatra_as-we-enter-2026-the-uae-retail-sector-continues-activity-7414110794935836673-Gf2X" TargetMode="External"/><Relationship Id="rId30" Type="http://schemas.openxmlformats.org/officeDocument/2006/relationships/hyperlink" Target="https://www.mordorintelligence.com/industry-reports/united-arab-emirates-food-products-market" TargetMode="External"/><Relationship Id="rId31" Type="http://schemas.openxmlformats.org/officeDocument/2006/relationships/hyperlink" Target="https://www.linkedin.com/posts/asafiuae_fmcg-trends-2026-what-shoppers-in-the-gcc-activity-7435610200117522432-iL9u" TargetMode="External"/><Relationship Id="rId32" Type="http://schemas.openxmlformats.org/officeDocument/2006/relationships/hyperlink" Target="https://www.linkedin.com/posts/surya-mahapatra_as-we-enter-2026-the-uae-retail-sector-continues-activity-7414110794935836673-Gf2X" TargetMode="External"/><Relationship Id="rId33" Type="http://schemas.openxmlformats.org/officeDocument/2006/relationships/hyperlink" Target="https://www.gwi.com/blog/retail-trends" TargetMode="External"/><Relationship Id="rId34" Type="http://schemas.openxmlformats.org/officeDocument/2006/relationships/hyperlink" Target="https://www.linkedin.com/posts/sagarmatha_8-grocery-industry-trends-to-watch-in-2026-activity-7426618496974942208-9Jo1" TargetMode="External"/><Relationship Id="rId35" Type="http://schemas.openxmlformats.org/officeDocument/2006/relationships/hyperlink" Target="https://www.youtube.com/watch?v=lzLFyHumjq0" TargetMode="External"/><Relationship Id="rId36" Type="http://schemas.openxmlformats.org/officeDocument/2006/relationships/hyperlink" Target="https://www.intotheminds.com/blog/en/consumer-trends-2026/" TargetMode="External"/><Relationship Id="rId37" Type="http://schemas.openxmlformats.org/officeDocument/2006/relationships/hyperlink" Target="https://www.intotheminds.com/blog/en/consumer-trends-2026/" TargetMode="External"/><Relationship Id="rId38" Type="http://schemas.openxmlformats.org/officeDocument/2006/relationships/hyperlink" Target="https://www.intotheminds.com/blog/en/consumer-trends-2026/" TargetMode="External"/><Relationship Id="rId39" Type="http://schemas.openxmlformats.org/officeDocument/2006/relationships/hyperlink" Target="https://www.forbes.com/sites/catherineerdly/2026/01/25/7-consumer-trends-that-define-what-shoppers-want-in-2026/" TargetMode="External"/><Relationship Id="rId40" Type="http://schemas.openxmlformats.org/officeDocument/2006/relationships/hyperlink" Target="https://www.mckinsey.com/industries/retail/our-insights/state-of-grocery-europe-report" TargetMode="External"/><Relationship Id="rId41" Type="http://schemas.openxmlformats.org/officeDocument/2006/relationships/hyperlink" Target="https://www.supermarketnews.com/grocery-trends-data/ai-agents-metabolic-health-among-key-grocery-trends-highlighted-at-fmi-midwinter" TargetMode="External"/><Relationship Id="rId42" Type="http://schemas.openxmlformats.org/officeDocument/2006/relationships/hyperlink" Target="https://www.mintel.com/insights/food-and-drink/prepare-for-food-and-drink-trends-black-swan/" TargetMode="External"/><Relationship Id="rId43" Type="http://schemas.openxmlformats.org/officeDocument/2006/relationships/hyperlink" Target="https://www.intotheminds.com/blog/en/consumer-trends-2026/" TargetMode="External"/><Relationship Id="rId44" Type="http://schemas.openxmlformats.org/officeDocument/2006/relationships/hyperlink" Target="https://www.intotheminds.com/blog/en/consumer-trends-2026/" TargetMode="External"/><Relationship Id="rId45" Type="http://schemas.openxmlformats.org/officeDocument/2006/relationships/hyperlink" Target="https://www.igd.com/articles/european-retail-trends-driving-growth-in-2026/72167" TargetMode="External"/><Relationship Id="rId46" Type="http://schemas.openxmlformats.org/officeDocument/2006/relationships/hyperlink" Target="https://finance.yahoo.com/news/europe-food-grocery-market-analysis-165900558.html" TargetMode="External"/><Relationship Id="rId47" Type="http://schemas.openxmlformats.org/officeDocument/2006/relationships/hyperlink" Target="https://therobinreport.com/glp-1-is-a-disruption-retailers-arent-ready-for/" TargetMode="External"/><Relationship Id="rId48" Type="http://schemas.openxmlformats.org/officeDocument/2006/relationships/hyperlink" Target="https://www.intotheminds.com/blog/en/consumer-trends-2026/" TargetMode="External"/><Relationship Id="rId49" Type="http://schemas.openxmlformats.org/officeDocument/2006/relationships/hyperlink" Target="https://tascoutsourcing.com/ar/insights/reports/UAE-Retail-Industry" TargetMode="External"/><Relationship Id="rId50" Type="http://schemas.openxmlformats.org/officeDocument/2006/relationships/hyperlink" Target="https://www.youtube.com/watch?v=lzLFyHumjq0" TargetMode="External"/><Relationship Id="rId51" Type="http://schemas.openxmlformats.org/officeDocument/2006/relationships/hyperlink" Target="https://www.intotheminds.com/blog/en/consumer-trends-2026/" TargetMode="External"/><Relationship Id="rId52" Type="http://schemas.openxmlformats.org/officeDocument/2006/relationships/hyperlink" Target="https://www.kesko.fi/en/media/news-and-releases/investor-news/2026/keskos-strategy-in-grocery-trade-working--k-group-market-share-takes-an-upturn/" TargetMode="External"/><Relationship Id="rId53" Type="http://schemas.openxmlformats.org/officeDocument/2006/relationships/hyperlink" Target="https://www.mordorintelligence.com/industry-reports/united-arab-emirates-food-products-market" TargetMode="External"/><Relationship Id="rId54" Type="http://schemas.openxmlformats.org/officeDocument/2006/relationships/hyperlink" Target="https://www.eurocommerce.eu/2026/04/european-grocery-retail-models-are-in-motion-while-margins-remain-under-pressure/" TargetMode="External"/><Relationship Id="rId55" Type="http://schemas.openxmlformats.org/officeDocument/2006/relationships/hyperlink" Target="https://www.mckinsey.com/industries/retail/our-insights/state-of-grocery-europe-report" TargetMode="External"/><Relationship Id="rId56" Type="http://schemas.openxmlformats.org/officeDocument/2006/relationships/hyperlink" Target="https://www.eurocommerce.eu/2026/04/european-grocery-retail-models-are-in-motion-while-margins-remain-under-pressure/" TargetMode="External"/><Relationship Id="rId57" Type="http://schemas.openxmlformats.org/officeDocument/2006/relationships/hyperlink" Target="https://www.mordorintelligence.com/industry-reports/united-arab-emirates-food-products-market" TargetMode="External"/><Relationship Id="rId58" Type="http://schemas.openxmlformats.org/officeDocument/2006/relationships/hyperlink" Target="https://www.eurocommerce.eu/2026/04/european-grocery-retail-models-are-in-motion-while-margins-remain-under-pressure/" TargetMode="External"/><Relationship Id="rId59" Type="http://schemas.openxmlformats.org/officeDocument/2006/relationships/hyperlink" Target="https://www.eurocommerce.eu/2026/04/european-grocery-retail-models-are-in-motion-while-margins-remain-under-pressure/" TargetMode="External"/><Relationship Id="rId60" Type="http://schemas.openxmlformats.org/officeDocument/2006/relationships/hyperlink" Target="https://www.eurocommerce.eu/2026/04/european-grocery-retail-models-are-in-motion-while-margins-remain-under-pressure/" TargetMode="External"/><Relationship Id="rId61" Type="http://schemas.openxmlformats.org/officeDocument/2006/relationships/hyperlink" Target="https://www.kesko.fi/en/media/news-and-releases/investor-news/2026/keskos-strategy-in-grocery-trade-working--k-group-market-share-takes-an-upturn/" TargetMode="External"/><Relationship Id="rId62" Type="http://schemas.openxmlformats.org/officeDocument/2006/relationships/hyperlink" Target="https://globalriskcommunity.com/notes/uae-retail-market" TargetMode="External"/><Relationship Id="rId63" Type="http://schemas.openxmlformats.org/officeDocument/2006/relationships/hyperlink" Target="https://www.eurocommerce.eu/2026/04/european-grocery-retail-models-are-in-motion-while-margins-remain-under-pressure/" TargetMode="External"/><Relationship Id="rId64" Type="http://schemas.openxmlformats.org/officeDocument/2006/relationships/hyperlink" Target="https://www.kesko.fi/en/media/news-and-releases/investor-news/2026/keskos-strategy-in-grocery-trade-working--k-group-market-share-takes-an-upturn/" TargetMode="External"/><Relationship Id="rId65" Type="http://schemas.openxmlformats.org/officeDocument/2006/relationships/hyperlink" Target="https://globalriskcommunity.com/notes/uae-retail-market" TargetMode="External"/><Relationship Id="rId66" Type="http://schemas.openxmlformats.org/officeDocument/2006/relationships/hyperlink" Target="https://www.eurocommerce.eu/2026/04/european-grocery-retail-models-are-in-motion-while-margins-remain-under-pressure/" TargetMode="External"/><Relationship Id="rId67" Type="http://schemas.openxmlformats.org/officeDocument/2006/relationships/hyperlink" Target="https://www.eurocommerce.eu/2026/04/european-grocery-retail-models-are-in-motion-while-margins-remain-under-pressure/" TargetMode="External"/><Relationship Id="rId68" Type="http://schemas.openxmlformats.org/officeDocument/2006/relationships/hyperlink" Target="https://www.eurocommerce.eu/2026/04/european-grocery-retail-models-are-in-motion-while-margins-remain-under-pressure/" TargetMode="External"/><Relationship Id="rId69" Type="http://schemas.openxmlformats.org/officeDocument/2006/relationships/hyperlink" Target="https://www.kesko.fi/en/media/news-and-releases/investor-news/2026/keskos-strategy-in-grocery-trade-working--k-group-market-share-takes-an-upturn/" TargetMode="External"/><Relationship Id="rId70" Type="http://schemas.openxmlformats.org/officeDocument/2006/relationships/hyperlink" Target="https://www.mordorintelligence.com/industry-reports/united-arab-emirates-food-products-market" TargetMode="External"/><Relationship Id="rId71" Type="http://schemas.openxmlformats.org/officeDocument/2006/relationships/hyperlink" Target="https://www.mordorintelligence.com/industry-reports/united-arab-emirates-food-products-market" TargetMode="External"/><Relationship Id="rId72" Type="http://schemas.openxmlformats.org/officeDocument/2006/relationships/hyperlink" Target="https://www.mordorintelligence.com/industry-reports/united-arab-emirates-food-products-market" TargetMode="External"/><Relationship Id="rId73" Type="http://schemas.openxmlformats.org/officeDocument/2006/relationships/hyperlink" Target="https://www.mordorintelligence.com/industry-reports/united-arab-emirates-food-products-market" TargetMode="External"/><Relationship Id="rId74" Type="http://schemas.openxmlformats.org/officeDocument/2006/relationships/hyperlink" Target="https://www.eurocommerce.eu/2026/04/european-grocery-retail-models-are-in-motion-while-margins-remain-under-pressure/" TargetMode="External"/><Relationship Id="rId75" Type="http://schemas.openxmlformats.org/officeDocument/2006/relationships/hyperlink" Target="https://www.kesko.fi/en/media/news-and-releases/investor-news/2026/k-group-market-share-in-grocery-trade-took-an-upturn-in-the-latter-half-of-2025--full-year-market-share-33.5/" TargetMode="External"/><Relationship Id="rId76" Type="http://schemas.openxmlformats.org/officeDocument/2006/relationships/hyperlink" Target="https://globalriskcommunity.com/notes/uae-retail-market" TargetMode="External"/><Relationship Id="rId77" Type="http://schemas.openxmlformats.org/officeDocument/2006/relationships/hyperlink" Target="https://www.eurocommerce.eu/2026/04/european-grocery-retail-models-are-in-motion-while-margins-remain-under-pressure/" TargetMode="External"/><Relationship Id="rId78" Type="http://schemas.openxmlformats.org/officeDocument/2006/relationships/hyperlink" Target="https://www.eurocommerce.eu/2026/04/european-grocery-retail-models-are-in-motion-while-margins-remain-under-pressure/" TargetMode="External"/><Relationship Id="rId79" Type="http://schemas.openxmlformats.org/officeDocument/2006/relationships/hyperlink" Target="https://www.eurocommerce.eu/2026/04/european-grocery-retail-models-are-in-motion-while-margins-remain-under-pressure/" TargetMode="External"/><Relationship Id="rId80" Type="http://schemas.openxmlformats.org/officeDocument/2006/relationships/hyperlink" Target="https://www.eurocommerce.eu/2026/04/european-grocery-retail-models-are-in-motion-while-margins-remain-under-pressure/" TargetMode="External"/><Relationship Id="rId81" Type="http://schemas.openxmlformats.org/officeDocument/2006/relationships/hyperlink" Target="https://www.kesko.fi/en/media/news-and-releases/investor-news/2026/keskos-strategy-in-grocery-trade-working--k-group-market-share-takes-an-upturn/" TargetMode="External"/><Relationship Id="rId82" Type="http://schemas.openxmlformats.org/officeDocument/2006/relationships/hyperlink" Target="https://globalriskcommunity.com/notes/uae-retail-market" TargetMode="External"/><Relationship Id="rId83" Type="http://schemas.openxmlformats.org/officeDocument/2006/relationships/hyperlink" Target="https://www.eurocommerce.eu/2026/04/european-grocery-retail-models-are-in-motion-while-margins-remain-under-pressure/" TargetMode="External"/><Relationship Id="rId84" Type="http://schemas.openxmlformats.org/officeDocument/2006/relationships/hyperlink" Target="https://www.eurocommerce.eu/2026/04/european-grocery-retail-models-are-in-motion-while-margins-remain-under-pressure/" TargetMode="External"/><Relationship Id="rId85" Type="http://schemas.openxmlformats.org/officeDocument/2006/relationships/hyperlink" Target="https://www.eurocommerce.eu/2026/04/european-grocery-retail-models-are-in-motion-while-margins-remain-under-pressure/" TargetMode="External"/><Relationship Id="rId86" Type="http://schemas.openxmlformats.org/officeDocument/2006/relationships/hyperlink" Target="https://www.kesko.fi/en/media/news-and-releases/investor-news/2026/keskos-strategy-in-grocery-trade-working--k-group-market-share-takes-an-upturn/" TargetMode="External"/><Relationship Id="rId87" Type="http://schemas.openxmlformats.org/officeDocument/2006/relationships/hyperlink" Target="https://globalriskcommunity.com/notes/uae-retail-market" TargetMode="External"/><Relationship Id="rId88" Type="http://schemas.openxmlformats.org/officeDocument/2006/relationships/hyperlink" Target="https://www.eurocommerce.eu/2026/04/european-grocery-retail-models-are-in-motion-while-margins-remain-under-pressure/" TargetMode="External"/><Relationship Id="rId89" Type="http://schemas.openxmlformats.org/officeDocument/2006/relationships/hyperlink" Target="https://www.kesko.fi/en/media/news-and-releases/investor-news/2026/keskos-strategy-in-grocery-trade-working--k-group-market-share-takes-an-upturn/" TargetMode="External"/><Relationship Id="rId90" Type="http://schemas.openxmlformats.org/officeDocument/2006/relationships/hyperlink" Target="https://www.mordorintelligence.com/industry-reports/united-arab-emirates-food-products-market" TargetMode="External"/><Relationship Id="rId91" Type="http://schemas.openxmlformats.org/officeDocument/2006/relationships/hyperlink" Target="https://www.eurocommerce.eu/2026/04/european-grocery-retail-models-are-in-motion-while-margins-remain-under-pressure/" TargetMode="External"/><Relationship Id="rId92" Type="http://schemas.openxmlformats.org/officeDocument/2006/relationships/hyperlink" Target="https://www.mordorintelligence.com/industry-reports/united-arab-emirates-food-products-market" TargetMode="External"/><Relationship Id="rId93" Type="http://schemas.openxmlformats.org/officeDocument/2006/relationships/hyperlink" Target="https://www.eurocommerce.eu/2026/04/european-grocery-retail-models-are-in-motion-while-margins-remain-under-pressure/" TargetMode="External"/><Relationship Id="rId94" Type="http://schemas.openxmlformats.org/officeDocument/2006/relationships/hyperlink" Target="https://www.kesko.fi/en/media/news-and-releases/investor-news/2026/keskos-strategy-in-grocery-trade-working--k-group-market-share-takes-an-upturn/" TargetMode="External"/><Relationship Id="rId95" Type="http://schemas.openxmlformats.org/officeDocument/2006/relationships/hyperlink" Target="https://globalriskcommunity.com/notes/uae-retail-market" TargetMode="External"/><Relationship Id="rId96" Type="http://schemas.openxmlformats.org/officeDocument/2006/relationships/hyperlink" Target="https://globalriskcommunity.com/notes/uae-retail-market" TargetMode="External"/><Relationship Id="rId97" Type="http://schemas.openxmlformats.org/officeDocument/2006/relationships/hyperlink" Target="https://globalriskcommunity.com/notes/uae-retail-market" TargetMode="External"/><Relationship Id="rId98" Type="http://schemas.openxmlformats.org/officeDocument/2006/relationships/hyperlink" Target="https://www.eurocommerce.eu/2026/04/european-grocery-retail-models-are-in-motion-while-margins-remain-under-pressure/" TargetMode="External"/><Relationship Id="rId99" Type="http://schemas.openxmlformats.org/officeDocument/2006/relationships/hyperlink" Target="https://www.mordorintelligence.com/industry-reports/united-arab-emirates-food-products-market" TargetMode="External"/><Relationship Id="rId100" Type="http://schemas.openxmlformats.org/officeDocument/2006/relationships/hyperlink" Target="https://www.mckinsey.com/industries/retail/our-insights/state-of-grocery-europe-report" TargetMode="External"/><Relationship Id="rId101" Type="http://schemas.openxmlformats.org/officeDocument/2006/relationships/hyperlink" Target="https://www.eurocommerce.eu/2026/04/european-grocery-retail-models-are-in-motion-while-margins-remain-under-pressure/" TargetMode="External"/><Relationship Id="rId102" Type="http://schemas.openxmlformats.org/officeDocument/2006/relationships/hyperlink" Target="https://globalriskcommunity.com/notes/uae-retail-market" TargetMode="External"/><Relationship Id="rId103" Type="http://schemas.openxmlformats.org/officeDocument/2006/relationships/hyperlink" Target="https://www.eurocommerce.eu/2026/04/european-grocery-retail-models-are-in-motion-while-margins-remain-under-pressure/" TargetMode="External"/><Relationship Id="rId104" Type="http://schemas.openxmlformats.org/officeDocument/2006/relationships/hyperlink" Target="https://kaizen.com/us/insights-us/supermarket-trends-united-states-2026/" TargetMode="External"/><Relationship Id="rId105" Type="http://schemas.openxmlformats.org/officeDocument/2006/relationships/hyperlink" Target="https://www.accio.com/business/new-trends-in-shopping-malls" TargetMode="External"/><Relationship Id="rId106" Type="http://schemas.openxmlformats.org/officeDocument/2006/relationships/hyperlink" Target="https://www.supermarketnews.com/grocery-trends-data/report-grocery-shoppers-predicted-to-spend-more-on-food-in-2026-as-buying-behavior-evolves" TargetMode="External"/><Relationship Id="rId107" Type="http://schemas.openxmlformats.org/officeDocument/2006/relationships/hyperlink" Target="https://www.eatthis.com/supermarket-trends-reshaping-the-grocery-aisle-2026/" TargetMode="External"/><Relationship Id="rId108" Type="http://schemas.openxmlformats.org/officeDocument/2006/relationships/hyperlink" Target="https://www.supermarketnews.com/grocery-trends-data/report-grocery-shoppers-predicted-to-spend-more-on-food-in-2026-as-buying-behavior-evolves" TargetMode="External"/><Relationship Id="rId109" Type="http://schemas.openxmlformats.org/officeDocument/2006/relationships/hyperlink" Target="https://netchoice.org/why-experiential-retail-is-the-new-standard-for-2026/" TargetMode="External"/><Relationship Id="rId110" Type="http://schemas.openxmlformats.org/officeDocument/2006/relationships/hyperlink" Target="https://kaizen.com/us/insights-us/supermarket-trends-united-states-2026/" TargetMode="External"/><Relationship Id="rId111" Type="http://schemas.openxmlformats.org/officeDocument/2006/relationships/hyperlink" Target="https://www.supermarketnews.com/grocery-trends-data/report-grocery-shoppers-predicted-to-spend-more-on-food-in-2026-as-buying-behavior-evolves" TargetMode="External"/><Relationship Id="rId112" Type="http://schemas.openxmlformats.org/officeDocument/2006/relationships/hyperlink" Target="https://www.accio.com/business/new-trends-in-shopping-malls" TargetMode="External"/><Relationship Id="rId113" Type="http://schemas.openxmlformats.org/officeDocument/2006/relationships/hyperlink" Target="https://www.reuters.com/legal/litigation/big-food-pours-millions-into-rebrands-obesity-drugs-reshape-us-demand-2026-02-18/" TargetMode="External"/><Relationship Id="rId114" Type="http://schemas.openxmlformats.org/officeDocument/2006/relationships/hyperlink" Target="https://www.retailspacesolutions.com/resources/article/4-trends-that-will-define-grocery-retail-in-2026/" TargetMode="External"/><Relationship Id="rId115" Type="http://schemas.openxmlformats.org/officeDocument/2006/relationships/hyperlink" Target="https://www.retailspacesolutions.com/resources/article/4-trends-that-will-define-grocery-retail-in-2026/" TargetMode="External"/><Relationship Id="rId116" Type="http://schemas.openxmlformats.org/officeDocument/2006/relationships/hyperlink" Target="https://www.retailspacesolutions.com/resources/article/4-trends-that-will-define-grocery-retail-in-2026/" TargetMode="External"/><Relationship Id="rId117" Type="http://schemas.openxmlformats.org/officeDocument/2006/relationships/hyperlink" Target="https://www.placer.ai/anchor/reports/how-malls-can-win-in-2026" TargetMode="External"/><Relationship Id="rId118" Type="http://schemas.openxmlformats.org/officeDocument/2006/relationships/hyperlink" Target="https://www.supermarketnews.com/grocery-trends-data/report-grocery-shoppers-predicted-to-spend-more-on-food-in-2026-as-buying-behavior-evolves" TargetMode="External"/><Relationship Id="rId119" Type="http://schemas.openxmlformats.org/officeDocument/2006/relationships/hyperlink" Target="https://www.supermarketnews.com/grocery-trends-data/report-grocery-shoppers-predicted-to-spend-more-on-food-in-2026-as-buying-behavior-evolves" TargetMode="External"/><Relationship Id="rId120" Type="http://schemas.openxmlformats.org/officeDocument/2006/relationships/hyperlink" Target="https://www.naiop.org/research-and-publications/magazine/2025/summer-2025/business-trends/experiential-retail-helping-to-fuel-a-brick-and-mortar-revival/" TargetMode="External"/><Relationship Id="rId121" Type="http://schemas.openxmlformats.org/officeDocument/2006/relationships/hyperlink" Target="https://www.supermarketnews.com/grocery-trends-data/report-grocery-shoppers-predicted-to-spend-more-on-food-in-2026-as-buying-behavior-evolves" TargetMode="External"/><Relationship Id="rId122" Type="http://schemas.openxmlformats.org/officeDocument/2006/relationships/hyperlink" Target="https://www.supermarketnews.com/grocery-trends-data/report-grocery-shoppers-predicted-to-spend-more-on-food-in-2026-as-buying-behavior-evolves" TargetMode="External"/><Relationship Id="rId123" Type="http://schemas.openxmlformats.org/officeDocument/2006/relationships/hyperlink" Target="https://www.mckinsey.com/industries/consumer-packaged-goods/our-insights/the-state-of-the-us-consumer" TargetMode="External"/><Relationship Id="rId124" Type="http://schemas.openxmlformats.org/officeDocument/2006/relationships/hyperlink" Target="https://www.mckinsey.com/industries/retail/our-insights/state-of-fashion" TargetMode="External"/><Relationship Id="rId125" Type="http://schemas.openxmlformats.org/officeDocument/2006/relationships/hyperlink" Target="https://www.mckinsey.com/featured-insights/week-in-charts/prices-top-of-mind-for-us-consumers" TargetMode="External"/><Relationship Id="rId126" Type="http://schemas.openxmlformats.org/officeDocument/2006/relationships/hyperlink" Target="https://www.mckinsey.com/industries/retail/our-insights/state-of-fashion" TargetMode="External"/><Relationship Id="rId127" Type="http://schemas.openxmlformats.org/officeDocument/2006/relationships/image" Target="media/image2.png"/><Relationship Id="rId128" Type="http://schemas.openxmlformats.org/officeDocument/2006/relationships/hyperlink" Target="https://www.forbes.com/sites/dennismitzner/2023/10/02/shopping-slump-and-second-hand-craze-in-finland-linked-to-financial-constraints-not-eco-consciousness/" TargetMode="External"/><Relationship Id="rId129" Type="http://schemas.openxmlformats.org/officeDocument/2006/relationships/hyperlink" Target="https://www.stats.gov.cn/english/PressRelease/202603/t20260317_1962805.html" TargetMode="External"/><Relationship Id="rId130" Type="http://schemas.openxmlformats.org/officeDocument/2006/relationships/hyperlink" Target="https://tradingeconomics.com/south-korea/retail-sales-annual" TargetMode="External"/><Relationship Id="rId131" Type="http://schemas.openxmlformats.org/officeDocument/2006/relationships/hyperlink" Target="https://www.facebook.com/CGTNGlobalBusiness/posts/2026-kicks-off-with-fresh-consumer-trendschinas-first-quarter-retail-sales-hit-n/1358437146303888/" TargetMode="External"/><Relationship Id="rId132" Type="http://schemas.openxmlformats.org/officeDocument/2006/relationships/hyperlink" Target="https://tradingeconomics.com/south-korea/consumer-confidence/news/544077" TargetMode="External"/><Relationship Id="rId133" Type="http://schemas.openxmlformats.org/officeDocument/2006/relationships/hyperlink" Target="https://www.stats.gov.cn/english/PressRelease/202603/t20260317_1962805.html" TargetMode="External"/><Relationship Id="rId134" Type="http://schemas.openxmlformats.org/officeDocument/2006/relationships/hyperlink" Target="https://mods.go.kr/board.es?mid=a20101000000&amp;bid=11722&amp;list_no=444356&amp;act=view&amp;mainXml=Y" TargetMode="External"/><Relationship Id="rId135" Type="http://schemas.openxmlformats.org/officeDocument/2006/relationships/hyperlink" Target="https://www.stats.gov.cn/english/PressRelease/202603/t20260317_1962805.html" TargetMode="External"/><Relationship Id="rId136" Type="http://schemas.openxmlformats.org/officeDocument/2006/relationships/hyperlink" Target="https://tradingeconomics.com/south-korea/retail-sales/news/537576"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ONLYOFFICE/8.3.3.21</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2026-04-26T16:39:34Z</dcterms:modified>
</cp:coreProperties>
</file>