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160" w:line="360" w:lineRule="auto"/>
        <w:jc w:val="center"/>
      </w:pPr>
      <w:r>
        <w:rPr>
          <w:rFonts w:ascii="Times New Roman" w:hAnsi="Times New Roman"/>
          <w:sz w:val="34"/>
          <w:szCs w:val="34"/>
          <w:b/>
        </w:rPr>
        <w:t xml:space="preserve">MANUAL DE BUENAS PRÁCTICAS PARA LA APLICACIÓN DE INTELIGENCIA ARTIFICIAL EN LA JURISDICCIÓN CONSTITUCIONAL</w:t>
      </w:r>
    </w:p>
    <w:p>
      <w:pPr>
        <w:spacing w:before="0" w:after="200" w:line="360" w:lineRule="auto"/>
        <w:jc w:val="center"/>
      </w:pPr>
      <w:r>
        <w:rPr>
          <w:rFonts w:ascii="Times New Roman" w:hAnsi="Times New Roman"/>
          <w:sz w:val="26"/>
          <w:szCs w:val="26"/>
        </w:rPr>
        <w:t xml:space="preserve">Estándar ético del debido proceso algorítmico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80" w:line="360" w:lineRule="auto"/>
        <w:jc w:val="center"/>
      </w:pPr>
      <w:r>
        <w:rPr>
          <w:rFonts w:ascii="Times New Roman" w:hAnsi="Times New Roman"/>
          <w:sz w:val="24"/>
          <w:szCs w:val="24"/>
        </w:rPr>
        <w:t xml:space="preserve">Bogotá D.C., Colombia</w:t>
      </w:r>
    </w:p>
    <w:p>
      <w:pPr>
        <w:spacing w:before="0" w:after="80" w:line="360" w:lineRule="auto"/>
        <w:jc w:val="center"/>
      </w:pPr>
      <w:r>
        <w:rPr>
          <w:rFonts w:ascii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line="360" w:lineRule="auto" w:before="0" w:after="120"/>
        <w:jc w:val="both"/>
      </w:pPr>
      <w:r>
        <w:rPr>
          <w:rFonts w:ascii="Times New Roman" w:hAnsi="Times New Roman"/>
          <w:sz w:val="24"/>
          <w:szCs w:val="24"/>
          <w:b/>
        </w:rPr>
        <w:t xml:space="preserve">Documento independiente — Producto de la ponencia «Estándar ético del debido proceso algorítmico en la jurisdicción constitucional colombiana».</w:t>
      </w:r>
    </w:p>
    <w:p>
      <w:pPr>
        <w:spacing w:line="360" w:lineRule="auto" w:before="0" w:after="120"/>
        <w:jc w:val="both"/>
      </w:pPr>
      <w:r>
        <w:rPr>
          <w:rFonts w:ascii="Times New Roman" w:hAnsi="Times New Roman"/>
          <w:sz w:val="24"/>
          <w:szCs w:val="24"/>
          <w:b/>
        </w:rPr>
        <w:t xml:space="preserve">Población dirigida:</w:t>
      </w:r>
      <w:r>
        <w:rPr>
          <w:rFonts w:ascii="Times New Roman" w:hAnsi="Times New Roman"/>
          <w:sz w:val="24"/>
          <w:szCs w:val="24"/>
        </w:rPr>
        <w:t xml:space="preserve"> Operadores judiciales (magistrados, jueces, magistrados auxiliares, sustanciadores, profesionales de apoyo y equipo técnico).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Presentación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Este manual traduce en reglas prácticas el estándar ético del debido proceso algorítmico propuesto en la ponencia. A diferencia de una guía operativa de pasos sucesivos, se concibe como un </w:t>
      </w:r>
      <w:r>
        <w:rPr>
          <w:rFonts w:ascii="Times New Roman" w:hAnsi="Times New Roman"/>
          <w:sz w:val="24"/>
          <w:szCs w:val="24"/>
          <w:b/>
        </w:rPr>
        <w:t xml:space="preserve">parámetro ético-constitucional</w:t>
      </w:r>
      <w:r>
        <w:rPr>
          <w:rFonts w:ascii="Times New Roman" w:hAnsi="Times New Roman"/>
          <w:sz w:val="24"/>
          <w:szCs w:val="24"/>
        </w:rPr>
        <w:t xml:space="preserve"> derivado de una interpretación evolutiva del artículo 29 de la Constitución Política, orientado específicamente a la jurisdicción constitucional y a la protección reforzada de los derechos fundamentales en el trámite de tutela. Su finalidad es que el uso de la inteligencia artificial (IA) sea, en todo momento, conocido, controvertible y compatible con la legitimidad democrática y la tutela judicial efectiva.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1. Fundamentos éticos y normativos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El manual se sustenta en: (i) instrumentos internacionales —Recomendación de la UNESCO sobre la Ética de la IA (2021), Principios de la OCDE (2019/2024), Convenio Marco del Consejo de Europa (CETS 225, 2024), Reglamento (UE) 2024/1689 y Marco de competencias en IA de la UNESCO—; (ii) política pública nacional —CONPES 3975 de 2019 y 4144 de 2025 y Marco Ético para la IA en Colombia—; (iii) el régimen de habeas data y transparencia —artículo 15 de la C.P., Leyes 1266 de 2008 y 1581 de 2012 (con protección reforzada de datos sensibles, Sentencia C-748 de 2011) y Ley 1712 de 2014—; y (iv) la línea jurisprudencial constitucional —Sentencias T-323 de 2024, T-067 de 2025 y T-008 de 2026—, articulada con el Acuerdo PCSJA24-12243 de 2024 del Consejo Superior de la Judicatura.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2. Principios del estándar (reglas operativas verificables)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1.  </w:t>
      </w:r>
      <w:r>
        <w:rPr>
          <w:rFonts w:ascii="Times New Roman" w:hAnsi="Times New Roman"/>
          <w:sz w:val="24"/>
          <w:szCs w:val="24"/>
          <w:b/>
        </w:rPr>
        <w:t xml:space="preserve">Transparencia y explicabilidad.</w:t>
      </w:r>
      <w:r>
        <w:rPr>
          <w:rFonts w:ascii="Times New Roman" w:hAnsi="Times New Roman"/>
          <w:sz w:val="24"/>
          <w:szCs w:val="24"/>
        </w:rPr>
        <w:t xml:space="preserve"> Revelar y documentar el uso de la IA y poder explicar su incidencia.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  <w:b/>
        </w:rPr>
        <w:t xml:space="preserve">Control humano significativo y no sustitución del juez.</w:t>
      </w:r>
      <w:r>
        <w:rPr>
          <w:rFonts w:ascii="Times New Roman" w:hAnsi="Times New Roman"/>
          <w:sz w:val="24"/>
          <w:szCs w:val="24"/>
        </w:rPr>
        <w:t xml:space="preserve"> Ninguna decisión que afecte derechos se adopta de forma exclusivamente automatizada.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3.  </w:t>
      </w:r>
      <w:r>
        <w:rPr>
          <w:rFonts w:ascii="Times New Roman" w:hAnsi="Times New Roman"/>
          <w:sz w:val="24"/>
          <w:szCs w:val="24"/>
          <w:b/>
        </w:rPr>
        <w:t xml:space="preserve">Responsabilidad y rendición de cuentas.</w:t>
      </w:r>
      <w:r>
        <w:rPr>
          <w:rFonts w:ascii="Times New Roman" w:hAnsi="Times New Roman"/>
          <w:sz w:val="24"/>
          <w:szCs w:val="24"/>
        </w:rPr>
        <w:t xml:space="preserve"> Siempre hay un responsable humano identificable.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4.  </w:t>
      </w:r>
      <w:r>
        <w:rPr>
          <w:rFonts w:ascii="Times New Roman" w:hAnsi="Times New Roman"/>
          <w:sz w:val="24"/>
          <w:szCs w:val="24"/>
          <w:b/>
        </w:rPr>
        <w:t xml:space="preserve">Igualdad y no discriminación.</w:t>
      </w:r>
      <w:r>
        <w:rPr>
          <w:rFonts w:ascii="Times New Roman" w:hAnsi="Times New Roman"/>
          <w:sz w:val="24"/>
          <w:szCs w:val="24"/>
        </w:rPr>
        <w:t xml:space="preserve"> Prevenir y mitigar sesgos; ante indicios, suspender el uso hasta corregir.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5.  </w:t>
      </w:r>
      <w:r>
        <w:rPr>
          <w:rFonts w:ascii="Times New Roman" w:hAnsi="Times New Roman"/>
          <w:sz w:val="24"/>
          <w:szCs w:val="24"/>
          <w:b/>
        </w:rPr>
        <w:t xml:space="preserve">Protección de datos y minimización.</w:t>
      </w:r>
      <w:r>
        <w:rPr>
          <w:rFonts w:ascii="Times New Roman" w:hAnsi="Times New Roman"/>
          <w:sz w:val="24"/>
          <w:szCs w:val="24"/>
        </w:rPr>
        <w:t xml:space="preserve"> Finalidad, necesidad, minimización, seguridad y confidencialidad; anonimizar cuando sea posible.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6.  </w:t>
      </w:r>
      <w:r>
        <w:rPr>
          <w:rFonts w:ascii="Times New Roman" w:hAnsi="Times New Roman"/>
          <w:sz w:val="24"/>
          <w:szCs w:val="24"/>
          <w:b/>
        </w:rPr>
        <w:t xml:space="preserve">Trazabilidad y auditabilidad.</w:t>
      </w:r>
      <w:r>
        <w:rPr>
          <w:rFonts w:ascii="Times New Roman" w:hAnsi="Times New Roman"/>
          <w:sz w:val="24"/>
          <w:szCs w:val="24"/>
        </w:rPr>
        <w:t xml:space="preserve"> Registrar herramienta, finalidad, operador, momento e incidencia.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7.  </w:t>
      </w:r>
      <w:r>
        <w:rPr>
          <w:rFonts w:ascii="Times New Roman" w:hAnsi="Times New Roman"/>
          <w:sz w:val="24"/>
          <w:szCs w:val="24"/>
          <w:b/>
        </w:rPr>
        <w:t xml:space="preserve">Proporcionalidad y prevención de riesgos.</w:t>
      </w:r>
      <w:r>
        <w:rPr>
          <w:rFonts w:ascii="Times New Roman" w:hAnsi="Times New Roman"/>
          <w:sz w:val="24"/>
          <w:szCs w:val="24"/>
        </w:rPr>
        <w:t xml:space="preserve"> Usar la IA solo cuando sea idónea, necesaria y razonable.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8.  </w:t>
      </w:r>
      <w:r>
        <w:rPr>
          <w:rFonts w:ascii="Times New Roman" w:hAnsi="Times New Roman"/>
          <w:sz w:val="24"/>
          <w:szCs w:val="24"/>
          <w:b/>
        </w:rPr>
        <w:t xml:space="preserve">Primacía de los derechos fundamentales.</w:t>
      </w:r>
      <w:r>
        <w:rPr>
          <w:rFonts w:ascii="Times New Roman" w:hAnsi="Times New Roman"/>
          <w:sz w:val="24"/>
          <w:szCs w:val="24"/>
        </w:rPr>
        <w:t xml:space="preserve"> Ante tensión con la eficiencia, prevalecen los derechos.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3. Ámbito y destinatarios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Magistrados y jueces:</w:t>
      </w:r>
      <w:r>
        <w:rPr>
          <w:rFonts w:ascii="Times New Roman" w:hAnsi="Times New Roman"/>
          <w:sz w:val="24"/>
          <w:szCs w:val="24"/>
        </w:rPr>
        <w:t xml:space="preserve"> control humano significativo, motivación y verificación.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Magistrados auxiliares y sustanciadores:</w:t>
      </w:r>
      <w:r>
        <w:rPr>
          <w:rFonts w:ascii="Times New Roman" w:hAnsi="Times New Roman"/>
          <w:sz w:val="24"/>
          <w:szCs w:val="24"/>
        </w:rPr>
        <w:t xml:space="preserve"> verificación del contenido generado por IA y protección de datos.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Profesionales y servidores de apoyo:</w:t>
      </w:r>
      <w:r>
        <w:rPr>
          <w:rFonts w:ascii="Times New Roman" w:hAnsi="Times New Roman"/>
          <w:sz w:val="24"/>
          <w:szCs w:val="24"/>
        </w:rPr>
        <w:t xml:space="preserve"> trazabilidad y respeto de la reserva.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Equipo técnico:</w:t>
      </w:r>
      <w:r>
        <w:rPr>
          <w:rFonts w:ascii="Times New Roman" w:hAnsi="Times New Roman"/>
          <w:sz w:val="24"/>
          <w:szCs w:val="24"/>
        </w:rPr>
        <w:t xml:space="preserve"> selección, validación, seguridad, mantenimiento, auditoría y evaluación de sesgos.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4. Protocolo por fases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Antes del uso:</w:t>
      </w:r>
      <w:r>
        <w:rPr>
          <w:rFonts w:ascii="Times New Roman" w:hAnsi="Times New Roman"/>
          <w:sz w:val="24"/>
          <w:szCs w:val="24"/>
        </w:rPr>
        <w:t xml:space="preserve"> herramienta idónea y validada; condiciones de seguridad y tratamiento de datos verificadas; descarte de herramientas no autorizadas para datos sensibles; propósito definido.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Durante el uso:</w:t>
      </w:r>
      <w:r>
        <w:rPr>
          <w:rFonts w:ascii="Times New Roman" w:hAnsi="Times New Roman"/>
          <w:sz w:val="24"/>
          <w:szCs w:val="24"/>
        </w:rPr>
        <w:t xml:space="preserve"> control del razonamiento; resultado tratado como insumo; verificación de veracidad y de fuentes; no ingresar datos sensibles en herramientas inseguras; documentación.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Después del uso:</w:t>
      </w:r>
      <w:r>
        <w:rPr>
          <w:rFonts w:ascii="Times New Roman" w:hAnsi="Times New Roman"/>
          <w:sz w:val="24"/>
          <w:szCs w:val="24"/>
        </w:rPr>
        <w:t xml:space="preserve"> revelación del empleo de la herramienta; motivación propia y verificada; registro de la trazabilidad para auditoría.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5. Matriz de usos permitidos y prohibidos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5"/>
        <w:gridCol w:w="4675"/>
      </w:tblGrid>
      <w:tr>
        <w:tc>
          <w:tcPr>
            <w:tcW w:w="4675" w:type="dxa"/>
            <w:shd w:val="clear" w:color="auto" w:fill="D9D9D9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Permitido (apoyo y gestión)</w:t>
            </w:r>
          </w:p>
        </w:tc>
        <w:tc>
          <w:tcPr>
            <w:tcW w:w="4675" w:type="dxa"/>
            <w:shd w:val="clear" w:color="auto" w:fill="D9D9D9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Prohibido (sustitución y riesgo)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Clasificar, ordenar y priorizar expedientes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Decidir automáticamente la selección o el fondo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Buscar y sistematizar jurisprudencia (con verificación)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Citar fuentes sin verificar existencia y vigencia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Apoyar borradores (verificados y asumidos)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Incorporar texto generado sin comprenderlo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Sintetizar información de expedientes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Tratar datos sensibles en herramientas inseguras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Traducir o resumir documentos de trabajo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Sustituir la motivación con la salida de la IA</w:t>
            </w:r>
          </w:p>
        </w:tc>
      </w:tr>
      <w:tr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Detectar patrones para gestión interna</w:t>
            </w:r>
          </w:p>
        </w:tc>
        <w:tc>
          <w:tcPr>
            <w:tcW w:w="4675" w:type="dx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Usar IA predictiva para prejuzgar a las partes</w:t>
            </w:r>
          </w:p>
        </w:tc>
      </w:tr>
    </w:tbl>
    <w:p>
      <w:pPr>
        <w:spacing w:after="120"/>
      </w:pP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6. Decálogo del uso ético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1.  La IA apoya; el juez decide. No delegues la función jurisdiccional.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2.  Verifica siempre: ninguna salida de IA se usa sin comprobar su veracidad y sus fuentes.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3.  Revela el uso de la herramienta cuando incida en la actuación.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4.  Protege los datos: no introduzcas información sensible o reservada en herramientas no seguras.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5.  Motiva con razones propias; no copies sin comprender.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6.  Vigila los sesgos; protege con mayor rigor a los sujetos de especial protección.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7.  Usa solo herramientas idóneas y validadas.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8.  Deja rastro: documenta qué usaste, para qué y con qué resultado.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9.  Asume la responsabilidad; detrás de la máquina hay una persona responsable.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10.  Capacítate: usa la IA con comprensión crítica y no por inercia.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7. Lista de verificación ética (checklist)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¿La herramienta está autorizada y validada para esta tarea?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¿Su uso es idóneo, necesario y proporcionado?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¿Evité introducir datos sensibles o reservados en herramientas inseguras?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¿Verifiqué la veracidad del contenido y la existencia y vigencia de las fuentes?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¿El razonamiento y la motivación son propios y comprendidos?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¿Evalué posibles sesgos y su impacto en sujetos de especial protección?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¿Revelé el uso de la herramienta cuando correspondía?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¿Registré la trazabilidad del uso para auditoría?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☐  ¿Hay un responsable humano identificado de la actuación?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8. Deberes de revelación y motivación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La providencia debe precisar: (i) cómo se empleó la herramienta; (ii) para qué tarea; (iii) que el contenido fue verificado por el operador; y (iv) que la decisión y su motivación son fruto del razonamiento humano.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9. Tratamiento de datos en las tutelas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Aplicar la reserva sobre menores, víctimas y personas vulnerables; preferir versiones anonimizadas o seudonimizadas; restringir el tratamiento a la finalidad legítima y a herramientas seguras; prohibir la transferencia de datos sensibles a herramientas externas no autorizadas; y articular con la Ley 1581 de 2012, la Ley 1712 de 2014 y las reglas procesales de reserva.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10. Gobernanza, auditoría y responsabilidad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Instancia de supervisión institucional que autorice herramientas y supervise su uso; auditorías algorítmicas periódicas e independientes; régimen claro de responsabilidad del operador articulado con el régimen disciplinario; y capacitación continua mediante programas de alfabetización algorítmica inspirados en el Marco de competencias de la UNESCO, con revisión periódica del estándar.</w:t>
      </w:r>
    </w:p>
    <w:sectPr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  <w:lang w:val="es-CO"/>
      </w:rPr>
    </w:rPrDefault>
  </w:docDefaults>
  <w:style w:type="paragraph" w:default="1" w:styleId="Normal">
    <w:name w:val="Normal"/>
    <w:pPr>
      <w:spacing w:line="360" w:lineRule="auto"/>
    </w:pPr>
    <w:rPr>
      <w:rFonts w:ascii="Times New Roman" w:hAnsi="Times New Roman"/>
      <w:sz w:val="2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Footer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MANUAL DE BUENAS PRÁCTICAS PARA LA APLICACIÓN DE INTELIGENCIA ARTIFICIAL EN LA JURISDICCIÓN CONSTITUCIONAL</dc:title>
  <dc:creator>Ponencia</dc:creator>
  <dc:language>es-CO</dc:language>
</cp:coreProperties>
</file>