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spacing w:after="0"/>
      </w:pPr>
    </w:p>
    <w:p>
      <w:pPr>
        <w:spacing w:after="0"/>
      </w:pPr>
    </w:p>
    <w:p>
      <w:pPr>
        <w:spacing w:after="0"/>
      </w:pPr>
    </w:p>
    <w:p>
      <w:pPr>
        <w:spacing w:before="0" w:after="120" w:line="360" w:lineRule="auto"/>
        <w:jc w:val="center"/>
      </w:pPr>
      <w:r>
        <w:rPr>
          <w:rFonts w:ascii="Times New Roman" w:hAnsi="Times New Roman"/>
          <w:sz w:val="34"/>
          <w:szCs w:val="34"/>
          <w:b/>
        </w:rPr>
        <w:t xml:space="preserve">INTELIGENCIA ARTIFICIAL Y JUSTICIA CONSTITUCIONAL</w:t>
      </w:r>
    </w:p>
    <w:p>
      <w:pPr>
        <w:spacing w:before="0" w:after="200" w:line="360" w:lineRule="auto"/>
        <w:jc w:val="center"/>
      </w:pPr>
      <w:r>
        <w:rPr>
          <w:rFonts w:ascii="Times New Roman" w:hAnsi="Times New Roman"/>
          <w:sz w:val="28"/>
          <w:szCs w:val="28"/>
          <w:b/>
        </w:rPr>
        <w:t xml:space="preserve">Una evaluación de PretorIA a la luz de los principios constitucionales colombianos</w:t>
      </w:r>
    </w:p>
    <w:p>
      <w:pPr>
        <w:spacing w:after="0"/>
      </w:pPr>
    </w:p>
    <w:p>
      <w:pPr>
        <w:spacing w:after="0"/>
      </w:pPr>
    </w:p>
    <w:p>
      <w:pPr>
        <w:spacing w:before="0" w:after="120" w:line="360" w:lineRule="auto"/>
        <w:jc w:val="center"/>
      </w:pPr>
      <w:r>
        <w:rPr>
          <w:rFonts w:ascii="Times New Roman" w:hAnsi="Times New Roman"/>
          <w:sz w:val="24"/>
          <w:szCs w:val="24"/>
        </w:rPr>
        <w:t xml:space="preserve">Ponencia para el Derecho Constitucional Procesal Colombiano</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before="0" w:after="80" w:line="360" w:lineRule="auto"/>
        <w:jc w:val="center"/>
      </w:pPr>
      <w:r>
        <w:rPr>
          <w:rFonts w:ascii="Times New Roman" w:hAnsi="Times New Roman"/>
          <w:sz w:val="24"/>
          <w:szCs w:val="24"/>
        </w:rPr>
        <w:t xml:space="preserve">Bogotá D.C., Colombia</w:t>
      </w:r>
    </w:p>
    <w:p>
      <w:pPr>
        <w:spacing w:before="0" w:after="80" w:line="360" w:lineRule="auto"/>
        <w:jc w:val="center"/>
      </w:pPr>
      <w:r>
        <w:rPr>
          <w:rFonts w:ascii="Times New Roman" w:hAnsi="Times New Roman"/>
          <w:sz w:val="24"/>
          <w:szCs w:val="24"/>
        </w:rPr>
        <w:t xml:space="preserve">2026</w:t>
      </w:r>
    </w:p>
    <w:p>
      <w:r>
        <w:br w:type="page"/>
      </w:r>
    </w:p>
    <w:p>
      <w:pPr>
        <w:spacing w:line="360" w:lineRule="auto" w:before="0" w:after="120"/>
        <w:jc w:val="both"/>
        <w:ind w:firstLine="708"/>
      </w:pPr>
      <w:r>
        <w:rPr>
          <w:rFonts w:ascii="Times New Roman" w:hAnsi="Times New Roman"/>
          <w:sz w:val="24"/>
          <w:szCs w:val="24"/>
          <w:b/>
        </w:rPr>
        <w:t xml:space="preserve">Ponencia para el Derecho Constitucional Procesal Colombiano</w:t>
      </w:r>
    </w:p>
    <w:p>
      <w:pPr>
        <w:spacing w:line="360" w:lineRule="auto" w:before="0" w:after="120"/>
        <w:jc w:val="both"/>
      </w:pPr>
      <w:r>
        <w:rPr>
          <w:rFonts w:ascii="Times New Roman" w:hAnsi="Times New Roman"/>
          <w:sz w:val="24"/>
          <w:szCs w:val="24"/>
          <w:b/>
        </w:rPr>
        <w:t xml:space="preserve">Resumen.</w:t>
      </w:r>
      <w:r>
        <w:rPr>
          <w:rFonts w:ascii="Times New Roman" w:hAnsi="Times New Roman"/>
          <w:sz w:val="24"/>
          <w:szCs w:val="24"/>
        </w:rPr>
        <w:t xml:space="preserve"> La presente ponencia examina, desde la óptica del derecho constitucional procesal colombiano, la incorporación de la inteligencia artificial (IA) a la función jurisdiccional de la Corte Constitucional a través de la herramienta PretorIA, un sistema de lectura y caracterización automatizada de las solicitudes de tutela que apoya la fase de selección para revisión eventual prevista en el artículo 241.9 de la Constitución Política. A partir de la reconstrucción del marco normativo y jurisprudencial nacional —con especial atención a las sentencias T-323 de 2024 y T-067 de 2025, y a los pronunciamientos más recientes sobre decisiones automatizadas (T-148 y T-174 de 2026)—, se describe la arquitectura, el funcionamiento y el alcance de PretorIA y se efectúa una evaluación de su conformidad frente a los estándares jurídicos que la propia Corte ha decantado para el uso de sistemas algorítmicos en el ámbito judicial. Se concluye que PretorIA, en tanto herramienta de apoyo no decisoria sujeta a control humano significativo, resulta compatible con las garantías del debido proceso, el juez natural y el acceso a la administración de justicia, siempre que se preserven la transparencia, la trazabilidad, la protección de datos personales y la supervisión humana efectiva.</w:t>
      </w:r>
    </w:p>
    <w:p>
      <w:pPr>
        <w:spacing w:line="360" w:lineRule="auto" w:before="0" w:after="120"/>
        <w:jc w:val="both"/>
      </w:pPr>
      <w:r>
        <w:rPr>
          <w:rFonts w:ascii="Times New Roman" w:hAnsi="Times New Roman"/>
          <w:sz w:val="24"/>
          <w:szCs w:val="24"/>
          <w:b/>
        </w:rPr>
        <w:t xml:space="preserve">Palabras clave:</w:t>
      </w:r>
      <w:r>
        <w:rPr>
          <w:rFonts w:ascii="Times New Roman" w:hAnsi="Times New Roman"/>
          <w:sz w:val="24"/>
          <w:szCs w:val="24"/>
        </w:rPr>
        <w:t xml:space="preserve"> inteligencia artificial, PretorIA, acción de tutela, revisión eventual, debido proceso, derecho constitucional procesal, Corte Constitucional de Colombia.</w:t>
      </w:r>
    </w:p>
    <w:p>
      <w:pPr>
        <w:spacing w:before="360" w:after="160" w:line="360" w:lineRule="auto"/>
        <w:jc w:val="left"/>
        <w:keepNext/>
      </w:pPr>
      <w:r>
        <w:rPr>
          <w:rFonts w:ascii="Times New Roman" w:hAnsi="Times New Roman"/>
          <w:b/>
          <w:sz w:val="30"/>
          <w:szCs w:val="30"/>
        </w:rPr>
        <w:t xml:space="preserve">1. Introducción</w:t>
      </w:r>
    </w:p>
    <w:p>
      <w:pPr>
        <w:spacing w:line="360" w:lineRule="auto" w:before="0" w:after="120"/>
        <w:jc w:val="both"/>
        <w:ind w:firstLine="708"/>
      </w:pPr>
      <w:r>
        <w:rPr>
          <w:rFonts w:ascii="Times New Roman" w:hAnsi="Times New Roman"/>
          <w:sz w:val="24"/>
          <w:szCs w:val="24"/>
        </w:rPr>
        <w:t xml:space="preserve">La administración de justicia constitucional en Colombia atraviesa, desde la expedición de la Constitución Política de 1991, una tensión estructural entre la vocación garantista de la acción de tutela y las limitaciones materiales de un aparato judicial que debe tramitar volúmenes crecientes de solicitudes de amparo. La acción de tutela, consagrada en el artículo 86 de la Carta, fue concebida como un mecanismo preferente y sumario para la protección inmediata de los derechos fundamentales, accesible sin mayores formalismos a cualquier persona. Su éxito ciudadano, sin embargo, se ha traducido en una expansión cuantitativa sin precedentes: la Corte Constitucional recibe anualmente varios cientos de miles de expedientes de tutela para los efectos de la eventual revisión que le encomienda el artículo 241, numeral 9, de la Constitución. Esta realidad ha planteado un desafío de gestión que desborda las capacidades tradicionales de lectura y clasificación manual y que, de no atenderse, amenaza la propia eficacia del control constitucional concreto.</w:t>
      </w:r>
    </w:p>
    <w:p>
      <w:pPr>
        <w:spacing w:line="360" w:lineRule="auto" w:before="0" w:after="120"/>
        <w:jc w:val="both"/>
        <w:ind w:firstLine="708"/>
      </w:pPr>
      <w:r>
        <w:rPr>
          <w:rFonts w:ascii="Times New Roman" w:hAnsi="Times New Roman"/>
          <w:sz w:val="24"/>
          <w:szCs w:val="24"/>
        </w:rPr>
        <w:t xml:space="preserve">En ese contexto surge PretorIA, una herramienta de inteligencia artificial desarrollada por la Corte Constitucional con apoyo de aliados técnicos y académicos, cuyo propósito declarado es asistir a las Salas de Selección en la lectura, clasificación y caracterización masiva de las solicitudes de tutela que llegan a la Corporación. PretorIA no decide qué expedientes se seleccionan ni cómo se resuelven; su función es instrumental: permite identificar, agrupar y priorizar expedientes según criterios temáticos previamente definidos, de modo que los magistrados puedan ejercer su competencia de selección sobre una base informativa más completa y oportuna. Se trata, por tanto, de una manifestación concreta del fenómeno que la doctrina ha denominado "justicia digital" o "transformación digital de la justicia", y que en el plano constitucional procesal obliga a preguntarse por la compatibilidad de estas tecnologías con las garantías que estructuran el debido proceso.</w:t>
      </w:r>
    </w:p>
    <w:p>
      <w:pPr>
        <w:spacing w:line="360" w:lineRule="auto" w:before="0" w:after="120"/>
        <w:jc w:val="both"/>
        <w:ind w:firstLine="708"/>
      </w:pPr>
      <w:r>
        <w:rPr>
          <w:rFonts w:ascii="Times New Roman" w:hAnsi="Times New Roman"/>
          <w:sz w:val="24"/>
          <w:szCs w:val="24"/>
        </w:rPr>
        <w:t xml:space="preserve">La incorporación de la IA a la función judicial no es un fenómeno neutro desde el punto de vista jurídico. Por el contrario, suscita interrogantes de hondo calado constitucional: ¿hasta qué punto puede un sistema automatizado intervenir en actuaciones que comprometen derechos fundamentales sin vulnerar el principio del juez natural? ¿Qué exigencias de transparencia, motivación y trazabilidad deben satisfacerse para que la actuación algorítmica sea compatible con el debido proceso del artículo 29 superior? ¿Cómo se concilia el tratamiento automatizado de datos personales sensibles —los que típicamente contienen las tutelas en materia de salud, seguridad social o vida íntima— con el derecho al habeas data del artículo 15 de la Constitución? Estas preguntas, lejos de ser meramente teóricas, han comenzado a recibir respuestas jurisprudenciales concretas a partir de la sentencia T-323 de 2024, primer pronunciamiento de fondo de la Corte Constitucional sobre el uso de IA en la actividad judicial, y de la sentencia T-067 de 2025, que profundizó el marco de gobernanza algorítmica aplicable a las entidades públicas.</w:t>
      </w:r>
    </w:p>
    <w:p>
      <w:pPr>
        <w:spacing w:line="360" w:lineRule="auto" w:before="0" w:after="120"/>
        <w:jc w:val="both"/>
        <w:ind w:firstLine="708"/>
      </w:pPr>
      <w:r>
        <w:rPr>
          <w:rFonts w:ascii="Times New Roman" w:hAnsi="Times New Roman"/>
          <w:sz w:val="24"/>
          <w:szCs w:val="24"/>
        </w:rPr>
        <w:t xml:space="preserve">El propósito de esta ponencia es ofrecer un análisis sistemático de PretorIA desde la perspectiva del derecho constitucional procesal colombiano. Para ello se asume una premisa metodológica fundamental: la legitimidad constitucional de una herramienta de IA judicial no depende de su sofisticación técnica, sino de su capacidad para insertarse en el proceso constitucional sin desnaturalizar las garantías que lo informan. Dicho de otro modo, el problema no es si la Corte puede valerse de la inteligencia artificial —algo que el ordenamiento permite e incluso fomenta a través de la política de transformación digital del Estado—, sino bajo qué condiciones y con qué límites puede hacerlo sin sacrificar la centralidad del juez, la igualdad de las partes y la confianza ciudadana en la administración de justicia.</w:t>
      </w:r>
    </w:p>
    <w:p>
      <w:pPr>
        <w:spacing w:line="360" w:lineRule="auto" w:before="0" w:after="120"/>
        <w:jc w:val="both"/>
        <w:ind w:firstLine="708"/>
      </w:pPr>
      <w:r>
        <w:rPr>
          <w:rFonts w:ascii="Times New Roman" w:hAnsi="Times New Roman"/>
          <w:sz w:val="24"/>
          <w:szCs w:val="24"/>
        </w:rPr>
        <w:t xml:space="preserve">La ponencia se estructura en cinco partes. Tras esta introducción, la segunda sección reconstruye el marco normativo y jurisprudencial nacional sobre la inteligencia artificial, articulando las disposiciones constitucionales, legales y de política pública con la línea jurisprudencial que la Corte Constitucional ha venido decantando. La tercera sección describe la arquitectura, el funcionamiento y el alcance de PretorIA, situándola dentro del procedimiento de revisión eventual y diferenciándola de otras experiencias regionales como la herramienta Prometea. La cuarta sección efectúa una evaluación de conformidad de PretorIA frente a los estándares jurídicos decantados por la jurisprudencia para el uso de IA, examinando puntualmente la supervisión humana, la no sustitución del razonamiento judicial, la transparencia, la protección de datos personales, la igualdad y no discriminación, y el acceso a la administración de justicia. Finalmente, la quinta sección presenta las conclusiones, que sintetizan los hallazgos y formulan recomendaciones orientadas a fortalecer la gobernanza constitucional de la herramienta.</w:t>
      </w:r>
    </w:p>
    <w:p>
      <w:pPr>
        <w:spacing w:line="360" w:lineRule="auto" w:before="0" w:after="120"/>
        <w:jc w:val="both"/>
        <w:ind w:firstLine="708"/>
      </w:pPr>
      <w:r>
        <w:rPr>
          <w:rFonts w:ascii="Times New Roman" w:hAnsi="Times New Roman"/>
          <w:sz w:val="24"/>
          <w:szCs w:val="24"/>
        </w:rPr>
        <w:t xml:space="preserve">El abordaje que se propone es, ante todo, procesal-constitucional. No se trata de una evaluación técnica del rendimiento del algoritmo ni de un estudio de política pública sobre transformación digital, sino de un examen de las garantías procesales constitucionales comprometidas en el uso de PretorIA. Esta delimitación resulta pertinente porque el derecho constitucional procesal —entendido como el conjunto de principios y reglas que disciplinan el proceso como instrumento de realización de los derechos fundamentales— provee el marco analítico idóneo para valorar una herramienta que opera precisamente en el corazón del procedimiento de revisión: la selección de los expedientes que merecerán el pronunciamiento del máximo intérprete de la Constitución.</w:t>
      </w:r>
    </w:p>
    <w:p>
      <w:pPr>
        <w:spacing w:before="360" w:after="160" w:line="360" w:lineRule="auto"/>
        <w:jc w:val="left"/>
        <w:keepNext/>
      </w:pPr>
      <w:r>
        <w:rPr>
          <w:rFonts w:ascii="Times New Roman" w:hAnsi="Times New Roman"/>
          <w:b/>
          <w:sz w:val="30"/>
          <w:szCs w:val="30"/>
        </w:rPr>
        <w:t xml:space="preserve">2. Marco Normativo y Jurisprudencial sobre la Inteligencia Artificial: Perspectiva Nacional</w:t>
      </w:r>
    </w:p>
    <w:p>
      <w:pPr>
        <w:spacing w:before="240" w:after="120" w:line="360" w:lineRule="auto"/>
        <w:jc w:val="left"/>
        <w:keepNext/>
      </w:pPr>
      <w:r>
        <w:rPr>
          <w:rFonts w:ascii="Times New Roman" w:hAnsi="Times New Roman"/>
          <w:b/>
          <w:sz w:val="26"/>
          <w:szCs w:val="26"/>
        </w:rPr>
        <w:t xml:space="preserve">2.1. Fundamentos constitucionales del proceso de revisión y su digitalización</w:t>
      </w:r>
    </w:p>
    <w:p>
      <w:pPr>
        <w:spacing w:line="360" w:lineRule="auto" w:before="0" w:after="120"/>
        <w:jc w:val="both"/>
        <w:ind w:firstLine="708"/>
      </w:pPr>
      <w:r>
        <w:rPr>
          <w:rFonts w:ascii="Times New Roman" w:hAnsi="Times New Roman"/>
          <w:sz w:val="24"/>
          <w:szCs w:val="24"/>
        </w:rPr>
        <w:t xml:space="preserve">El punto de partida de cualquier análisis sobre PretorIA es el diseño constitucional de la revisión eventual de tutelas. El artículo 86 de la Constitución Política consagra la acción de tutela como mecanismo de protección inmediata de los derechos fundamentales, mientras que el artículo 241, numeral 9, atribuye a la Corte Constitucional la función de "revisar, en la forma que determine la ley, las decisiones judiciales relacionadas con la acción de tutela de los derechos constitucionales". Esta competencia tiene una naturaleza singular: no es una instancia ordinaria de impugnación, sino una facultad discrecional de selección orientada a la unificación de la jurisprudencia, la corrección de yerros protuberantes y la pedagogía constitucional. El Decreto 2591 de 1991, por el cual se reglamenta la acción de tutela, desarrolla esta competencia en sus artículos 31 a 36, estableciendo que todos los fallos de tutela se remiten a la Corte para su eventual revisión y que las Salas de Selección, integradas por magistrados de la Corporación, escogen discrecionalmente los expedientes que serán revisados.</w:t>
      </w:r>
    </w:p>
    <w:p>
      <w:pPr>
        <w:spacing w:line="360" w:lineRule="auto" w:before="0" w:after="120"/>
        <w:jc w:val="both"/>
        <w:ind w:firstLine="708"/>
      </w:pPr>
      <w:r>
        <w:rPr>
          <w:rFonts w:ascii="Times New Roman" w:hAnsi="Times New Roman"/>
          <w:sz w:val="24"/>
          <w:szCs w:val="24"/>
        </w:rPr>
        <w:t xml:space="preserve">La discrecionalidad de la selección es un rasgo definitorio del modelo colombiano. A diferencia de un recurso reglado, la decisión de seleccionar o no un expediente no requiere, en principio, una motivación exhaustiva, aunque la jurisprudencia ha admitido mecanismos de insistencia y ha precisado que la selección debe atender a criterios objetivos previamente definidos —tales como la unificación de jurisprudencia, la novedad del asunto, la gravedad de la vulneración o la necesidad de pronunciarse sobre un tema de relevancia constitucional—. El Reglamento Interno de la Corte Constitucional (Acuerdo 02 de 2015) y sus modificaciones desarrollan los criterios orientadores de la selección y la composición y funcionamiento de las Salas de Selección. Es precisamente en esta fase —la lectura masiva de expedientes para identificar aquellos que satisfacen los criterios de selección— donde PretorIA encuentra su nicho funcional.</w:t>
      </w:r>
    </w:p>
    <w:p>
      <w:pPr>
        <w:spacing w:line="360" w:lineRule="auto" w:before="0" w:after="120"/>
        <w:jc w:val="both"/>
        <w:ind w:firstLine="708"/>
      </w:pPr>
      <w:r>
        <w:rPr>
          <w:rFonts w:ascii="Times New Roman" w:hAnsi="Times New Roman"/>
          <w:sz w:val="24"/>
          <w:szCs w:val="24"/>
        </w:rPr>
        <w:t xml:space="preserve">La digitalización de esta actuación encuentra respaldo normativo en un robusto cuerpo de disposiciones sobre el uso de las tecnologías de la información y las comunicaciones (TIC) en la administración de justicia. El Decreto Legislativo 806 de 2020, expedido en el marco de la emergencia sanitaria, implementó el uso de las TIC en las actuaciones judiciales para agilizar los procesos y flexibilizar la atención a los usuarios. Posteriormente, la Ley 2213 de 2022 dio carácter permanente a estas medidas, consolidando un marco legal que habilita y promueve la incorporación de herramientas tecnológicas en la función jurisdiccional. Esta misma Ley 2213 fue invocada, en el plano de la justicia ordinaria, como fundamento para el uso de herramientas de IA generativa en la elaboración de providencias, lo que precipitó el debate que desembocó en la sentencia T-323 de 2024.</w:t>
      </w:r>
    </w:p>
    <w:p>
      <w:pPr>
        <w:spacing w:before="240" w:after="120" w:line="360" w:lineRule="auto"/>
        <w:jc w:val="left"/>
        <w:keepNext/>
      </w:pPr>
      <w:r>
        <w:rPr>
          <w:rFonts w:ascii="Times New Roman" w:hAnsi="Times New Roman"/>
          <w:b/>
          <w:sz w:val="26"/>
          <w:szCs w:val="26"/>
        </w:rPr>
        <w:t xml:space="preserve">2.2. El marco de política pública: transformación digital e inteligencia artificial</w:t>
      </w:r>
    </w:p>
    <w:p>
      <w:pPr>
        <w:spacing w:line="360" w:lineRule="auto" w:before="0" w:after="120"/>
        <w:jc w:val="both"/>
        <w:ind w:firstLine="708"/>
      </w:pPr>
      <w:r>
        <w:rPr>
          <w:rFonts w:ascii="Times New Roman" w:hAnsi="Times New Roman"/>
          <w:sz w:val="24"/>
          <w:szCs w:val="24"/>
        </w:rPr>
        <w:t xml:space="preserve">En el plano de la política pública, Colombia ha construido un andamiaje orientado a la adopción ética y responsable de la inteligencia artificial. El documento CONPES 3975 de 2019 estableció la Política Nacional para la Transformación Digital e Inteligencia Artificial, fijando los lineamientos para el desarrollo de capacidades en IA y la mitigación de los riesgos asociados a su uso por parte del Estado. A partir de esta política se expidieron instrumentos complementarios, como el Marco Ético para la Inteligencia Artificial en Colombia y las recomendaciones para el uso y aprovechamiento de la IA en las entidades públicas, que recogen principios de transparencia, responsabilidad, privacidad, seguridad, no discriminación y supervisión humana.</w:t>
      </w:r>
    </w:p>
    <w:p>
      <w:pPr>
        <w:spacing w:line="360" w:lineRule="auto" w:before="0" w:after="120"/>
        <w:jc w:val="both"/>
        <w:ind w:firstLine="708"/>
      </w:pPr>
      <w:r>
        <w:rPr>
          <w:rFonts w:ascii="Times New Roman" w:hAnsi="Times New Roman"/>
          <w:sz w:val="24"/>
          <w:szCs w:val="24"/>
        </w:rPr>
        <w:t xml:space="preserve">Estos instrumentos de soft law nacional dialogan con estándares internacionales de creciente influencia, entre los que destaca la Recomendación sobre la Ética de la Inteligencia Artificial adoptada por la UNESCO en 2021, primer instrumento normativo global en la materia, que articula principios como la proporcionalidad, la no maleficencia, la equidad, la sostenibilidad, la supervisión y determinación humanas, la transparencia y explicabilidad, y la responsabilidad y rendición de cuentas. La relevancia de estos marcos para el caso colombiano no es meramente ilustrativa: la Corte Constitucional, en la sentencia T-323 de 2024, acudió a ellos como fuente material para decantar los criterios orientadores del uso de IA en el ámbito judicial, en ejercicio de una interpretación que integra el bloque de constitucionalidad con los estándares técnicos y éticos internacionalmente aceptados.</w:t>
      </w:r>
    </w:p>
    <w:p>
      <w:pPr>
        <w:spacing w:before="240" w:after="120" w:line="360" w:lineRule="auto"/>
        <w:jc w:val="left"/>
        <w:keepNext/>
      </w:pPr>
      <w:r>
        <w:rPr>
          <w:rFonts w:ascii="Times New Roman" w:hAnsi="Times New Roman"/>
          <w:b/>
          <w:sz w:val="26"/>
          <w:szCs w:val="26"/>
        </w:rPr>
        <w:t xml:space="preserve">2.3. La protección de datos personales como límite transversal</w:t>
      </w:r>
    </w:p>
    <w:p>
      <w:pPr>
        <w:spacing w:line="360" w:lineRule="auto" w:before="0" w:after="120"/>
        <w:jc w:val="both"/>
        <w:ind w:firstLine="708"/>
      </w:pPr>
      <w:r>
        <w:rPr>
          <w:rFonts w:ascii="Times New Roman" w:hAnsi="Times New Roman"/>
          <w:sz w:val="24"/>
          <w:szCs w:val="24"/>
        </w:rPr>
        <w:t xml:space="preserve">Un componente normativo ineludible es el régimen de protección de datos personales, en la medida en que las solicitudes de tutela contienen, por su propia naturaleza, información personal y frecuentemente datos sensibles. El artículo 15 de la Constitución consagra el derecho fundamental al habeas data, que comprende las facultades de conocer, actualizar y rectificar la información que sobre la persona reposa en bases de datos. La Ley Estatutaria 1581 de 2012 desarrolla este derecho y establece un régimen especialmente estricto para el tratamiento de datos sensibles —entre ellos los relativos a la salud, la vida sexual, las convicciones, la pertenencia a grupos étnicos o las afiliaciones políticas—, cuyo tratamiento está sometido a autorización cualificada y a finalidades legítimas y proporcionadas.</w:t>
      </w:r>
    </w:p>
    <w:p>
      <w:pPr>
        <w:spacing w:line="360" w:lineRule="auto" w:before="0" w:after="120"/>
        <w:jc w:val="both"/>
        <w:ind w:firstLine="708"/>
      </w:pPr>
      <w:r>
        <w:rPr>
          <w:rFonts w:ascii="Times New Roman" w:hAnsi="Times New Roman"/>
          <w:sz w:val="24"/>
          <w:szCs w:val="24"/>
        </w:rPr>
        <w:t xml:space="preserve">Para una herramienta como PretorIA, que procesa masivamente el contenido textual de las tutelas, este régimen impone exigencias de minimización, finalidad, seguridad y confidencialidad. El tratamiento automatizado de datos sensibles incorporados a expedientes judiciales debe respetar los principios de la Ley 1581 de 2012 y articularse con las reglas procesales sobre reserva, publicidad y anonimización que rigen en la jurisdicción constitucional. La tensión entre la eficiencia del procesamiento masivo y la protección de la intimidad constituye uno de los ejes críticos de la evaluación de conformidad que se aborda en la sección cuarta.</w:t>
      </w:r>
    </w:p>
    <w:p>
      <w:pPr>
        <w:spacing w:before="240" w:after="120" w:line="360" w:lineRule="auto"/>
        <w:jc w:val="left"/>
        <w:keepNext/>
      </w:pPr>
      <w:r>
        <w:rPr>
          <w:rFonts w:ascii="Times New Roman" w:hAnsi="Times New Roman"/>
          <w:b/>
          <w:sz w:val="26"/>
          <w:szCs w:val="26"/>
        </w:rPr>
        <w:t xml:space="preserve">2.4. La línea jurisprudencial: de la T-323 de 2024 a las decisiones sobre actuaciones automatizadas</w:t>
      </w:r>
    </w:p>
    <w:p>
      <w:pPr>
        <w:spacing w:line="360" w:lineRule="auto" w:before="0" w:after="120"/>
        <w:jc w:val="both"/>
        <w:ind w:firstLine="708"/>
      </w:pPr>
      <w:r>
        <w:rPr>
          <w:rFonts w:ascii="Times New Roman" w:hAnsi="Times New Roman"/>
          <w:sz w:val="24"/>
          <w:szCs w:val="24"/>
        </w:rPr>
        <w:t xml:space="preserve">El hito jurisprudencial fundamental es la sentencia T-323 de 2024, en la que la Corte Constitucional se pronunció por primera vez de fondo sobre el uso de la inteligencia artificial en la actividad judicial. El caso tuvo origen en una providencia de segunda instancia en la que el juez admitió haberse apoyado en una herramienta de IA generativa (ChatGPT) para resolver una controversia sobre derechos de un menor con trastorno del espectro autista. La Corte analizó si el uso de IA en la motivación de una decisión judicial vulneraba el debido proceso, particularmente en lo relativo a la garantía del juez natural y a la exigencia de que las decisiones sean fruto del razonamiento humano del funcionario competente.</w:t>
      </w:r>
    </w:p>
    <w:p>
      <w:pPr>
        <w:spacing w:line="360" w:lineRule="auto" w:before="0" w:after="120"/>
        <w:jc w:val="both"/>
        <w:ind w:firstLine="708"/>
      </w:pPr>
      <w:r>
        <w:rPr>
          <w:rFonts w:ascii="Times New Roman" w:hAnsi="Times New Roman"/>
          <w:sz w:val="24"/>
          <w:szCs w:val="24"/>
        </w:rPr>
        <w:t xml:space="preserve">La Corte concluyó que el uso de herramientas de IA en la administración de justicia no está prohibido per se, pues puede contribuir a la eficiencia y a la gestión de los despachos, pero precisó que su empleo debe sujetarse a una serie de criterios orientadores destinados a preservar las garantías fundamentales. Entre tales criterios, la jurisprudencia ha destacado: (i) la transparencia, que impone revelar el uso de la herramienta y permitir su escrutinio; (ii) la responsabilidad y rendición de cuentas, que mantiene en cabeza del funcionario humano la autoría y la responsabilidad de la decisión; (iii) la prevención de riesgos y la no maleficencia; (iv) la privacidad y la protección de datos; (v) la no sustitución de la racionalidad y la discrecionalidad humanas, de modo que la IA no reemplace el juicio del operador judicial; (vi) la idoneidad y el control humano significativo sobre el resultado; y (vii) la no discriminación y el respeto a la igualdad. La Corte subrayó que la IA puede usarse en fases de apoyo, gestión y organización, pero no para sustituir la función de adjudicación, que es indelegable y propia del juez.</w:t>
      </w:r>
    </w:p>
    <w:p>
      <w:pPr>
        <w:spacing w:line="360" w:lineRule="auto" w:before="0" w:after="120"/>
        <w:jc w:val="both"/>
        <w:ind w:firstLine="708"/>
      </w:pPr>
      <w:r>
        <w:rPr>
          <w:rFonts w:ascii="Times New Roman" w:hAnsi="Times New Roman"/>
          <w:sz w:val="24"/>
          <w:szCs w:val="24"/>
        </w:rPr>
        <w:t xml:space="preserve">La sentencia T-067 de 2025 amplió y profundizó este marco. Según el análisis especializado disponible, la Corte reconoció que cuando las herramientas algorítmicas son desplegadas por entidades públicas adquieren un carácter cuasi-institucional y, por tanto, quedan sometidas a escrutinio constitucional [contenido reformulado a partir de análisis publicado]. Este desarrollo es decisivo para PretorIA, pues confirma que un sistema de IA empleado por la propia Corte Constitucional no es un mero instrumento técnico ajeno al control de constitucionalidad, sino una actuación pública que debe satisfacer las garantías del debido proceso y los principios de la función administrativa y jurisdiccional.</w:t>
      </w:r>
    </w:p>
    <w:p>
      <w:pPr>
        <w:spacing w:line="360" w:lineRule="auto" w:before="0" w:after="120"/>
        <w:jc w:val="both"/>
        <w:ind w:firstLine="708"/>
      </w:pPr>
      <w:r>
        <w:rPr>
          <w:rFonts w:ascii="Times New Roman" w:hAnsi="Times New Roman"/>
          <w:sz w:val="24"/>
          <w:szCs w:val="24"/>
        </w:rPr>
        <w:t xml:space="preserve">Finalmente, la jurisprudencia más reciente ha extendido las garantías del debido proceso al ámbito de las decisiones automatizadas adoptadas por particulares. Las sentencias T-148 de 2026 y T-174 de 2026, proferidas en casos de bloqueo o desactivación de cuentas de trabajadores de plataformas digitales, precisaron que el debido proceso debe observarse en las relaciones entre usuarios y plataformas cuando estas se arrogan la facultad de imponer sanciones o consecuencias negativas con base en sus reglamentos y mediante sistemas automatizados. En la T-148 de 2026, la Sala Octava de Revisión amparó los derechos de un repartidor cuya cuenta fue bloqueada sin explicación, reprochando la falta de legalidad, de posibilidad de defensa y de motivación de la decisión automatizada. Aunque estos casos se refieren a decisiones algorítmicas privadas, su ratio decidendi es plenamente trasladable al sector público: toda decisión que afecte derechos y se apoye en sistemas automatizados debe ser transparente, motivada y susceptible de contradicción. Esta línea robustece, por vía de coherencia, las exigencias aplicables a una herramienta como PretorIA.</w:t>
      </w:r>
    </w:p>
    <w:p>
      <w:pPr>
        <w:spacing w:before="240" w:after="120" w:line="360" w:lineRule="auto"/>
        <w:jc w:val="left"/>
        <w:keepNext/>
      </w:pPr>
      <w:r>
        <w:rPr>
          <w:rFonts w:ascii="Times New Roman" w:hAnsi="Times New Roman"/>
          <w:b/>
          <w:sz w:val="26"/>
          <w:szCs w:val="26"/>
        </w:rPr>
        <w:t xml:space="preserve">2.5. El debido proceso digital como categoría emergente del derecho constitucional procesal</w:t>
      </w:r>
    </w:p>
    <w:p>
      <w:pPr>
        <w:spacing w:line="360" w:lineRule="auto" w:before="0" w:after="120"/>
        <w:jc w:val="both"/>
        <w:ind w:firstLine="708"/>
      </w:pPr>
      <w:r>
        <w:rPr>
          <w:rFonts w:ascii="Times New Roman" w:hAnsi="Times New Roman"/>
          <w:sz w:val="24"/>
          <w:szCs w:val="24"/>
        </w:rPr>
        <w:t xml:space="preserve">La convergencia entre las garantías procesales clásicas y las exigencias derivadas del uso de tecnologías ha dado lugar a lo que la doctrina y, cada vez con mayor nitidez, la jurisprudencia denominan "debido proceso digital" o "debido proceso algorítmico". Esta categoría emergente no constituye un derecho fundamental autónomo distinto del consagrado en el artículo 29 superior, sino una relectura del debido proceso a la luz de los desafíos que plantean la automatización y el tratamiento masivo de información. Sus contenidos esenciales pueden sistematizarse en cuatro garantías: (i) el derecho a conocer que una actuación se apoya en sistemas automatizados; (ii) el derecho a una explicación comprensible de la lógica que rige tales sistemas; (iii) el derecho a la contradicción y a la impugnación de los resultados automatizados; y (iv) el derecho a una intervención humana significativa en las decisiones que afecten derechos.</w:t>
      </w:r>
    </w:p>
    <w:p>
      <w:pPr>
        <w:spacing w:line="360" w:lineRule="auto" w:before="0" w:after="120"/>
        <w:jc w:val="both"/>
        <w:ind w:firstLine="708"/>
      </w:pPr>
      <w:r>
        <w:rPr>
          <w:rFonts w:ascii="Times New Roman" w:hAnsi="Times New Roman"/>
          <w:sz w:val="24"/>
          <w:szCs w:val="24"/>
        </w:rPr>
        <w:t xml:space="preserve">La pertinencia de esta categoría para el análisis de PretorIA es evidente. Aunque la herramienta no adopta decisiones que afecten directamente derechos sustanciales, sí interviene en una actuación procesal —la preparación de la selección— que tiene relevancia constitucional. El debido proceso digital provee, así, el marco conceptual que permite trasladar las garantías procesales clásicas al entorno tecnológico, evitando que la digitalización opere como un espacio de excepción a los principios que disciplinan el ejercicio del poder público. Las sentencias T-148 y T-174 de 2026, al exigir transparencia, motivación y contradicción frente a decisiones automatizadas de particulares, confirman que esta categoría ha adquirido carta de naturaleza en el ordenamiento colombiano y que sus exigencias son extensibles, con mayor razón, a la actuación de las autoridades públicas.</w:t>
      </w:r>
    </w:p>
    <w:p>
      <w:pPr>
        <w:spacing w:line="360" w:lineRule="auto" w:before="0" w:after="120"/>
        <w:jc w:val="both"/>
        <w:ind w:firstLine="708"/>
      </w:pPr>
      <w:r>
        <w:rPr>
          <w:rFonts w:ascii="Times New Roman" w:hAnsi="Times New Roman"/>
          <w:sz w:val="24"/>
          <w:szCs w:val="24"/>
        </w:rPr>
        <w:t xml:space="preserve">Conviene insistir en que el derecho constitucional procesal colombiano se ha caracterizado por una concepción instrumental del proceso: este no es un fin en sí mismo, sino un medio para la realización efectiva de los derechos sustanciales. Desde esta perspectiva, la incorporación de herramientas tecnológicas debe valorarse en función de su aptitud para servir a esa finalidad. Una herramienta como PretorIA será constitucionalmente legítima en la medida en que contribuya a que la Corte cumpla mejor su función de garante de la supremacía constitucional y de la integridad de los derechos fundamentales, y no cuando se convierta en un obstáculo formal o en una fuente de exclusión. El criterio rector, por tanto, es la funcionalidad garantista: la tecnología al servicio del proceso, y el proceso al servicio de los derechos.</w:t>
      </w:r>
    </w:p>
    <w:p>
      <w:pPr>
        <w:spacing w:before="360" w:after="160" w:line="360" w:lineRule="auto"/>
        <w:jc w:val="left"/>
        <w:keepNext/>
      </w:pPr>
      <w:r>
        <w:rPr>
          <w:rFonts w:ascii="Times New Roman" w:hAnsi="Times New Roman"/>
          <w:b/>
          <w:sz w:val="30"/>
          <w:szCs w:val="30"/>
        </w:rPr>
        <w:t xml:space="preserve">3. Arquitectura, Funcionamiento y Alcance de PretorIA</w:t>
      </w:r>
    </w:p>
    <w:p>
      <w:pPr>
        <w:spacing w:before="240" w:after="120" w:line="360" w:lineRule="auto"/>
        <w:jc w:val="left"/>
        <w:keepNext/>
      </w:pPr>
      <w:r>
        <w:rPr>
          <w:rFonts w:ascii="Times New Roman" w:hAnsi="Times New Roman"/>
          <w:b/>
          <w:sz w:val="26"/>
          <w:szCs w:val="26"/>
        </w:rPr>
        <w:t xml:space="preserve">3.1. Origen y propósito institucional</w:t>
      </w:r>
    </w:p>
    <w:p>
      <w:pPr>
        <w:spacing w:line="360" w:lineRule="auto" w:before="0" w:after="120"/>
        <w:jc w:val="both"/>
        <w:ind w:firstLine="708"/>
      </w:pPr>
      <w:r>
        <w:rPr>
          <w:rFonts w:ascii="Times New Roman" w:hAnsi="Times New Roman"/>
          <w:sz w:val="24"/>
          <w:szCs w:val="24"/>
        </w:rPr>
        <w:t xml:space="preserve">PretorIA es una herramienta de inteligencia artificial concebida para apoyar la labor de la Corte Constitucional de Colombia en la fase de selección de expedientes de tutela para su eventual revisión. Su desarrollo se inscribe en una estrategia institucional de modernización tecnológica de la Corporación, articulada con la política nacional de transformación digital del Estado y con proyectos de cooperación que vincularon a la Corte con aliados técnicos y académicos del sector de las tecnologías de la información y las comunicaciones. En particular, el diseño de la herramienta contó con el acompañamiento de centros de investigación especializados en TIC y de la academia, en un modelo de colaboración orientado a transferir capacidades técnicas a la rama judicial sin comprometer su autonomía funcional.</w:t>
      </w:r>
    </w:p>
    <w:p>
      <w:pPr>
        <w:spacing w:line="360" w:lineRule="auto" w:before="0" w:after="120"/>
        <w:jc w:val="both"/>
        <w:ind w:firstLine="708"/>
      </w:pPr>
      <w:r>
        <w:rPr>
          <w:rFonts w:ascii="Times New Roman" w:hAnsi="Times New Roman"/>
          <w:sz w:val="24"/>
          <w:szCs w:val="24"/>
        </w:rPr>
        <w:t xml:space="preserve">El propósito que justifica la existencia de PretorIA es eminentemente práctico, pero tiene profundas implicaciones constitucionales. La Corte recibe un flujo masivo de expedientes —del orden de centenares de miles al año—, frente al cual las Salas de Selección disponen de plazos breves y de un equipo humano limitado. La lectura íntegra, manual y oportuna de semejante volumen es materialmente imposible, lo que genera el riesgo de que casos de relevancia constitucional o de extrema urgencia pasen inadvertidos. PretorIA responde a este problema estructural ofreciendo una capacidad de lectura y caracterización automatizada que permite procesar grandes cantidades de texto en tiempos reducidos, identificando expedientes que se ajustan a determinados criterios temáticos y facilitando su agrupación y priorización.</w:t>
      </w:r>
    </w:p>
    <w:p>
      <w:pPr>
        <w:spacing w:line="360" w:lineRule="auto" w:before="0" w:after="120"/>
        <w:jc w:val="both"/>
        <w:ind w:firstLine="708"/>
      </w:pPr>
      <w:r>
        <w:rPr>
          <w:rFonts w:ascii="Times New Roman" w:hAnsi="Times New Roman"/>
          <w:sz w:val="24"/>
          <w:szCs w:val="24"/>
        </w:rPr>
        <w:t xml:space="preserve">Importa subrayar, desde ya, que PretorIA no fue diseñada como un sistema de toma de decisiones ni como un mecanismo de adjudicación. Su naturaleza es la de un instrumento de apoyo a la gestión documental y al análisis de información, cuyo producto —una clasificación o caracterización de expedientes— constituye un insumo para el juicio humano de los magistrados, y no un acto decisorio en sí mismo. Esta distinción, que más adelante resultará central para el análisis de conformidad constitucional, diferencia a PretorIA de las aplicaciones de IA predictiva o decisional que han suscitado las mayores prevenciones en el derecho comparado.</w:t>
      </w:r>
    </w:p>
    <w:p>
      <w:pPr>
        <w:spacing w:before="240" w:after="120" w:line="360" w:lineRule="auto"/>
        <w:jc w:val="left"/>
        <w:keepNext/>
      </w:pPr>
      <w:r>
        <w:rPr>
          <w:rFonts w:ascii="Times New Roman" w:hAnsi="Times New Roman"/>
          <w:b/>
          <w:sz w:val="26"/>
          <w:szCs w:val="26"/>
        </w:rPr>
        <w:t xml:space="preserve">3.2. Funcionamiento técnico: lectura y caracterización automatizada</w:t>
      </w:r>
    </w:p>
    <w:p>
      <w:pPr>
        <w:spacing w:line="360" w:lineRule="auto" w:before="0" w:after="120"/>
        <w:jc w:val="both"/>
        <w:ind w:firstLine="708"/>
      </w:pPr>
      <w:r>
        <w:rPr>
          <w:rFonts w:ascii="Times New Roman" w:hAnsi="Times New Roman"/>
          <w:sz w:val="24"/>
          <w:szCs w:val="24"/>
        </w:rPr>
        <w:t xml:space="preserve">Desde el punto de vista técnico, PretorIA pertenece a la familia de las herramientas de procesamiento de lenguaje natural (PLN, o NLP por sus siglas en inglés). Su funcionamiento puede describirse, en términos accesibles para el jurista, a través de varias fases sucesivas. En primer lugar, la herramienta recibe el texto de las solicitudes de tutela y de los fallos de instancia que han sido remitidos a la Corte, previa digitalización y conversión a formatos procesables. En segundo lugar, aplica técnicas de análisis lingüístico para identificar en esos textos la presencia de determinados elementos relevantes: derechos invocados, hechos característicos, sujetos involucrados, entidades accionadas, pretensiones y materias jurídicas. En tercer lugar, sobre la base de ese análisis, clasifica cada expediente dentro de categorías temáticas predefinidas y produce una caracterización que sintetiza sus rasgos esenciales.</w:t>
      </w:r>
    </w:p>
    <w:p>
      <w:pPr>
        <w:spacing w:line="360" w:lineRule="auto" w:before="0" w:after="120"/>
        <w:jc w:val="both"/>
        <w:ind w:firstLine="708"/>
      </w:pPr>
      <w:r>
        <w:rPr>
          <w:rFonts w:ascii="Times New Roman" w:hAnsi="Times New Roman"/>
          <w:sz w:val="24"/>
          <w:szCs w:val="24"/>
        </w:rPr>
        <w:t xml:space="preserve">El resultado de este procesamiento es un conjunto estructurado de información que permite a los magistrados de las Salas de Selección visualizar, agrupar y filtrar los expedientes según los criterios de selección establecidos en el ordenamiento y en el reglamento de la Corte. Por ejemplo, la herramienta puede facilitar la identificación de expedientes que versan sobre el derecho a la salud de niños, niñas y adolescentes; sobre poblaciones de especial protección constitucional; sobre temáticas respecto de las cuales la Corte busca unificar jurisprudencia; o sobre situaciones de extrema urgencia que demandan atención prioritaria. De este modo, PretorIA opera como un sistema de tamizado informativo que ordena y prioriza, pero que no escoge: la decisión de seleccionar o no un expediente permanece, en todo momento, en cabeza de los magistrados.</w:t>
      </w:r>
    </w:p>
    <w:p>
      <w:pPr>
        <w:spacing w:line="360" w:lineRule="auto" w:before="0" w:after="120"/>
        <w:jc w:val="both"/>
        <w:ind w:firstLine="708"/>
      </w:pPr>
      <w:r>
        <w:rPr>
          <w:rFonts w:ascii="Times New Roman" w:hAnsi="Times New Roman"/>
          <w:sz w:val="24"/>
          <w:szCs w:val="24"/>
        </w:rPr>
        <w:t xml:space="preserve">Es pertinente precisar que PretorIA, según la información institucional disponible, no fue diseñada como un sistema de aprendizaje automático orientado a predecir o recomendar decisiones, sino como una herramienta de clasificación basada en reglas y patrones lingüísticos definidos a partir de criterios jurídicos. Esta característica es jurídicamente relevante porque reduce el riesgo de opacidad asociado a los modelos de "caja negra" y porque mantiene un vínculo trazable entre las categorías de clasificación y los criterios normativos de selección. Dicho de otro modo, la lógica de la herramienta es, en principio, auditable y explicable en términos jurídicos, lo que la sitúa en una posición más favorable frente a las exigencias de transparencia y explicabilidad que la jurisprudencia ha decantado.</w:t>
      </w:r>
    </w:p>
    <w:p>
      <w:pPr>
        <w:spacing w:before="240" w:after="120" w:line="360" w:lineRule="auto"/>
        <w:jc w:val="left"/>
        <w:keepNext/>
      </w:pPr>
      <w:r>
        <w:rPr>
          <w:rFonts w:ascii="Times New Roman" w:hAnsi="Times New Roman"/>
          <w:b/>
          <w:sz w:val="26"/>
          <w:szCs w:val="26"/>
        </w:rPr>
        <w:t xml:space="preserve">3.3. Inserción en el procedimiento de revisión eventual</w:t>
      </w:r>
    </w:p>
    <w:p>
      <w:pPr>
        <w:spacing w:line="360" w:lineRule="auto" w:before="0" w:after="120"/>
        <w:jc w:val="both"/>
        <w:ind w:firstLine="708"/>
      </w:pPr>
      <w:r>
        <w:rPr>
          <w:rFonts w:ascii="Times New Roman" w:hAnsi="Times New Roman"/>
          <w:sz w:val="24"/>
          <w:szCs w:val="24"/>
        </w:rPr>
        <w:t xml:space="preserve">Para comprender el alcance constitucional de PretorIA es indispensable situarla con precisión dentro del procedimiento de revisión eventual. Recibidos los fallos de tutela, la Corte los reparte a las Salas de Selección, que tienen la función de escoger discrecionalmente los expedientes que serán objeto de revisión. PretorIA interviene en la etapa previa a la decisión de selección: su producto —la caracterización y clasificación de los expedientes— se pone a disposición de los magistrados para que estos ejerzan su competencia de manera informada. La herramienta, por tanto, no se inserta en la fase de adjudicación —que corresponde a las Salas de Revisión o a la Sala Plena una vez seleccionado el expediente—, sino en una fase instrumental y preparatoria de la selección.</w:t>
      </w:r>
    </w:p>
    <w:p>
      <w:pPr>
        <w:spacing w:line="360" w:lineRule="auto" w:before="0" w:after="120"/>
        <w:jc w:val="both"/>
        <w:ind w:firstLine="708"/>
      </w:pPr>
      <w:r>
        <w:rPr>
          <w:rFonts w:ascii="Times New Roman" w:hAnsi="Times New Roman"/>
          <w:sz w:val="24"/>
          <w:szCs w:val="24"/>
        </w:rPr>
        <w:t xml:space="preserve">Esta ubicación procesal tiene consecuencias decisivas. La selección de tutelas es, según reiterada jurisprudencia, una facultad discrecional que no constituye una instancia procesal adicional y que, en principio, no está sometida a las mismas exigencias de motivación que la sentencia de revisión. La no selección de un expediente no implica un pronunciamiento sobre el fondo del asunto ni hace tránsito a cosa juzgada constitucional sobre la controversia; simplemente deja en firme el fallo de instancia. En consecuencia, el apoyo que PretorIA presta a esta fase no incide directamente sobre la resolución de los derechos en litigio, sino sobre la organización del trabajo de la Corte. Esta circunstancia atenúa —aunque no elimina— las exigencias de garantía procesal aplicables, pues aun tratándose de una actuación discrecional y no decisoria, debe preservar la igualdad de acceso de los ciudadanos a la posibilidad de revisión y no introducir sesgos que excluyan sistemáticamente determinadas categorías de casos o de personas.</w:t>
      </w:r>
    </w:p>
    <w:p>
      <w:pPr>
        <w:spacing w:before="240" w:after="120" w:line="360" w:lineRule="auto"/>
        <w:jc w:val="left"/>
        <w:keepNext/>
      </w:pPr>
      <w:r>
        <w:rPr>
          <w:rFonts w:ascii="Times New Roman" w:hAnsi="Times New Roman"/>
          <w:b/>
          <w:sz w:val="26"/>
          <w:szCs w:val="26"/>
        </w:rPr>
        <w:t xml:space="preserve">3.4. El control humano como nota esencial</w:t>
      </w:r>
    </w:p>
    <w:p>
      <w:pPr>
        <w:spacing w:line="360" w:lineRule="auto" w:before="0" w:after="120"/>
        <w:jc w:val="both"/>
        <w:ind w:firstLine="708"/>
      </w:pPr>
      <w:r>
        <w:rPr>
          <w:rFonts w:ascii="Times New Roman" w:hAnsi="Times New Roman"/>
          <w:sz w:val="24"/>
          <w:szCs w:val="24"/>
        </w:rPr>
        <w:t xml:space="preserve">Un elemento medular en la arquitectura de PretorIA es el principio de control humano significativo, también denominado "humano en el bucle" (human-in-the-loop). La herramienta no actúa de forma autónoma: produce insumos que son revisados, validados y, en su caso, corregidos por los servidores judiciales y los magistrados. La decisión final de selección es siempre un acto humano, dotado de la autoridad y la responsabilidad que el ordenamiento atribuye a los integrantes de la Corte. Esta nota es jurídicamente determinante porque preserva la indelegabilidad de la función jurisdiccional y porque sitúa a PretorIA en el plano de las herramientas de apoyo, claramente diferenciado del plano de la sustitución del juicio judicial que la sentencia T-323 de 2024 proscribió.</w:t>
      </w:r>
    </w:p>
    <w:p>
      <w:pPr>
        <w:spacing w:line="360" w:lineRule="auto" w:before="0" w:after="120"/>
        <w:jc w:val="both"/>
        <w:ind w:firstLine="708"/>
      </w:pPr>
      <w:r>
        <w:rPr>
          <w:rFonts w:ascii="Times New Roman" w:hAnsi="Times New Roman"/>
          <w:sz w:val="24"/>
          <w:szCs w:val="24"/>
        </w:rPr>
        <w:t xml:space="preserve">El control humano cumple, además, una función de mitigación de riesgos. Las eventuales fallas de clasificación de la herramienta —falsos positivos o falsos negativos en la categorización temática— pueden ser detectadas y corregidas por los magistrados, quienes conservan la facultad de revisar directamente cualquier expediente y de aplicar mecanismos como la insistencia. De esta manera, la intervención humana opera como una garantía de cierre que impide que un eventual error algorítmico se traduzca en una afectación irremediable del derecho de acceso a la justicia constitucional.</w:t>
      </w:r>
    </w:p>
    <w:p>
      <w:pPr>
        <w:spacing w:before="240" w:after="120" w:line="360" w:lineRule="auto"/>
        <w:jc w:val="left"/>
        <w:keepNext/>
      </w:pPr>
      <w:r>
        <w:rPr>
          <w:rFonts w:ascii="Times New Roman" w:hAnsi="Times New Roman"/>
          <w:b/>
          <w:sz w:val="26"/>
          <w:szCs w:val="26"/>
        </w:rPr>
        <w:t xml:space="preserve">3.5. PretorIA frente a Prometea y la experiencia comparada</w:t>
      </w:r>
    </w:p>
    <w:p>
      <w:pPr>
        <w:spacing w:line="360" w:lineRule="auto" w:before="0" w:after="120"/>
        <w:jc w:val="both"/>
        <w:ind w:firstLine="708"/>
      </w:pPr>
      <w:r>
        <w:rPr>
          <w:rFonts w:ascii="Times New Roman" w:hAnsi="Times New Roman"/>
          <w:sz w:val="24"/>
          <w:szCs w:val="24"/>
        </w:rPr>
        <w:t xml:space="preserve">La aparición de PretorIA se inscribe en una tendencia regional de incorporación de la IA a la función judicial, cuyo referente más conocido es Prometea, herramienta desarrollada en Argentina e implementada inicialmente por el Ministerio Público Fiscal de la Ciudad de Buenos Aires y, posteriormente, empleada en experiencias piloto con la Corte Interamericana de Derechos Humanos. Prometea fue diseñada para automatizar tareas y, en algunos casos, para predecir soluciones a expedientes de tramitación repetitiva, lo que le confirió un perfil más cercano a la asistencia decisional. PretorIA, en cambio, se concibió deliberadamente con un alcance más restringido: la lectura y caracterización de expedientes para apoyar la selección, sin pretensión de predecir o recomendar decisiones de fondo.</w:t>
      </w:r>
    </w:p>
    <w:p>
      <w:pPr>
        <w:spacing w:line="360" w:lineRule="auto" w:before="0" w:after="120"/>
        <w:jc w:val="both"/>
        <w:ind w:firstLine="708"/>
      </w:pPr>
      <w:r>
        <w:rPr>
          <w:rFonts w:ascii="Times New Roman" w:hAnsi="Times New Roman"/>
          <w:sz w:val="24"/>
          <w:szCs w:val="24"/>
        </w:rPr>
        <w:t xml:space="preserve">Esta diferencia de diseño tiene una lectura constitucional favorable a PretorIA. Al limitar su función a la organización de la información y al abstenerse de emitir recomendaciones decisorias, la herramienta minimiza el riesgo de que la tecnología condicione o sustituya el razonamiento de los magistrados. La experiencia comparada enseña que los mayores reparos constitucionales se concentran en los sistemas de IA que intervienen en la valoración de méritos o en la predicción de resultados —como los sistemas de evaluación de riesgo penal que han sido cuestionados por su opacidad y su potencial discriminatorio—, y no en las herramientas de gestión documental y clasificación. PretorIA, por su naturaleza y alcance, se ubica en este último grupo, lo que constituye un argumento de peso a favor de su compatibilidad con las garantías del debido proceso, sin perjuicio de las cautelas que se examinan en la sección siguiente.</w:t>
      </w:r>
    </w:p>
    <w:p>
      <w:pPr>
        <w:spacing w:before="240" w:after="120" w:line="360" w:lineRule="auto"/>
        <w:jc w:val="left"/>
        <w:keepNext/>
      </w:pPr>
      <w:r>
        <w:rPr>
          <w:rFonts w:ascii="Times New Roman" w:hAnsi="Times New Roman"/>
          <w:b/>
          <w:sz w:val="26"/>
          <w:szCs w:val="26"/>
        </w:rPr>
        <w:t xml:space="preserve">3.6. Beneficios, riesgos y críticas</w:t>
      </w:r>
    </w:p>
    <w:p>
      <w:pPr>
        <w:spacing w:line="360" w:lineRule="auto" w:before="0" w:after="120"/>
        <w:jc w:val="both"/>
        <w:ind w:firstLine="708"/>
      </w:pPr>
      <w:r>
        <w:rPr>
          <w:rFonts w:ascii="Times New Roman" w:hAnsi="Times New Roman"/>
          <w:sz w:val="24"/>
          <w:szCs w:val="24"/>
        </w:rPr>
        <w:t xml:space="preserve">El balance de PretorIA exige reconocer, con honestidad analítica, tanto sus beneficios como sus riesgos. Entre los beneficios destacan: la capacidad de procesar volúmenes de información inabordables manualmente; la reducción de los tiempos de tamizado de expedientes; la posibilidad de identificar con mayor oportunidad casos urgentes o de relevancia constitucional; la sistematización y agrupación de expedientes por materias, que facilita la unificación de jurisprudencia; y la liberación de capacidad humana para tareas de mayor valor analítico. En un sistema que afronta una congestión estructural, estos beneficios tienen una dimensión constitucional, pues inciden directamente en la eficacia del acceso a la justicia y en la oportunidad de la protección de los derechos.</w:t>
      </w:r>
    </w:p>
    <w:p>
      <w:pPr>
        <w:spacing w:line="360" w:lineRule="auto" w:before="0" w:after="120"/>
        <w:jc w:val="both"/>
        <w:ind w:firstLine="708"/>
      </w:pPr>
      <w:r>
        <w:rPr>
          <w:rFonts w:ascii="Times New Roman" w:hAnsi="Times New Roman"/>
          <w:sz w:val="24"/>
          <w:szCs w:val="24"/>
        </w:rPr>
        <w:t xml:space="preserve">Los riesgos, por su parte, no deben minimizarse. La doctrina especializada ha advertido sobre varios peligros inherentes a la incorporación de la IA en la justicia: el riesgo de delegación encubierta, cuando la herramienta de apoyo termina condicionando de facto la decisión humana; el riesgo de opacidad, cuando la lógica del sistema no es comprensible ni auditable; el riesgo de sesgo, cuando los criterios de clasificación reproducen prejuicios o invisibilizan ciertos casos; el riesgo de afectación de la intimidad, derivado del tratamiento masivo de datos sensibles; y el riesgo de "automatización por defecto", consistente en una confianza excesiva en el resultado tecnológico que erosiona el escrutinio crítico del funcionario. La gobernanza responsable de PretorIA pasa, precisamente, por anticipar y mitigar estos riesgos mediante diseño, supervisión y auditoría.</w:t>
      </w:r>
    </w:p>
    <w:p>
      <w:pPr>
        <w:spacing w:line="360" w:lineRule="auto" w:before="0" w:after="120"/>
        <w:jc w:val="both"/>
        <w:ind w:firstLine="708"/>
      </w:pPr>
      <w:r>
        <w:rPr>
          <w:rFonts w:ascii="Times New Roman" w:hAnsi="Times New Roman"/>
          <w:sz w:val="24"/>
          <w:szCs w:val="24"/>
        </w:rPr>
        <w:t xml:space="preserve">Las críticas formuladas a las experiencias de IA judicial en el derecho comparado —desde los cuestionamientos a los sistemas de evaluación de riesgo en materia penal hasta las prevenciones frente a la justicia predictiva— constituyen un acervo de lecciones valioso. La principal de ellas es que la legitimidad de estas herramientas no se mide por su eficiencia, sino por su compatibilidad con los principios del Estado de derecho. PretorIA, al haberse concebido como un instrumento de apoyo no decisorio, ha internalizado parte de estas lecciones; pero su sostenibilidad constitucional dependerá de que la institución mantenga viva la cultura de supervisión crítica y de rendición de cuentas que el uso de la IA reclama.</w:t>
      </w:r>
    </w:p>
    <w:p>
      <w:pPr>
        <w:spacing w:before="360" w:after="160" w:line="360" w:lineRule="auto"/>
        <w:jc w:val="left"/>
        <w:keepNext/>
      </w:pPr>
      <w:r>
        <w:rPr>
          <w:rFonts w:ascii="Times New Roman" w:hAnsi="Times New Roman"/>
          <w:b/>
          <w:sz w:val="30"/>
          <w:szCs w:val="30"/>
        </w:rPr>
        <w:t xml:space="preserve">4. Evaluación de Conformidad de PretorIA frente a los Estándares Jurídicos para el Uso de la Inteligencia Artificial</w:t>
      </w:r>
    </w:p>
    <w:p>
      <w:pPr>
        <w:spacing w:before="240" w:after="120" w:line="360" w:lineRule="auto"/>
        <w:jc w:val="left"/>
        <w:keepNext/>
      </w:pPr>
      <w:r>
        <w:rPr>
          <w:rFonts w:ascii="Times New Roman" w:hAnsi="Times New Roman"/>
          <w:b/>
          <w:sz w:val="26"/>
          <w:szCs w:val="26"/>
        </w:rPr>
        <w:t xml:space="preserve">4.1. Premisa metodológica de la evaluación</w:t>
      </w:r>
    </w:p>
    <w:p>
      <w:pPr>
        <w:spacing w:line="360" w:lineRule="auto" w:before="0" w:after="120"/>
        <w:jc w:val="both"/>
        <w:ind w:firstLine="708"/>
      </w:pPr>
      <w:r>
        <w:rPr>
          <w:rFonts w:ascii="Times New Roman" w:hAnsi="Times New Roman"/>
          <w:sz w:val="24"/>
          <w:szCs w:val="24"/>
        </w:rPr>
        <w:t xml:space="preserve">La evaluación de conformidad que se desarrolla a continuación toma como parámetro los criterios orientadores decantados por la Corte Constitucional en la sentencia T-323 de 2024 y profundizados en la T-067 de 2025, leídos a la luz de las garantías del debido proceso (artículo 29 de la Constitución), del acceso a la administración de justicia (artículo 229), del principio de igualdad (artículo 13), del habeas data (artículo 15) y del principio del juez natural. Estos parámetros se complementan con los principios de la Recomendación de la UNESCO de 2021 y del marco nacional de IA, en cuanto fuentes materiales reconocidas por la propia jurisprudencia. El análisis se ordena en torno a seis ejes: supervisión humana y no sustitución; transparencia y explicabilidad; responsabilidad y rendición de cuentas; protección de datos personales; igualdad y no discriminación; y acceso a la administración de justicia y juez natural.</w:t>
      </w:r>
    </w:p>
    <w:p>
      <w:pPr>
        <w:spacing w:line="360" w:lineRule="auto" w:before="0" w:after="120"/>
        <w:jc w:val="both"/>
        <w:ind w:firstLine="708"/>
      </w:pPr>
      <w:r>
        <w:rPr>
          <w:rFonts w:ascii="Times New Roman" w:hAnsi="Times New Roman"/>
          <w:sz w:val="24"/>
          <w:szCs w:val="24"/>
        </w:rPr>
        <w:t xml:space="preserve">La premisa que guía el examen es que PretorIA, por ser una herramienta de apoyo no decisoria, parte de una posición de conformidad prima facie más favorable que la de los sistemas de IA decisional o predictiva. No obstante, esa conformidad no es incondicionada: depende de que en la práctica institucional se satisfagan las cautelas que cada eje impone. Por ello, la evaluación distingue, en cada apartado, entre la conformidad estructural derivada del diseño de la herramienta y las condiciones operativas necesarias para preservarla.</w:t>
      </w:r>
    </w:p>
    <w:p>
      <w:pPr>
        <w:spacing w:before="240" w:after="120" w:line="360" w:lineRule="auto"/>
        <w:jc w:val="left"/>
        <w:keepNext/>
      </w:pPr>
      <w:r>
        <w:rPr>
          <w:rFonts w:ascii="Times New Roman" w:hAnsi="Times New Roman"/>
          <w:b/>
          <w:sz w:val="26"/>
          <w:szCs w:val="26"/>
        </w:rPr>
        <w:t xml:space="preserve">4.2. Supervisión humana y no sustitución del razonamiento judicial</w:t>
      </w:r>
    </w:p>
    <w:p>
      <w:pPr>
        <w:spacing w:line="360" w:lineRule="auto" w:before="0" w:after="120"/>
        <w:jc w:val="both"/>
        <w:ind w:firstLine="708"/>
      </w:pPr>
      <w:r>
        <w:rPr>
          <w:rFonts w:ascii="Times New Roman" w:hAnsi="Times New Roman"/>
          <w:sz w:val="24"/>
          <w:szCs w:val="24"/>
        </w:rPr>
        <w:t xml:space="preserve">El primero y más importante de los estándares es la preservación del control humano significativo y la prohibición de que la IA sustituya la racionalidad y la discrecionalidad propias del juez. La sentencia T-323 de 2024 fue enfática en que la inteligencia artificial puede emplearse en tareas de gestión, organización y apoyo, pero jamás para reemplazar el juicio del operador judicial en la adjudicación de derechos. PretorIA satisface estructuralmente esta exigencia, pues no adopta decisiones ni emite recomendaciones de fondo: se limita a leer, clasificar y caracterizar expedientes, dejando intacta la facultad discrecional de selección que la Constitución y la ley radican en cabeza de los magistrados.</w:t>
      </w:r>
    </w:p>
    <w:p>
      <w:pPr>
        <w:spacing w:line="360" w:lineRule="auto" w:before="0" w:after="120"/>
        <w:jc w:val="both"/>
        <w:ind w:firstLine="708"/>
      </w:pPr>
      <w:r>
        <w:rPr>
          <w:rFonts w:ascii="Times New Roman" w:hAnsi="Times New Roman"/>
          <w:sz w:val="24"/>
          <w:szCs w:val="24"/>
        </w:rPr>
        <w:t xml:space="preserve">La conformidad en este eje es, por tanto, robusta. La decisión de seleccionar o no un expediente para revisión continúa siendo un acto humano, motivado por criterios jurídicos y ejercido por funcionarios investidos de autoridad constitucional. El producto de PretorIA no vincula a los magistrados ni predetermina el sentido de su decisión; constituye un insumo informativo que estos pueden acoger, complementar o desechar. En consecuencia, no se configura una delegación de la función jurisdiccional en un sistema automatizado, ni se vulnera la indelegabilidad del juicio judicial.</w:t>
      </w:r>
    </w:p>
    <w:p>
      <w:pPr>
        <w:spacing w:line="360" w:lineRule="auto" w:before="0" w:after="120"/>
        <w:jc w:val="both"/>
        <w:ind w:firstLine="708"/>
      </w:pPr>
      <w:r>
        <w:rPr>
          <w:rFonts w:ascii="Times New Roman" w:hAnsi="Times New Roman"/>
          <w:sz w:val="24"/>
          <w:szCs w:val="24"/>
        </w:rPr>
        <w:t xml:space="preserve">Para preservar esta conformidad en el plano operativo, resulta indispensable que la herramienta nunca evolucione hacia un modelo que filtre automáticamente expedientes sin posibilidad de revisión humana, ni que su clasificación opere como un cribado vinculante que excluya de facto ciertos casos del conocimiento de los magistrados. La supervisión humana debe ser real y no meramente formal: los magistrados han de conservar la capacidad efectiva de acceder a la totalidad de los expedientes y de corregir las clasificaciones de la herramienta. La existencia de mecanismos como la insistencia refuerza esta garantía, al permitir que expedientes inicialmente no seleccionados sean reconsiderados.</w:t>
      </w:r>
    </w:p>
    <w:p>
      <w:pPr>
        <w:spacing w:before="240" w:after="120" w:line="360" w:lineRule="auto"/>
        <w:jc w:val="left"/>
        <w:keepNext/>
      </w:pPr>
      <w:r>
        <w:rPr>
          <w:rFonts w:ascii="Times New Roman" w:hAnsi="Times New Roman"/>
          <w:b/>
          <w:sz w:val="26"/>
          <w:szCs w:val="26"/>
        </w:rPr>
        <w:t xml:space="preserve">4.3. Transparencia y explicabilidad</w:t>
      </w:r>
    </w:p>
    <w:p>
      <w:pPr>
        <w:spacing w:line="360" w:lineRule="auto" w:before="0" w:after="120"/>
        <w:jc w:val="both"/>
        <w:ind w:firstLine="708"/>
      </w:pPr>
      <w:r>
        <w:rPr>
          <w:rFonts w:ascii="Times New Roman" w:hAnsi="Times New Roman"/>
          <w:sz w:val="24"/>
          <w:szCs w:val="24"/>
        </w:rPr>
        <w:t xml:space="preserve">El segundo eje es la transparencia, que comprende tanto la publicidad del uso de la herramienta como la explicabilidad de su funcionamiento. La jurisprudencia ha exigido que el empleo de sistemas de IA en la actividad judicial sea revelado y que su lógica pueda ser escrutada, de modo que las partes y la ciudadanía conozcan el papel que la tecnología desempeña en la actuación. En el caso de PretorIA, la transparencia se proyecta en dos dimensiones: la transparencia institucional —el reconocimiento público de que la Corte emplea la herramienta y la divulgación de su propósito y alcance— y la transparencia técnica —la posibilidad de auditar los criterios y la lógica de clasificación—.</w:t>
      </w:r>
    </w:p>
    <w:p>
      <w:pPr>
        <w:spacing w:line="360" w:lineRule="auto" w:before="0" w:after="120"/>
        <w:jc w:val="both"/>
        <w:ind w:firstLine="708"/>
      </w:pPr>
      <w:r>
        <w:rPr>
          <w:rFonts w:ascii="Times New Roman" w:hAnsi="Times New Roman"/>
          <w:sz w:val="24"/>
          <w:szCs w:val="24"/>
        </w:rPr>
        <w:t xml:space="preserve">PretorIA presenta una ventaja estructural en materia de explicabilidad, derivada de su diseño basado en la clasificación temática conforme a criterios jurídicos predefinidos, antes que en modelos opacos de aprendizaje profundo. Esta característica facilita la auditoría de la herramienta y la comprensión de los motivos por los cuales un expediente es clasificado en una determinada categoría. No obstante, la conformidad plena en este eje exige que la Corte mantenga y publique documentación accesible sobre el funcionamiento de la herramienta, sus criterios de clasificación, sus limitaciones y sus tasas de error, así como sobre las medidas de validación humana adoptadas. La transparencia no se agota en admitir el uso de la herramienta; demanda una rendición de cuentas sustantiva sobre cómo opera y qué efectos produce.</w:t>
      </w:r>
    </w:p>
    <w:p>
      <w:pPr>
        <w:spacing w:line="360" w:lineRule="auto" w:before="0" w:after="120"/>
        <w:jc w:val="both"/>
        <w:ind w:firstLine="708"/>
      </w:pPr>
      <w:r>
        <w:rPr>
          <w:rFonts w:ascii="Times New Roman" w:hAnsi="Times New Roman"/>
          <w:sz w:val="24"/>
          <w:szCs w:val="24"/>
        </w:rPr>
        <w:t xml:space="preserve">La línea jurisprudencial sobre decisiones automatizadas refuerza esta exigencia. Las sentencias T-148 y T-174 de 2026 reprocharon a las plataformas digitales la adopción de decisiones automatizadas opacas, carentes de motivación y de explicación comprensible para el afectado. Aunque PretorIA no adopta decisiones que afecten directamente a las partes, el principio subyacente —que toda intervención algorítmica en actuaciones con relevancia jurídica debe ser explicable— es plenamente aplicable y constituye un estándar exigible a la Corte en su condición de entidad pública usuaria de IA.</w:t>
      </w:r>
    </w:p>
    <w:p>
      <w:pPr>
        <w:spacing w:before="240" w:after="120" w:line="360" w:lineRule="auto"/>
        <w:jc w:val="left"/>
        <w:keepNext/>
      </w:pPr>
      <w:r>
        <w:rPr>
          <w:rFonts w:ascii="Times New Roman" w:hAnsi="Times New Roman"/>
          <w:b/>
          <w:sz w:val="26"/>
          <w:szCs w:val="26"/>
        </w:rPr>
        <w:t xml:space="preserve">4.4. Responsabilidad y rendición de cuentas</w:t>
      </w:r>
    </w:p>
    <w:p>
      <w:pPr>
        <w:spacing w:line="360" w:lineRule="auto" w:before="0" w:after="120"/>
        <w:jc w:val="both"/>
        <w:ind w:firstLine="708"/>
      </w:pPr>
      <w:r>
        <w:rPr>
          <w:rFonts w:ascii="Times New Roman" w:hAnsi="Times New Roman"/>
          <w:sz w:val="24"/>
          <w:szCs w:val="24"/>
        </w:rPr>
        <w:t xml:space="preserve">El tercer eje es la responsabilidad y la rendición de cuentas, que impone mantener en cabeza de los funcionarios humanos la autoría y la responsabilidad de las actuaciones. La sentencia T-067 de 2025, al reconocer que las herramientas algorítmicas desplegadas por entidades públicas adquieren un carácter cuasi-institucional sujeto a escrutinio constitucional, confirma que el uso de PretorIA compromete la responsabilidad de la Corte como institución. Esto significa que la Corporación no puede escudarse en la herramienta para eludir la responsabilidad por las consecuencias de su empleo: los eventuales errores de clasificación, las omisiones o los sesgos son imputables a la institución, que debe disponer de mecanismos de control, auditoría y corrección.</w:t>
      </w:r>
    </w:p>
    <w:p>
      <w:pPr>
        <w:spacing w:line="360" w:lineRule="auto" w:before="0" w:after="120"/>
        <w:jc w:val="both"/>
        <w:ind w:firstLine="708"/>
      </w:pPr>
      <w:r>
        <w:rPr>
          <w:rFonts w:ascii="Times New Roman" w:hAnsi="Times New Roman"/>
          <w:sz w:val="24"/>
          <w:szCs w:val="24"/>
        </w:rPr>
        <w:t xml:space="preserve">En este eje, PretorIA es conforme en la medida en que su producto es un insumo no vinculante y la responsabilidad por la selección permanece en los magistrados. La rendición de cuentas, sin embargo, exige medidas adicionales: la documentación de las decisiones de diseño, la trazabilidad de las clasificaciones, la realización de auditorías periódicas y la existencia de canales para que los interesados y la comunidad jurídica puedan conocer y cuestionar el funcionamiento de la herramienta. La gobernanza responsable de PretorIA reclama, en suma, una institucionalidad de supervisión que trascienda el mero funcionamiento técnico.</w:t>
      </w:r>
    </w:p>
    <w:p>
      <w:pPr>
        <w:spacing w:before="240" w:after="120" w:line="360" w:lineRule="auto"/>
        <w:jc w:val="left"/>
        <w:keepNext/>
      </w:pPr>
      <w:r>
        <w:rPr>
          <w:rFonts w:ascii="Times New Roman" w:hAnsi="Times New Roman"/>
          <w:b/>
          <w:sz w:val="26"/>
          <w:szCs w:val="26"/>
        </w:rPr>
        <w:t xml:space="preserve">4.5. Protección de datos personales y reserva</w:t>
      </w:r>
    </w:p>
    <w:p>
      <w:pPr>
        <w:spacing w:line="360" w:lineRule="auto" w:before="0" w:after="120"/>
        <w:jc w:val="both"/>
        <w:ind w:firstLine="708"/>
      </w:pPr>
      <w:r>
        <w:rPr>
          <w:rFonts w:ascii="Times New Roman" w:hAnsi="Times New Roman"/>
          <w:sz w:val="24"/>
          <w:szCs w:val="24"/>
        </w:rPr>
        <w:t xml:space="preserve">El cuarto eje, de particular sensibilidad, es la protección de los datos personales contenidos en las tutelas. Como se anotó, las solicitudes de amparo contienen con frecuencia datos sensibles —información de salud, condiciones de vulnerabilidad, datos de menores, situaciones de violencia— cuyo tratamiento automatizado debe sujetarse al régimen del artículo 15 de la Constitución y de la Ley Estatutaria 1581 de 2012. El procesamiento masivo del texto de los expedientes por parte de PretorIA implica un tratamiento de datos personales que debe respetar los principios de finalidad, necesidad, proporcionalidad, seguridad y confidencialidad.</w:t>
      </w:r>
    </w:p>
    <w:p>
      <w:pPr>
        <w:spacing w:line="360" w:lineRule="auto" w:before="0" w:after="120"/>
        <w:jc w:val="both"/>
        <w:ind w:firstLine="708"/>
      </w:pPr>
      <w:r>
        <w:rPr>
          <w:rFonts w:ascii="Times New Roman" w:hAnsi="Times New Roman"/>
          <w:sz w:val="24"/>
          <w:szCs w:val="24"/>
        </w:rPr>
        <w:t xml:space="preserve">La conformidad en este eje no se deriva del solo diseño de la herramienta, sino que depende críticamente de las medidas operativas adoptadas. Es indispensable que el tratamiento se circunscriba a la finalidad legítima de apoyar la selección, que se apliquen medidas de seguridad y confidencialidad acordes con la sensibilidad de la información, que se evalúe la conveniencia de técnicas de anonimización o seudonimización cuando sean compatibles con la función de clasificación, y que se garantice que los datos no se empleen para finalidades distintas ni se compartan indebidamente con terceros. La articulación entre las reglas de reserva procesal —que protegen, por ejemplo, la identidad de menores o de víctimas— y el funcionamiento de la herramienta es un punto neurálgico que demanda protocolos específicos. En este eje, por tanto, la evaluación arroja una conformidad condicionada a la efectiva implementación de garantías de protección de datos.</w:t>
      </w:r>
    </w:p>
    <w:p>
      <w:pPr>
        <w:spacing w:before="240" w:after="120" w:line="360" w:lineRule="auto"/>
        <w:jc w:val="left"/>
        <w:keepNext/>
      </w:pPr>
      <w:r>
        <w:rPr>
          <w:rFonts w:ascii="Times New Roman" w:hAnsi="Times New Roman"/>
          <w:b/>
          <w:sz w:val="26"/>
          <w:szCs w:val="26"/>
        </w:rPr>
        <w:t xml:space="preserve">4.6. Igualdad y no discriminación</w:t>
      </w:r>
    </w:p>
    <w:p>
      <w:pPr>
        <w:spacing w:line="360" w:lineRule="auto" w:before="0" w:after="120"/>
        <w:jc w:val="both"/>
        <w:ind w:firstLine="708"/>
      </w:pPr>
      <w:r>
        <w:rPr>
          <w:rFonts w:ascii="Times New Roman" w:hAnsi="Times New Roman"/>
          <w:sz w:val="24"/>
          <w:szCs w:val="24"/>
        </w:rPr>
        <w:t xml:space="preserve">El quinto eje es el respeto a la igualdad y la prohibición de discriminación. Los sistemas de IA pueden reproducir o amplificar sesgos presentes en los datos o en los criterios de clasificación, generando tratamientos desiguales injustificados. En el caso de PretorIA, el riesgo se concreta en la posibilidad de que la herramienta clasifique sistemáticamente con menor precisión ciertos tipos de expedientes —por ejemplo, los redactados en lenguaje no técnico, los provenientes de poblaciones con menor alfabetización jurídica o los relativos a temáticas emergentes no contempladas en las categorías predefinidas—, lo que podría traducirse en una menor visibilidad de esos casos ante las Salas de Selección.</w:t>
      </w:r>
    </w:p>
    <w:p>
      <w:pPr>
        <w:spacing w:line="360" w:lineRule="auto" w:before="0" w:after="120"/>
        <w:jc w:val="both"/>
        <w:ind w:firstLine="708"/>
      </w:pPr>
      <w:r>
        <w:rPr>
          <w:rFonts w:ascii="Times New Roman" w:hAnsi="Times New Roman"/>
          <w:sz w:val="24"/>
          <w:szCs w:val="24"/>
        </w:rPr>
        <w:t xml:space="preserve">Este riesgo, sin embargo, se atenúa por la naturaleza no decisoria de la herramienta y por la supervisión humana. Dado que PretorIA no excluye expedientes sino que los caracteriza, y dado que los magistrados conservan el acceso pleno a la información, un eventual sesgo de clasificación no se traduce automáticamente en una afectación del derecho a la igualdad. No obstante, la conformidad plena exige que la Corte evalúe periódicamente el desempeño de la herramienta para detectar sesgos sistemáticos, que ajuste los criterios de clasificación cuando sea necesario y que preste especial atención a los expedientes que involucran sujetos de especial protección constitucional, en coherencia con el mandato de igualdad material del artículo 13 de la Constitución. La equidad algorítmica, en este sentido, es una exigencia que debe verificarse de manera continua y no presumirse a partir del solo diseño.</w:t>
      </w:r>
    </w:p>
    <w:p>
      <w:pPr>
        <w:spacing w:before="240" w:after="120" w:line="360" w:lineRule="auto"/>
        <w:jc w:val="left"/>
        <w:keepNext/>
      </w:pPr>
      <w:r>
        <w:rPr>
          <w:rFonts w:ascii="Times New Roman" w:hAnsi="Times New Roman"/>
          <w:b/>
          <w:sz w:val="26"/>
          <w:szCs w:val="26"/>
        </w:rPr>
        <w:t xml:space="preserve">4.7. Acceso a la administración de justicia y juez natural</w:t>
      </w:r>
    </w:p>
    <w:p>
      <w:pPr>
        <w:spacing w:line="360" w:lineRule="auto" w:before="0" w:after="120"/>
        <w:jc w:val="both"/>
        <w:ind w:firstLine="708"/>
      </w:pPr>
      <w:r>
        <w:rPr>
          <w:rFonts w:ascii="Times New Roman" w:hAnsi="Times New Roman"/>
          <w:sz w:val="24"/>
          <w:szCs w:val="24"/>
        </w:rPr>
        <w:t xml:space="preserve">El sexto y último eje articula dos garantías cardinales del derecho constitucional procesal: el acceso a la administración de justicia (artículo 229) y el principio del juez natural. La preocupación central es que la intervención de un sistema automatizado en la fase de selección no obstaculice el acceso de los ciudadanos a la posibilidad de revisión ni desplace la competencia del juez constitucional. Como se ha sostenido, PretorIA no decide la selección ni sustituye al magistrado, de modo que el principio del juez natural permanece incólume: la competencia de selección sigue radicada en las Salas de Selección y la de revisión en las Salas de Revisión y en la Sala Plena.</w:t>
      </w:r>
    </w:p>
    <w:p>
      <w:pPr>
        <w:spacing w:line="360" w:lineRule="auto" w:before="0" w:after="120"/>
        <w:jc w:val="both"/>
        <w:ind w:firstLine="708"/>
      </w:pPr>
      <w:r>
        <w:rPr>
          <w:rFonts w:ascii="Times New Roman" w:hAnsi="Times New Roman"/>
          <w:sz w:val="24"/>
          <w:szCs w:val="24"/>
        </w:rPr>
        <w:t xml:space="preserve">En cuanto al acceso a la justicia, la herramienta tiene, en principio, un efecto positivo: al permitir procesar volúmenes que serían inabordables manualmente, contribuye a que un mayor número de expedientes sea efectivamente analizado y a que casos urgentes o de relevancia constitucional sean identificados oportunamente. Lejos de obstaculizar el acceso, PretorIA puede potenciarlo, siempre que se preserve la garantía de que ningún expediente quede excluido del conocimiento humano por efecto exclusivo de la herramienta. La conformidad en este eje, por consiguiente, es favorable, en tanto la herramienta opera como un facilitador del ejercicio de la competencia constitucional de revisión y no como una barrera de acceso.</w:t>
      </w:r>
    </w:p>
    <w:p>
      <w:pPr>
        <w:spacing w:before="240" w:after="120" w:line="360" w:lineRule="auto"/>
        <w:jc w:val="left"/>
        <w:keepNext/>
      </w:pPr>
      <w:r>
        <w:rPr>
          <w:rFonts w:ascii="Times New Roman" w:hAnsi="Times New Roman"/>
          <w:b/>
          <w:sz w:val="26"/>
          <w:szCs w:val="26"/>
        </w:rPr>
        <w:t xml:space="preserve">4.8. Aplicación de un juicio de proporcionalidad</w:t>
      </w:r>
    </w:p>
    <w:p>
      <w:pPr>
        <w:spacing w:line="360" w:lineRule="auto" w:before="0" w:after="120"/>
        <w:jc w:val="both"/>
        <w:ind w:firstLine="708"/>
      </w:pPr>
      <w:r>
        <w:rPr>
          <w:rFonts w:ascii="Times New Roman" w:hAnsi="Times New Roman"/>
          <w:sz w:val="24"/>
          <w:szCs w:val="24"/>
        </w:rPr>
        <w:t xml:space="preserve">Para integrar los seis ejes anteriores en una valoración constitucional unitaria, resulta útil acudir al juicio de proporcionalidad, metodología consolidada en la jurisprudencia de la Corte Constitucional. El empleo de PretorIA persigue una finalidad constitucionalmente legítima e imperiosa: garantizar la eficacia y oportunidad de la función de revisión eventual de tutelas frente a una congestión estructural que amenaza la propia protección de los derechos fundamentales. Esta finalidad no solo es admisible, sino que se vincula directamente con el deber estatal de asegurar el acceso efectivo a la administración de justicia.</w:t>
      </w:r>
    </w:p>
    <w:p>
      <w:pPr>
        <w:spacing w:line="360" w:lineRule="auto" w:before="0" w:after="120"/>
        <w:jc w:val="both"/>
        <w:ind w:firstLine="708"/>
      </w:pPr>
      <w:r>
        <w:rPr>
          <w:rFonts w:ascii="Times New Roman" w:hAnsi="Times New Roman"/>
          <w:sz w:val="24"/>
          <w:szCs w:val="24"/>
        </w:rPr>
        <w:t xml:space="preserve">En cuanto a la idoneidad, la herramienta es un medio adecuado para alcanzar dicha finalidad, pues efectivamente permite procesar y caracterizar volúmenes de expedientes que serían inabordables por medios manuales. Respecto de la necesidad, no se aprecia una alternativa menos lesiva de los derechos que ofrezca una capacidad equivalente de tamizado masivo en los plazos exigidos; las opciones puramente manuales resultan materialmente inviables ante el volumen de ingreso. Finalmente, en el examen de proporcionalidad en sentido estricto, los beneficios para el acceso a la justicia y la eficacia del control constitucional superan las restricciones impuestas a otros bienes, siempre que se adopten las cautelas examinadas en materia de transparencia, protección de datos e igualdad. El resultado del juicio es, por tanto, favorable a la constitucionalidad del empleo de la herramienta, bajo la condición de que las garantías operativas se implementen y verifiquen de manera efectiva.</w:t>
      </w:r>
    </w:p>
    <w:p>
      <w:pPr>
        <w:spacing w:before="240" w:after="120" w:line="360" w:lineRule="auto"/>
        <w:jc w:val="left"/>
        <w:keepNext/>
      </w:pPr>
      <w:r>
        <w:rPr>
          <w:rFonts w:ascii="Times New Roman" w:hAnsi="Times New Roman"/>
          <w:b/>
          <w:sz w:val="26"/>
          <w:szCs w:val="26"/>
        </w:rPr>
        <w:t xml:space="preserve">4.9. Síntesis de la evaluación</w:t>
      </w:r>
    </w:p>
    <w:p>
      <w:pPr>
        <w:spacing w:line="360" w:lineRule="auto" w:before="0" w:after="120"/>
        <w:jc w:val="both"/>
        <w:ind w:firstLine="708"/>
      </w:pPr>
      <w:r>
        <w:rPr>
          <w:rFonts w:ascii="Times New Roman" w:hAnsi="Times New Roman"/>
          <w:sz w:val="24"/>
          <w:szCs w:val="24"/>
        </w:rPr>
        <w:t xml:space="preserve">La evaluación de conformidad permite concluir que PretorIA, por su naturaleza de herramienta de apoyo no decisoria, sujeta a control humano significativo y dotada de una lógica de clasificación explicable, resulta estructuralmente compatible con los estándares jurídicos decantados por la Corte Constitucional para el uso de IA en el ámbito judicial. Los ejes de supervisión humana, no sustitución, responsabilidad, juez natural y acceso a la justicia arrojan una conformidad robusta derivada del propio diseño de la herramienta. En cambio, los ejes de transparencia, protección de datos personales e igualdad arrojan una conformidad condicionada, que depende de la efectiva implementación de medidas operativas de auditoría, seguridad, anonimización, documentación y evaluación continua de sesgos. La legitimidad constitucional de PretorIA no es, pues, un dato estático, sino el resultado de una gobernanza permanente que debe verificar, en la práctica, el cumplimiento de las cautelas señaladas.</w:t>
      </w:r>
    </w:p>
    <w:p>
      <w:pPr>
        <w:spacing w:before="360" w:after="160" w:line="360" w:lineRule="auto"/>
        <w:jc w:val="left"/>
        <w:keepNext/>
      </w:pPr>
      <w:r>
        <w:rPr>
          <w:rFonts w:ascii="Times New Roman" w:hAnsi="Times New Roman"/>
          <w:b/>
          <w:sz w:val="30"/>
          <w:szCs w:val="30"/>
        </w:rPr>
        <w:t xml:space="preserve">5. Conclusiones</w:t>
      </w:r>
    </w:p>
    <w:p>
      <w:pPr>
        <w:spacing w:line="360" w:lineRule="auto" w:before="0" w:after="120"/>
        <w:jc w:val="both"/>
        <w:ind w:firstLine="708"/>
      </w:pPr>
      <w:r>
        <w:rPr>
          <w:rFonts w:ascii="Times New Roman" w:hAnsi="Times New Roman"/>
          <w:sz w:val="24"/>
          <w:szCs w:val="24"/>
        </w:rPr>
        <w:t xml:space="preserve">Primera. La incorporación de la inteligencia artificial a la función jurisdiccional de la Corte Constitucional a través de PretorIA responde a una necesidad estructural del modelo colombiano de revisión eventual de tutelas: la imposibilidad material de procesar manualmente, en plazos breves, el volumen masivo de expedientes que llega a la Corporación. PretorIA es, en esencia, una herramienta de lectura y caracterización automatizada que apoya la fase de selección sin intervenir en la adjudicación de derechos, lo que la sitúa en el plano de los instrumentos de gestión y no en el de los sistemas decisionales.</w:t>
      </w:r>
    </w:p>
    <w:p>
      <w:pPr>
        <w:spacing w:line="360" w:lineRule="auto" w:before="0" w:after="120"/>
        <w:jc w:val="both"/>
        <w:ind w:firstLine="708"/>
      </w:pPr>
      <w:r>
        <w:rPr>
          <w:rFonts w:ascii="Times New Roman" w:hAnsi="Times New Roman"/>
          <w:sz w:val="24"/>
          <w:szCs w:val="24"/>
        </w:rPr>
        <w:t xml:space="preserve">Segunda. El ordenamiento jurídico colombiano ofrece un marco normativo y jurisprudencial suficientemente desarrollado para valorar la legitimidad constitucional de herramientas como PretorIA. Las disposiciones constitucionales sobre la tutela y su revisión (artículos 86 y 241.9), la reglamentación del Decreto 2591 de 1991, el régimen de uso de las TIC en la justicia (Decreto 806 de 2020 y Ley 2213 de 2022), la política de transformación digital e IA (CONPES 3975 de 2019), el régimen de protección de datos (Ley 1581 de 2012) y, de manera señalada, la línea jurisprudencial iniciada con la sentencia T-323 de 2024 y consolidada con la T-067 de 2025, conforman un parámetro robusto de control constitucional.</w:t>
      </w:r>
    </w:p>
    <w:p>
      <w:pPr>
        <w:spacing w:line="360" w:lineRule="auto" w:before="0" w:after="120"/>
        <w:jc w:val="both"/>
        <w:ind w:firstLine="708"/>
      </w:pPr>
      <w:r>
        <w:rPr>
          <w:rFonts w:ascii="Times New Roman" w:hAnsi="Times New Roman"/>
          <w:sz w:val="24"/>
          <w:szCs w:val="24"/>
        </w:rPr>
        <w:t xml:space="preserve">Tercera. La jurisprudencia de la Corte Constitucional ha establecido que el uso de IA en la actividad judicial es admisible, pero está sujeto a criterios orientadores ineludibles: transparencia, responsabilidad y rendición de cuentas, prevención de riesgos, protección de datos, no discriminación, control humano significativo y, sobre todo, no sustitución de la racionalidad y la discrecionalidad judiciales. La sentencia T-067 de 2025 añadió un elemento decisivo al reconocer que las herramientas algorítmicas de las entidades públicas adquieren un carácter cuasi-institucional sometido a escrutinio constitucional, lo que impide considerar a PretorIA como un instrumento técnico neutro ajeno al control.</w:t>
      </w:r>
    </w:p>
    <w:p>
      <w:pPr>
        <w:spacing w:line="360" w:lineRule="auto" w:before="0" w:after="120"/>
        <w:jc w:val="both"/>
        <w:ind w:firstLine="708"/>
      </w:pPr>
      <w:r>
        <w:rPr>
          <w:rFonts w:ascii="Times New Roman" w:hAnsi="Times New Roman"/>
          <w:sz w:val="24"/>
          <w:szCs w:val="24"/>
        </w:rPr>
        <w:t xml:space="preserve">Cuarta. La evaluación de conformidad efectuada permite afirmar que PretorIA es estructuralmente compatible con las garantías del debido proceso, el principio del juez natural y el acceso a la administración de justicia. Su carácter no decisorio, la subsistencia del control humano significativo y su lógica de clasificación explicable preservan la indelegabilidad de la función jurisdiccional y evitan que la tecnología sustituya el juicio de los magistrados. En los ejes de supervisión humana, no sustitución, responsabilidad, juez natural y acceso a la justicia, la conformidad es robusta.</w:t>
      </w:r>
    </w:p>
    <w:p>
      <w:pPr>
        <w:spacing w:line="360" w:lineRule="auto" w:before="0" w:after="120"/>
        <w:jc w:val="both"/>
        <w:ind w:firstLine="708"/>
      </w:pPr>
      <w:r>
        <w:rPr>
          <w:rFonts w:ascii="Times New Roman" w:hAnsi="Times New Roman"/>
          <w:sz w:val="24"/>
          <w:szCs w:val="24"/>
        </w:rPr>
        <w:t xml:space="preserve">Quinta. No obstante, la conformidad de PretorIA es condicionada en tres ejes críticos: la transparencia y explicabilidad, la protección de datos personales sensibles y la igualdad y no discriminación. En estos ámbitos, la legitimidad constitucional de la herramienta no se deriva de su solo diseño, sino que depende de la efectiva implementación de medidas operativas: documentación pública y auditable del funcionamiento; protocolos de seguridad, confidencialidad y eventual anonimización del tratamiento de datos; y evaluación periódica del desempeño para detectar y corregir sesgos. La gobernanza constitucional de PretorIA exige, por tanto, una vigilancia permanente y no una aprobación de una sola vez.</w:t>
      </w:r>
    </w:p>
    <w:p>
      <w:pPr>
        <w:spacing w:line="360" w:lineRule="auto" w:before="0" w:after="120"/>
        <w:jc w:val="both"/>
        <w:ind w:firstLine="708"/>
      </w:pPr>
      <w:r>
        <w:rPr>
          <w:rFonts w:ascii="Times New Roman" w:hAnsi="Times New Roman"/>
          <w:sz w:val="24"/>
          <w:szCs w:val="24"/>
        </w:rPr>
        <w:t xml:space="preserve">Sexta. Desde la perspectiva del derecho constitucional procesal, PretorIA ilustra una transformación profunda del modo en que se administra justicia constitucional: la tecnología no reemplaza el proceso ni al juez, pero redefine las condiciones materiales en que se ejerce la función de selección. El reto consiste en asegurar que esta transformación amplíe —y no restrinja— las garantías procesales, fortaleciendo el acceso a la justicia y la oportunidad del control constitucional sin sacrificar la transparencia, la igualdad y la protección de la intimidad. La experiencia colombiana, articulada en torno a la línea jurisprudencial de las sentencias T-323 de 2024 y T-067 de 2025, ofrece un modelo de adopción prudente y supervisada de la IA judicial que puede servir de referente en la región.</w:t>
      </w:r>
    </w:p>
    <w:p>
      <w:pPr>
        <w:spacing w:line="360" w:lineRule="auto" w:before="0" w:after="120"/>
        <w:jc w:val="both"/>
        <w:ind w:firstLine="708"/>
      </w:pPr>
      <w:r>
        <w:rPr>
          <w:rFonts w:ascii="Times New Roman" w:hAnsi="Times New Roman"/>
          <w:sz w:val="24"/>
          <w:szCs w:val="24"/>
        </w:rPr>
        <w:t xml:space="preserve">Séptima. Como recomendación final, se sugiere que la Corte Constitucional avance hacia la consolidación de un marco de gobernanza interna de PretorIA que formalice los estándares examinados: la publicidad de un documento técnico-jurídico explicativo de la herramienta; la creación de un mecanismo institucional de auditoría y evaluación de sesgos; la adopción de protocolos de protección de datos articulados con las reglas de reserva procesal; y la garantía permanente del control humano sobre la totalidad de los expedientes. Solo bajo estas condiciones la herramienta podrá consolidarse como un instrumento legítimo al servicio de la eficacia de los derechos fundamentales y de la propia integridad del proceso constitucional.</w:t>
      </w:r>
    </w:p>
    <w:p>
      <w:r>
        <w:br w:type="page"/>
      </w:r>
    </w:p>
    <w:p>
      <w:pPr>
        <w:spacing w:before="360" w:after="160" w:line="360" w:lineRule="auto"/>
        <w:jc w:val="left"/>
        <w:keepNext/>
      </w:pPr>
      <w:r>
        <w:rPr>
          <w:rFonts w:ascii="Times New Roman" w:hAnsi="Times New Roman"/>
          <w:b/>
          <w:sz w:val="30"/>
          <w:szCs w:val="30"/>
        </w:rPr>
        <w:t xml:space="preserve">Referencias</w:t>
      </w:r>
    </w:p>
    <w:p>
      <w:pPr>
        <w:spacing w:line="360" w:lineRule="auto" w:after="120"/>
        <w:jc w:val="both"/>
        <w:ind w:left="708" w:hanging="708"/>
      </w:pPr>
      <w:r>
        <w:rPr>
          <w:rFonts w:ascii="Times New Roman" w:hAnsi="Times New Roman"/>
          <w:sz w:val="24"/>
          <w:szCs w:val="24"/>
        </w:rPr>
        <w:t xml:space="preserve">Asamblea Nacional Constituyente. (1991). </w:t>
      </w:r>
      <w:r>
        <w:rPr>
          <w:rFonts w:ascii="Times New Roman" w:hAnsi="Times New Roman"/>
          <w:sz w:val="24"/>
          <w:szCs w:val="24"/>
          <w:i/>
        </w:rPr>
        <w:t xml:space="preserve">Constitución Política de Colombia</w:t>
      </w:r>
      <w:r>
        <w:rPr>
          <w:rFonts w:ascii="Times New Roman" w:hAnsi="Times New Roman"/>
          <w:sz w:val="24"/>
          <w:szCs w:val="24"/>
        </w:rPr>
        <w:t xml:space="preserve">. Gaceta Constitucional No. 116.</w:t>
      </w:r>
    </w:p>
    <w:p>
      <w:pPr>
        <w:spacing w:line="360" w:lineRule="auto" w:after="120"/>
        <w:jc w:val="both"/>
        <w:ind w:left="708" w:hanging="708"/>
      </w:pPr>
      <w:r>
        <w:rPr>
          <w:rFonts w:ascii="Times New Roman" w:hAnsi="Times New Roman"/>
          <w:sz w:val="24"/>
          <w:szCs w:val="24"/>
        </w:rPr>
        <w:t xml:space="preserve">Congreso de la República de Colombia. (2012). </w:t>
      </w:r>
      <w:r>
        <w:rPr>
          <w:rFonts w:ascii="Times New Roman" w:hAnsi="Times New Roman"/>
          <w:sz w:val="24"/>
          <w:szCs w:val="24"/>
          <w:i/>
        </w:rPr>
        <w:t xml:space="preserve">Ley Estatutaria 1581 de 2012, por la cual se dictan disposiciones generales para la protección de datos personales</w:t>
      </w:r>
      <w:r>
        <w:rPr>
          <w:rFonts w:ascii="Times New Roman" w:hAnsi="Times New Roman"/>
          <w:sz w:val="24"/>
          <w:szCs w:val="24"/>
        </w:rPr>
        <w:t xml:space="preserve">. Diario Oficial No. 48.587.</w:t>
      </w:r>
    </w:p>
    <w:p>
      <w:pPr>
        <w:spacing w:line="360" w:lineRule="auto" w:after="120"/>
        <w:jc w:val="both"/>
        <w:ind w:left="708" w:hanging="708"/>
      </w:pPr>
      <w:r>
        <w:rPr>
          <w:rFonts w:ascii="Times New Roman" w:hAnsi="Times New Roman"/>
          <w:sz w:val="24"/>
          <w:szCs w:val="24"/>
        </w:rPr>
        <w:t xml:space="preserve">Congreso de la República de Colombia. (2022). </w:t>
      </w:r>
      <w:r>
        <w:rPr>
          <w:rFonts w:ascii="Times New Roman" w:hAnsi="Times New Roman"/>
          <w:sz w:val="24"/>
          <w:szCs w:val="24"/>
          <w:i/>
        </w:rPr>
        <w:t xml:space="preserve">Ley 2213 de 2022, por medio de la cual se establece la vigencia permanente del Decreto Legislativo 806 de 2020 y se adoptan medidas para implementar las tecnologías de la información y las comunicaciones en las actuaciones judiciales</w:t>
      </w:r>
      <w:r>
        <w:rPr>
          <w:rFonts w:ascii="Times New Roman" w:hAnsi="Times New Roman"/>
          <w:sz w:val="24"/>
          <w:szCs w:val="24"/>
        </w:rPr>
        <w:t xml:space="preserve">. Diario Oficial No. 52.043.</w:t>
      </w:r>
    </w:p>
    <w:p>
      <w:pPr>
        <w:spacing w:line="360" w:lineRule="auto" w:after="120"/>
        <w:jc w:val="both"/>
        <w:ind w:left="708" w:hanging="708"/>
      </w:pPr>
      <w:r>
        <w:rPr>
          <w:rFonts w:ascii="Times New Roman" w:hAnsi="Times New Roman"/>
          <w:sz w:val="24"/>
          <w:szCs w:val="24"/>
        </w:rPr>
        <w:t xml:space="preserve">Consejo Nacional de Política Económica y Social. (2019). </w:t>
      </w:r>
      <w:r>
        <w:rPr>
          <w:rFonts w:ascii="Times New Roman" w:hAnsi="Times New Roman"/>
          <w:sz w:val="24"/>
          <w:szCs w:val="24"/>
          <w:i/>
        </w:rPr>
        <w:t xml:space="preserve">Documento CONPES 3975. Política Nacional para la Transformación Digital e Inteligencia Artificial</w:t>
      </w:r>
      <w:r>
        <w:rPr>
          <w:rFonts w:ascii="Times New Roman" w:hAnsi="Times New Roman"/>
          <w:sz w:val="24"/>
          <w:szCs w:val="24"/>
        </w:rPr>
        <w:t xml:space="preserve">. Departamento Nacional de Planeación. https://colaboracion.dnp.gov.co/CDT/Conpes/Económicos/3975.pdf</w:t>
      </w:r>
    </w:p>
    <w:p>
      <w:pPr>
        <w:spacing w:line="360" w:lineRule="auto" w:after="120"/>
        <w:jc w:val="both"/>
        <w:ind w:left="708" w:hanging="708"/>
      </w:pPr>
      <w:r>
        <w:rPr>
          <w:rFonts w:ascii="Times New Roman" w:hAnsi="Times New Roman"/>
          <w:sz w:val="24"/>
          <w:szCs w:val="24"/>
        </w:rPr>
        <w:t xml:space="preserve">Corte Constitucional de Colombia. (2024). </w:t>
      </w:r>
      <w:r>
        <w:rPr>
          <w:rFonts w:ascii="Times New Roman" w:hAnsi="Times New Roman"/>
          <w:sz w:val="24"/>
          <w:szCs w:val="24"/>
          <w:i/>
        </w:rPr>
        <w:t xml:space="preserve">Sentencia T-323 de 2024</w:t>
      </w:r>
      <w:r>
        <w:rPr>
          <w:rFonts w:ascii="Times New Roman" w:hAnsi="Times New Roman"/>
          <w:sz w:val="24"/>
          <w:szCs w:val="24"/>
        </w:rPr>
        <w:t xml:space="preserve"> [M. P. José Fernando Reyes Cuartas]. https://www.corteconstitucional.gov.co/relatoria/</w:t>
      </w:r>
    </w:p>
    <w:p>
      <w:pPr>
        <w:spacing w:line="360" w:lineRule="auto" w:after="120"/>
        <w:jc w:val="both"/>
        <w:ind w:left="708" w:hanging="708"/>
      </w:pPr>
      <w:r>
        <w:rPr>
          <w:rFonts w:ascii="Times New Roman" w:hAnsi="Times New Roman"/>
          <w:sz w:val="24"/>
          <w:szCs w:val="24"/>
        </w:rPr>
        <w:t xml:space="preserve">Corte Constitucional de Colombia. (2025). </w:t>
      </w:r>
      <w:r>
        <w:rPr>
          <w:rFonts w:ascii="Times New Roman" w:hAnsi="Times New Roman"/>
          <w:sz w:val="24"/>
          <w:szCs w:val="24"/>
          <w:i/>
        </w:rPr>
        <w:t xml:space="preserve">Sentencia T-067 de 2025</w:t>
      </w:r>
      <w:r>
        <w:rPr>
          <w:rFonts w:ascii="Times New Roman" w:hAnsi="Times New Roman"/>
          <w:sz w:val="24"/>
          <w:szCs w:val="24"/>
        </w:rPr>
        <w:t xml:space="preserve">. https://www.corteconstitucional.gov.co/relatoria/</w:t>
      </w:r>
    </w:p>
    <w:p>
      <w:pPr>
        <w:spacing w:line="360" w:lineRule="auto" w:after="120"/>
        <w:jc w:val="both"/>
        <w:ind w:left="708" w:hanging="708"/>
      </w:pPr>
      <w:r>
        <w:rPr>
          <w:rFonts w:ascii="Times New Roman" w:hAnsi="Times New Roman"/>
          <w:sz w:val="24"/>
          <w:szCs w:val="24"/>
        </w:rPr>
        <w:t xml:space="preserve">Corte Constitucional de Colombia. (2026). </w:t>
      </w:r>
      <w:r>
        <w:rPr>
          <w:rFonts w:ascii="Times New Roman" w:hAnsi="Times New Roman"/>
          <w:sz w:val="24"/>
          <w:szCs w:val="24"/>
          <w:i/>
        </w:rPr>
        <w:t xml:space="preserve">Sentencia T-148 de 2026</w:t>
      </w:r>
      <w:r>
        <w:rPr>
          <w:rFonts w:ascii="Times New Roman" w:hAnsi="Times New Roman"/>
          <w:sz w:val="24"/>
          <w:szCs w:val="24"/>
        </w:rPr>
        <w:t xml:space="preserve"> [M. P. Héctor Alfonso Carvajal Londoño]. Sala Octava de Revisión.</w:t>
      </w:r>
    </w:p>
    <w:p>
      <w:pPr>
        <w:spacing w:line="360" w:lineRule="auto" w:after="120"/>
        <w:jc w:val="both"/>
        <w:ind w:left="708" w:hanging="708"/>
      </w:pPr>
      <w:r>
        <w:rPr>
          <w:rFonts w:ascii="Times New Roman" w:hAnsi="Times New Roman"/>
          <w:sz w:val="24"/>
          <w:szCs w:val="24"/>
        </w:rPr>
        <w:t xml:space="preserve">Corte Constitucional de Colombia. (2026). </w:t>
      </w:r>
      <w:r>
        <w:rPr>
          <w:rFonts w:ascii="Times New Roman" w:hAnsi="Times New Roman"/>
          <w:sz w:val="24"/>
          <w:szCs w:val="24"/>
          <w:i/>
        </w:rPr>
        <w:t xml:space="preserve">Sentencia T-174 de 2026</w:t>
      </w:r>
      <w:r>
        <w:rPr>
          <w:rFonts w:ascii="Times New Roman" w:hAnsi="Times New Roman"/>
          <w:sz w:val="24"/>
          <w:szCs w:val="24"/>
        </w:rPr>
        <w:t xml:space="preserve">. Sala de Revisión.</w:t>
      </w:r>
    </w:p>
    <w:p>
      <w:pPr>
        <w:spacing w:line="360" w:lineRule="auto" w:after="120"/>
        <w:jc w:val="both"/>
        <w:ind w:left="708" w:hanging="708"/>
      </w:pPr>
      <w:r>
        <w:rPr>
          <w:rFonts w:ascii="Times New Roman" w:hAnsi="Times New Roman"/>
          <w:sz w:val="24"/>
          <w:szCs w:val="24"/>
        </w:rPr>
        <w:t xml:space="preserve">Corte Constitucional de Colombia. (2015). </w:t>
      </w:r>
      <w:r>
        <w:rPr>
          <w:rFonts w:ascii="Times New Roman" w:hAnsi="Times New Roman"/>
          <w:sz w:val="24"/>
          <w:szCs w:val="24"/>
          <w:i/>
        </w:rPr>
        <w:t xml:space="preserve">Acuerdo 02 de 2015, por medio del cual se unifica y actualiza el Reglamento de la Corte Constitucional</w:t>
      </w:r>
      <w:r>
        <w:rPr>
          <w:rFonts w:ascii="Times New Roman" w:hAnsi="Times New Roman"/>
          <w:sz w:val="24"/>
          <w:szCs w:val="24"/>
        </w:rPr>
        <w:t xml:space="preserve">.</w:t>
      </w:r>
    </w:p>
    <w:p>
      <w:pPr>
        <w:spacing w:line="360" w:lineRule="auto" w:after="120"/>
        <w:jc w:val="both"/>
        <w:ind w:left="708" w:hanging="708"/>
      </w:pPr>
      <w:r>
        <w:rPr>
          <w:rFonts w:ascii="Times New Roman" w:hAnsi="Times New Roman"/>
          <w:sz w:val="24"/>
          <w:szCs w:val="24"/>
        </w:rPr>
        <w:t xml:space="preserve">Corvalán, J. G. (2018). Prometea: Inteligencia artificial para transformar organizaciones públicas. </w:t>
      </w:r>
      <w:r>
        <w:rPr>
          <w:rFonts w:ascii="Times New Roman" w:hAnsi="Times New Roman"/>
          <w:sz w:val="24"/>
          <w:szCs w:val="24"/>
          <w:i/>
        </w:rPr>
        <w:t xml:space="preserve">Astrea / Editorial IMODEV</w:t>
      </w:r>
      <w:r>
        <w:rPr>
          <w:rFonts w:ascii="Times New Roman" w:hAnsi="Times New Roman"/>
          <w:sz w:val="24"/>
          <w:szCs w:val="24"/>
        </w:rPr>
        <w:t xml:space="preserve">.</w:t>
      </w:r>
    </w:p>
    <w:p>
      <w:pPr>
        <w:spacing w:line="360" w:lineRule="auto" w:after="120"/>
        <w:jc w:val="both"/>
        <w:ind w:left="708" w:hanging="708"/>
      </w:pPr>
      <w:r>
        <w:rPr>
          <w:rFonts w:ascii="Times New Roman" w:hAnsi="Times New Roman"/>
          <w:sz w:val="24"/>
          <w:szCs w:val="24"/>
        </w:rPr>
        <w:t xml:space="preserve">Centro de Investigación de las Telecomunicaciones (CINTEL). (s. f.). </w:t>
      </w:r>
      <w:r>
        <w:rPr>
          <w:rFonts w:ascii="Times New Roman" w:hAnsi="Times New Roman"/>
          <w:sz w:val="24"/>
          <w:szCs w:val="24"/>
          <w:i/>
        </w:rPr>
        <w:t xml:space="preserve">Quiénes somos</w:t>
      </w:r>
      <w:r>
        <w:rPr>
          <w:rFonts w:ascii="Times New Roman" w:hAnsi="Times New Roman"/>
          <w:sz w:val="24"/>
          <w:szCs w:val="24"/>
        </w:rPr>
        <w:t xml:space="preserve">. https://cintel.co/</w:t>
      </w:r>
    </w:p>
    <w:p>
      <w:pPr>
        <w:spacing w:line="360" w:lineRule="auto" w:after="120"/>
        <w:jc w:val="both"/>
        <w:ind w:left="708" w:hanging="708"/>
      </w:pPr>
      <w:r>
        <w:rPr>
          <w:rFonts w:ascii="Times New Roman" w:hAnsi="Times New Roman"/>
          <w:sz w:val="24"/>
          <w:szCs w:val="24"/>
        </w:rPr>
        <w:t xml:space="preserve">Presidencia de la República de Colombia. (1991). </w:t>
      </w:r>
      <w:r>
        <w:rPr>
          <w:rFonts w:ascii="Times New Roman" w:hAnsi="Times New Roman"/>
          <w:sz w:val="24"/>
          <w:szCs w:val="24"/>
          <w:i/>
        </w:rPr>
        <w:t xml:space="preserve">Decreto 2591 de 1991, por el cual se reglamenta la acción de tutela consagrada en el artículo 86 de la Constitución Política</w:t>
      </w:r>
      <w:r>
        <w:rPr>
          <w:rFonts w:ascii="Times New Roman" w:hAnsi="Times New Roman"/>
          <w:sz w:val="24"/>
          <w:szCs w:val="24"/>
        </w:rPr>
        <w:t xml:space="preserve">. Diario Oficial No. 40.165.</w:t>
      </w:r>
    </w:p>
    <w:p>
      <w:pPr>
        <w:spacing w:line="360" w:lineRule="auto" w:after="120"/>
        <w:jc w:val="both"/>
        <w:ind w:left="708" w:hanging="708"/>
      </w:pPr>
      <w:r>
        <w:rPr>
          <w:rFonts w:ascii="Times New Roman" w:hAnsi="Times New Roman"/>
          <w:sz w:val="24"/>
          <w:szCs w:val="24"/>
        </w:rPr>
        <w:t xml:space="preserve">Presidencia de la República de Colombia. (2020). </w:t>
      </w:r>
      <w:r>
        <w:rPr>
          <w:rFonts w:ascii="Times New Roman" w:hAnsi="Times New Roman"/>
          <w:sz w:val="24"/>
          <w:szCs w:val="24"/>
          <w:i/>
        </w:rPr>
        <w:t xml:space="preserve">Decreto Legislativo 806 de 2020, por el cual se adoptan medidas para implementar las tecnologías de la información y las comunicaciones en las actuaciones judiciales</w:t>
      </w:r>
      <w:r>
        <w:rPr>
          <w:rFonts w:ascii="Times New Roman" w:hAnsi="Times New Roman"/>
          <w:sz w:val="24"/>
          <w:szCs w:val="24"/>
        </w:rPr>
        <w:t xml:space="preserve">. Diario Oficial No. 51.335.</w:t>
      </w:r>
    </w:p>
    <w:p>
      <w:pPr>
        <w:spacing w:line="360" w:lineRule="auto" w:after="120"/>
        <w:jc w:val="both"/>
        <w:ind w:left="708" w:hanging="708"/>
      </w:pPr>
      <w:r>
        <w:rPr>
          <w:rFonts w:ascii="Times New Roman" w:hAnsi="Times New Roman"/>
          <w:sz w:val="24"/>
          <w:szCs w:val="24"/>
        </w:rPr>
        <w:t xml:space="preserve">UNESCO. (2021). </w:t>
      </w:r>
      <w:r>
        <w:rPr>
          <w:rFonts w:ascii="Times New Roman" w:hAnsi="Times New Roman"/>
          <w:sz w:val="24"/>
          <w:szCs w:val="24"/>
          <w:i/>
        </w:rPr>
        <w:t xml:space="preserve">Recomendación sobre la ética de la inteligencia artificial</w:t>
      </w:r>
      <w:r>
        <w:rPr>
          <w:rFonts w:ascii="Times New Roman" w:hAnsi="Times New Roman"/>
          <w:sz w:val="24"/>
          <w:szCs w:val="24"/>
        </w:rPr>
        <w:t xml:space="preserve">. Organización de las Naciones Unidas para la Educación, la Ciencia y la Cultura. https://unesdoc.unesco.org/ark:/48223/pf0000381137_spa</w:t>
      </w:r>
    </w:p>
    <w:p>
      <w:pPr>
        <w:spacing w:line="360" w:lineRule="auto" w:after="120"/>
        <w:jc w:val="both"/>
        <w:ind w:left="708" w:hanging="708"/>
      </w:pPr>
      <w:r>
        <w:rPr>
          <w:rFonts w:ascii="Times New Roman" w:hAnsi="Times New Roman"/>
          <w:sz w:val="24"/>
          <w:szCs w:val="24"/>
        </w:rPr>
        <w:t xml:space="preserve">Universidad Externado de Colombia, Departamento de Propiedad Intelectual. (2024). </w:t>
      </w:r>
      <w:r>
        <w:rPr>
          <w:rFonts w:ascii="Times New Roman" w:hAnsi="Times New Roman"/>
          <w:sz w:val="24"/>
          <w:szCs w:val="24"/>
          <w:i/>
        </w:rPr>
        <w:t xml:space="preserve">Artificial Intelligence in the Colombian Judicial System: A Summary and Analysis of Decision T-323 of 2024</w:t>
      </w:r>
      <w:r>
        <w:rPr>
          <w:rFonts w:ascii="Times New Roman" w:hAnsi="Times New Roman"/>
          <w:sz w:val="24"/>
          <w:szCs w:val="24"/>
        </w:rPr>
        <w:t xml:space="preserve">. https://propintel.uexternado.edu.co/</w:t>
      </w:r>
    </w:p>
    <w:p>
      <w:pPr>
        <w:spacing w:line="360" w:lineRule="auto" w:after="120"/>
        <w:jc w:val="both"/>
        <w:ind w:left="708" w:hanging="708"/>
      </w:pPr>
      <w:r>
        <w:rPr>
          <w:rFonts w:ascii="Times New Roman" w:hAnsi="Times New Roman"/>
          <w:sz w:val="24"/>
          <w:szCs w:val="24"/>
        </w:rPr>
        <w:t xml:space="preserve">Chambers and Partners. (2025). </w:t>
      </w:r>
      <w:r>
        <w:rPr>
          <w:rFonts w:ascii="Times New Roman" w:hAnsi="Times New Roman"/>
          <w:sz w:val="24"/>
          <w:szCs w:val="24"/>
          <w:i/>
        </w:rPr>
        <w:t xml:space="preserve">From Code to Constitution: The Constitutionalization of Artificial Intelligence in Colombia's Case Law</w:t>
      </w:r>
      <w:r>
        <w:rPr>
          <w:rFonts w:ascii="Times New Roman" w:hAnsi="Times New Roman"/>
          <w:sz w:val="24"/>
          <w:szCs w:val="24"/>
        </w:rPr>
        <w:t xml:space="preserve">. https://chambers.com/articles/</w:t>
      </w:r>
    </w:p>
    <w:p>
      <w:pPr>
        <w:spacing w:line="360" w:lineRule="auto" w:after="120"/>
        <w:jc w:val="both"/>
        <w:ind w:left="708" w:hanging="708"/>
      </w:pPr>
      <w:r>
        <w:rPr>
          <w:rFonts w:ascii="Times New Roman" w:hAnsi="Times New Roman"/>
          <w:sz w:val="24"/>
          <w:szCs w:val="24"/>
          <w:i/>
        </w:rPr>
        <w:t xml:space="preserve">Nota sobre las fuentes:</w:t>
      </w:r>
      <w:r>
        <w:rPr>
          <w:rFonts w:ascii="Times New Roman" w:hAnsi="Times New Roman"/>
          <w:sz w:val="24"/>
          <w:szCs w:val="24"/>
        </w:rPr>
        <w:t xml:space="preserve"> La caracterización técnica e institucional de PretorIA y la descripción de los criterios jurisprudenciales sobre el uso de inteligencia artificial en la actividad judicial se elaboraron a partir de las providencias citadas y de fuentes secundarias verificables (análisis académicos y especializados). Los contenidos provenientes de fuentes externas fueron reformulados y sintetizados para efectos de esta ponencia. Se recomienda al lector consultar el texto íntegro de las sentencias T-323 de 2024 y T-067 de 2025 en la Relatoría de la Corte Constitucional de Colombia para verificar las reglas y subreglas allí establecidas.</w:t>
      </w:r>
    </w:p>
    <w:sectPr>
      <w:footerReference w:type="default" r:id="rIdFooter"/>
      <w:pgSz w:w="12240" w:h="15840"/>
      <w:pgMar w:top="1440" w:right="1440" w:bottom="1440" w:left="1440" w:header="720" w:footer="720" w:gutter="0"/>
    </w:sectPr>
  </w:body>
</w:document>
</file>

<file path=word/footer1.xml><?xml version="1.0" encoding="utf-8"?>
<w:ftr xmlns:w="http://schemas.openxmlformats.org/wordprocessingml/2006/main">
  <w:p>
    <w:pP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w:docDefaults>
    <w:rPrDefault>
      <w:rPr>
        <w:rFonts w:ascii="Times New Roman" w:hAnsi="Times New Roman"/>
        <w:sz w:val="24"/>
        <w:szCs w:val="24"/>
        <w:lang w:val="es-CO"/>
      </w:rPr>
    </w:rPrDefault>
  </w:docDefaults>
  <w:style w:type="paragraph" w:default="1" w:styleId="Normal">
    <w:name w:val="Normal"/>
    <w:pPr>
      <w:spacing w:line="360" w:lineRule="auto"/>
    </w:pPr>
    <w:rPr>
      <w:rFonts w:ascii="Times New Roman" w:hAnsi="Times New Roman"/>
      <w:sz w:val="24"/>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Footer" Type="http://schemas.openxmlformats.org/officeDocument/2006/relationships/footer" Target="footer1.xml"/>
</Relationships>
</file>

<file path=docProps/core.xml><?xml version="1.0" encoding="utf-8"?>
<cp:coreProperties xmlns:cp="http://schemas.openxmlformats.org/package/2006/metadata/core-properties" xmlns:dc="http://purl.org/dc/elements/1.1/">
  <dc:title>Inteligencia artificial y justicia constitucional: una evaluación de PretorIA a la luz de los principios constitucionales colombianos</dc:title>
  <dc:creator>Ponencia</dc:creator>
  <dc:language>es-CO</dc:language>
</cp:coreProperties>
</file>