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160" w:line="360" w:lineRule="auto"/>
        <w:jc w:val="center"/>
      </w:pPr>
      <w:r>
        <w:rPr>
          <w:rFonts w:ascii="Times New Roman" w:hAnsi="Times New Roman"/>
          <w:sz w:val="34"/>
          <w:szCs w:val="34"/>
          <w:b/>
        </w:rPr>
        <w:t xml:space="preserve">INFORME DE REVISIÓN INTEGRAL DE LA PONENCIA</w:t>
      </w:r>
    </w:p>
    <w:p>
      <w:pPr>
        <w:spacing w:before="0" w:after="200" w:line="360" w:lineRule="auto"/>
        <w:jc w:val="center"/>
      </w:pPr>
      <w:r>
        <w:rPr>
          <w:rFonts w:ascii="Times New Roman" w:hAnsi="Times New Roman"/>
          <w:sz w:val="26"/>
          <w:szCs w:val="26"/>
        </w:rPr>
        <w:t xml:space="preserve">A. Partes repetitivas detectadas (marcadas para corrección)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80" w:line="360" w:lineRule="auto"/>
        <w:jc w:val="center"/>
      </w:pPr>
      <w:r>
        <w:rPr>
          <w:rFonts w:ascii="Times New Roman" w:hAnsi="Times New Roman"/>
          <w:sz w:val="24"/>
          <w:szCs w:val="24"/>
        </w:rPr>
        <w:t xml:space="preserve">Bogotá D.C., Colombia</w:t>
      </w:r>
    </w:p>
    <w:p>
      <w:pPr>
        <w:spacing w:before="0" w:after="80" w:line="360" w:lineRule="auto"/>
        <w:jc w:val="center"/>
      </w:pPr>
      <w:r>
        <w:rPr>
          <w:rFonts w:ascii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pacing w:line="360" w:lineRule="auto" w:before="0" w:after="120"/>
        <w:jc w:val="both"/>
      </w:pPr>
      <w:r>
        <w:rPr>
          <w:rFonts w:ascii="Times New Roman" w:hAnsi="Times New Roman"/>
          <w:sz w:val="24"/>
          <w:szCs w:val="24"/>
          <w:b/>
        </w:rPr>
        <w:t xml:space="preserve">Documento revisado:</w:t>
      </w:r>
      <w:r>
        <w:rPr>
          <w:rFonts w:ascii="Times New Roman" w:hAnsi="Times New Roman"/>
          <w:sz w:val="24"/>
          <w:szCs w:val="24"/>
        </w:rPr>
        <w:t xml:space="preserve"> «BORRADOR PONENCIA — Ponencia final grupo» (</w:t>
      </w:r>
      <w:r>
        <w:rPr>
          <w:rFonts w:ascii="Times New Roman" w:hAnsi="Times New Roman"/>
          <w:sz w:val="24"/>
          <w:szCs w:val="24"/>
          <w:i/>
        </w:rPr>
        <w:t xml:space="preserve">Estándar ético del debido proceso algorítmico en la jurisdicción constitucional colombiana</w:t>
      </w:r>
      <w:r>
        <w:rPr>
          <w:rFonts w:ascii="Times New Roman" w:hAnsi="Times New Roman"/>
          <w:sz w:val="24"/>
          <w:szCs w:val="24"/>
        </w:rPr>
        <w:t xml:space="preserve">).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  <w:b/>
        </w:rPr>
        <w:t xml:space="preserve">Entregables asociados:</w:t>
      </w:r>
      <w:r>
        <w:rPr>
          <w:rFonts w:ascii="Times New Roman" w:hAnsi="Times New Roman"/>
          <w:sz w:val="24"/>
          <w:szCs w:val="24"/>
        </w:rPr>
        <w:t xml:space="preserve"> `PONENCIA_FINAL_REVISADA.md/.docx` (versión corregida y ampliada), `MANUAL_BUENAS_PRACTICAS.md/.docx` (manual independiente) y `PRESENTACION_MANUAL.pdf` (presentación visual del capítulo final).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</w:rPr>
        <w:t xml:space="preserve">Este informe consolida, a modo de subrayado editorial, (A) las partes </w:t>
      </w:r>
      <w:r>
        <w:rPr>
          <w:rFonts w:ascii="Times New Roman" w:hAnsi="Times New Roman"/>
          <w:sz w:val="24"/>
          <w:szCs w:val="24"/>
          <w:b/>
        </w:rPr>
        <w:t xml:space="preserve">repetitivas</w:t>
      </w:r>
      <w:r>
        <w:rPr>
          <w:rFonts w:ascii="Times New Roman" w:hAnsi="Times New Roman"/>
          <w:sz w:val="24"/>
          <w:szCs w:val="24"/>
        </w:rPr>
        <w:t xml:space="preserve">, (B) los </w:t>
      </w:r>
      <w:r>
        <w:rPr>
          <w:rFonts w:ascii="Times New Roman" w:hAnsi="Times New Roman"/>
          <w:sz w:val="24"/>
          <w:szCs w:val="24"/>
          <w:b/>
        </w:rPr>
        <w:t xml:space="preserve">errores y ajustes de citas</w:t>
      </w:r>
      <w:r>
        <w:rPr>
          <w:rFonts w:ascii="Times New Roman" w:hAnsi="Times New Roman"/>
          <w:sz w:val="24"/>
          <w:szCs w:val="24"/>
        </w:rPr>
        <w:t xml:space="preserve">, (C) las </w:t>
      </w:r>
      <w:r>
        <w:rPr>
          <w:rFonts w:ascii="Times New Roman" w:hAnsi="Times New Roman"/>
          <w:sz w:val="24"/>
          <w:szCs w:val="24"/>
          <w:b/>
        </w:rPr>
        <w:t xml:space="preserve">secciones vacías o insuficientes</w:t>
      </w:r>
      <w:r>
        <w:rPr>
          <w:rFonts w:ascii="Times New Roman" w:hAnsi="Times New Roman"/>
          <w:sz w:val="24"/>
          <w:szCs w:val="24"/>
        </w:rPr>
        <w:t xml:space="preserve"> ya corregidas/ampliadas, y (D) el </w:t>
      </w:r>
      <w:r>
        <w:rPr>
          <w:rFonts w:ascii="Times New Roman" w:hAnsi="Times New Roman"/>
          <w:sz w:val="24"/>
          <w:szCs w:val="24"/>
          <w:b/>
        </w:rPr>
        <w:t xml:space="preserve">cotejo de innovación</w:t>
      </w:r>
      <w:r>
        <w:rPr>
          <w:rFonts w:ascii="Times New Roman" w:hAnsi="Times New Roman"/>
          <w:sz w:val="24"/>
          <w:szCs w:val="24"/>
        </w:rPr>
        <w:t xml:space="preserve"> frente al Manual de IA de la Rama Judicial (Escuela Judicial Rodrigo Lara Bonilla / Acuerdo PCSJA24-12243).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1.  </w:t>
      </w:r>
      <w:r>
        <w:rPr>
          <w:rFonts w:ascii="Times New Roman" w:hAnsi="Times New Roman"/>
          <w:sz w:val="24"/>
          <w:szCs w:val="24"/>
          <w:b/>
        </w:rPr>
        <w:t xml:space="preserve">Solapamiento en el capítulo 4 (el más relevante).</w:t>
      </w:r>
      <w:r>
        <w:rPr>
          <w:rFonts w:ascii="Times New Roman" w:hAnsi="Times New Roman"/>
          <w:sz w:val="24"/>
          <w:szCs w:val="24"/>
        </w:rPr>
        <w:t xml:space="preserve"> Los apartados «4.2 Principios», «4.4 Protocolo por fases», «4.5 Decálogo y checklist», «4.9 Reglas para la implementación» y «4.10 Principios orientadores» reiteraban el mismo contenido (control humano, verificación, trazabilidad, protección de datos) con distinta redacción. → </w:t>
      </w:r>
      <w:r>
        <w:rPr>
          <w:rFonts w:ascii="Times New Roman" w:hAnsi="Times New Roman"/>
          <w:sz w:val="24"/>
          <w:szCs w:val="24"/>
          <w:i/>
        </w:rPr>
        <w:t xml:space="preserve">Se reorganizó el capítulo eliminando la duplicación: las «Reglas» (antiguo 4.9) se fundieron con el «Protocolo por fases» y con «Gobernanza» (4.10), evitando repetir las mismas obligaciones tres veces.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2.  </w:t>
      </w:r>
      <w:r>
        <w:rPr>
          <w:rFonts w:ascii="Times New Roman" w:hAnsi="Times New Roman"/>
          <w:sz w:val="24"/>
          <w:szCs w:val="24"/>
          <w:b/>
        </w:rPr>
        <w:t xml:space="preserve">«Apariencia de objetividad / neutralidad técnica».</w:t>
      </w:r>
      <w:r>
        <w:rPr>
          <w:rFonts w:ascii="Times New Roman" w:hAnsi="Times New Roman"/>
          <w:sz w:val="24"/>
          <w:szCs w:val="24"/>
        </w:rPr>
        <w:t xml:space="preserve"> La expresión aparecía repetida en 1.2.1.1 (opacidad) y dos veces en 1.2.1.2 (sesgos). → </w:t>
      </w:r>
      <w:r>
        <w:rPr>
          <w:rFonts w:ascii="Times New Roman" w:hAnsi="Times New Roman"/>
          <w:sz w:val="24"/>
          <w:szCs w:val="24"/>
          <w:i/>
        </w:rPr>
        <w:t xml:space="preserve">Se conservó una sola vez en la sección de sesgos, que es su lugar natural.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3.  </w:t>
      </w:r>
      <w:r>
        <w:rPr>
          <w:rFonts w:ascii="Times New Roman" w:hAnsi="Times New Roman"/>
          <w:sz w:val="24"/>
          <w:szCs w:val="24"/>
          <w:b/>
        </w:rPr>
        <w:t xml:space="preserve">Tríada «transparencia – trazabilidad – supervisión humana».</w:t>
      </w:r>
      <w:r>
        <w:rPr>
          <w:rFonts w:ascii="Times New Roman" w:hAnsi="Times New Roman"/>
          <w:sz w:val="24"/>
          <w:szCs w:val="24"/>
        </w:rPr>
        <w:t xml:space="preserve"> Se repetía casi literalmente en opacidad, en datos personales, en el cierre del capítulo 1 y en el capítulo 2. → </w:t>
      </w:r>
      <w:r>
        <w:rPr>
          <w:rFonts w:ascii="Times New Roman" w:hAnsi="Times New Roman"/>
          <w:sz w:val="24"/>
          <w:szCs w:val="24"/>
          <w:i/>
        </w:rPr>
        <w:t xml:space="preserve">Se diversificó la redacción y se remitió a la definición única del debido proceso algorítmico (1.3).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4.  </w:t>
      </w:r>
      <w:r>
        <w:rPr>
          <w:rFonts w:ascii="Times New Roman" w:hAnsi="Times New Roman"/>
          <w:sz w:val="24"/>
          <w:szCs w:val="24"/>
          <w:b/>
        </w:rPr>
        <w:t xml:space="preserve">Sentencia T-323 de 2024.</w:t>
      </w:r>
      <w:r>
        <w:rPr>
          <w:rFonts w:ascii="Times New Roman" w:hAnsi="Times New Roman"/>
          <w:sz w:val="24"/>
          <w:szCs w:val="24"/>
        </w:rPr>
        <w:t xml:space="preserve"> Se describía con el mismo enfoque en 1.2.1.1, 1.2.1.2 y en el capítulo 3. → </w:t>
      </w:r>
      <w:r>
        <w:rPr>
          <w:rFonts w:ascii="Times New Roman" w:hAnsi="Times New Roman"/>
          <w:sz w:val="24"/>
          <w:szCs w:val="24"/>
          <w:i/>
        </w:rPr>
        <w:t xml:space="preserve">Se distribuyeron los distintos aportes de la sentencia (opacidad / imparcialidad / límites al juez) sin repetir la misma glosa.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5.  </w:t>
      </w:r>
      <w:r>
        <w:rPr>
          <w:rFonts w:ascii="Times New Roman" w:hAnsi="Times New Roman"/>
          <w:sz w:val="24"/>
          <w:szCs w:val="24"/>
          <w:b/>
        </w:rPr>
        <w:t xml:space="preserve">Definición de las «cuatro garantías nucleares».</w:t>
      </w:r>
      <w:r>
        <w:rPr>
          <w:rFonts w:ascii="Times New Roman" w:hAnsi="Times New Roman"/>
          <w:sz w:val="24"/>
          <w:szCs w:val="24"/>
        </w:rPr>
        <w:t xml:space="preserve"> Enunciada en 1.3 y reiterada en la introducción y el capítulo 4. → </w:t>
      </w:r>
      <w:r>
        <w:rPr>
          <w:rFonts w:ascii="Times New Roman" w:hAnsi="Times New Roman"/>
          <w:sz w:val="24"/>
          <w:szCs w:val="24"/>
          <w:i/>
        </w:rPr>
        <w:t xml:space="preserve">Se enuncia una vez en 1.3 y se remite a ella.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  <w:i/>
        </w:rPr>
        <w:t xml:space="preserve">(Estos pasajes están señalados en el archivo de revisión con la marca visual correspondiente; en la versión .docx se resaltan en amarillo.)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B. Errores y ajustes de citas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1.  </w:t>
      </w:r>
      <w:r>
        <w:rPr>
          <w:rFonts w:ascii="Times New Roman" w:hAnsi="Times New Roman"/>
          <w:sz w:val="24"/>
          <w:szCs w:val="24"/>
          <w:b/>
        </w:rPr>
        <w:t xml:space="preserve">Título en inglés:</w:t>
      </w:r>
      <w:r>
        <w:rPr>
          <w:rFonts w:ascii="Times New Roman" w:hAnsi="Times New Roman"/>
          <w:sz w:val="24"/>
          <w:szCs w:val="24"/>
        </w:rPr>
        <w:t xml:space="preserve"> «CONSTITUCIONAL» → </w:t>
      </w:r>
      <w:r>
        <w:rPr>
          <w:rFonts w:ascii="Times New Roman" w:hAnsi="Times New Roman"/>
          <w:sz w:val="24"/>
          <w:szCs w:val="24"/>
          <w:b/>
        </w:rPr>
        <w:t xml:space="preserve">«CONSTITUTIONAL»</w:t>
      </w:r>
      <w:r>
        <w:rPr>
          <w:rFonts w:ascii="Times New Roman" w:hAnsi="Times New Roman"/>
          <w:sz w:val="24"/>
          <w:szCs w:val="24"/>
        </w:rPr>
        <w:t xml:space="preserve"> (Ethical Standards for Algorithmic Due Process in Colombian </w:t>
      </w:r>
      <w:r>
        <w:rPr>
          <w:rFonts w:ascii="Times New Roman" w:hAnsi="Times New Roman"/>
          <w:sz w:val="24"/>
          <w:szCs w:val="24"/>
          <w:b/>
        </w:rPr>
        <w:t xml:space="preserve">Constitutional</w:t>
      </w:r>
      <w:r>
        <w:rPr>
          <w:rFonts w:ascii="Times New Roman" w:hAnsi="Times New Roman"/>
          <w:sz w:val="24"/>
          <w:szCs w:val="24"/>
        </w:rPr>
        <w:t xml:space="preserve"> Jurisdiction).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2.  </w:t>
      </w:r>
      <w:r>
        <w:rPr>
          <w:rFonts w:ascii="Times New Roman" w:hAnsi="Times New Roman"/>
          <w:sz w:val="24"/>
          <w:szCs w:val="24"/>
          <w:b/>
        </w:rPr>
        <w:t xml:space="preserve">Palabras clave ES/EN no paralelas.</w:t>
      </w:r>
      <w:r>
        <w:rPr>
          <w:rFonts w:ascii="Times New Roman" w:hAnsi="Times New Roman"/>
          <w:sz w:val="24"/>
          <w:szCs w:val="24"/>
        </w:rPr>
        <w:t xml:space="preserve"> El español listaba «estándar; debido proceso; inteligencia artificial; algoritmo; jurisdicción constitucional» y el inglés incluía «personal data protection». → </w:t>
      </w:r>
      <w:r>
        <w:rPr>
          <w:rFonts w:ascii="Times New Roman" w:hAnsi="Times New Roman"/>
          <w:sz w:val="24"/>
          <w:szCs w:val="24"/>
          <w:i/>
        </w:rPr>
        <w:t xml:space="preserve">Se homogeneizaron ambas versiones.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3.  </w:t>
      </w:r>
      <w:r>
        <w:rPr>
          <w:rFonts w:ascii="Times New Roman" w:hAnsi="Times New Roman"/>
          <w:sz w:val="24"/>
          <w:szCs w:val="24"/>
          <w:b/>
        </w:rPr>
        <w:t xml:space="preserve">Nombre de autor inconsistente.</w:t>
      </w:r>
      <w:r>
        <w:rPr>
          <w:rFonts w:ascii="Times New Roman" w:hAnsi="Times New Roman"/>
          <w:sz w:val="24"/>
          <w:szCs w:val="24"/>
        </w:rPr>
        <w:t xml:space="preserve"> En el texto: «Gomez Laura, 2022» / «Gómez Laura»; en bibliografía: «Gómez Abeja, L. (2022)». → </w:t>
      </w:r>
      <w:r>
        <w:rPr>
          <w:rFonts w:ascii="Times New Roman" w:hAnsi="Times New Roman"/>
          <w:sz w:val="24"/>
          <w:szCs w:val="24"/>
          <w:i/>
        </w:rPr>
        <w:t xml:space="preserve">Unificado a </w:t>
      </w:r>
      <w:r>
        <w:rPr>
          <w:rFonts w:ascii="Times New Roman" w:hAnsi="Times New Roman"/>
          <w:sz w:val="24"/>
          <w:szCs w:val="24"/>
          <w:i/>
        </w:rPr>
        <w:t xml:space="preserve">Gómez Abeja (2022)</w:t>
      </w:r>
      <w:r>
        <w:rPr>
          <w:rFonts w:ascii="Times New Roman" w:hAnsi="Times New Roman"/>
          <w:sz w:val="24"/>
          <w:szCs w:val="24"/>
          <w:i/>
        </w:rPr>
        <w:t xml:space="preserve"> en texto y referencias.</w:t>
      </w:r>
      <w:r>
        <w:rPr>
          <w:rFonts w:ascii="Times New Roman" w:hAnsi="Times New Roman"/>
          <w:sz w:val="24"/>
          <w:szCs w:val="24"/>
        </w:rPr>
        <w:t xml:space="preserve"> Igualmente «Eguíluz Castañeira (2020)» → </w:t>
      </w:r>
      <w:r>
        <w:rPr>
          <w:rFonts w:ascii="Times New Roman" w:hAnsi="Times New Roman"/>
          <w:sz w:val="24"/>
          <w:szCs w:val="24"/>
          <w:b/>
        </w:rPr>
        <w:t xml:space="preserve">Eguíluz (2020)</w:t>
      </w:r>
      <w:r>
        <w:rPr>
          <w:rFonts w:ascii="Times New Roman" w:hAnsi="Times New Roman"/>
          <w:sz w:val="24"/>
          <w:szCs w:val="24"/>
        </w:rPr>
        <w:t xml:space="preserve"> (coincidente con la ficha «Eguíluz, J. A., 2020»).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4.  </w:t>
      </w:r>
      <w:r>
        <w:rPr>
          <w:rFonts w:ascii="Times New Roman" w:hAnsi="Times New Roman"/>
          <w:sz w:val="24"/>
          <w:szCs w:val="24"/>
          <w:b/>
        </w:rPr>
        <w:t xml:space="preserve">Cita equivocada en sesgos.</w:t>
      </w:r>
      <w:r>
        <w:rPr>
          <w:rFonts w:ascii="Times New Roman" w:hAnsi="Times New Roman"/>
          <w:sz w:val="24"/>
          <w:szCs w:val="24"/>
        </w:rPr>
        <w:t xml:space="preserve"> La definición de sesgos algorítmicos se atribuía a «Lattimore et al., 2020», cuya obra en bibliografía es </w:t>
      </w:r>
      <w:r>
        <w:rPr>
          <w:rFonts w:ascii="Times New Roman" w:hAnsi="Times New Roman"/>
          <w:sz w:val="24"/>
          <w:szCs w:val="24"/>
          <w:i/>
        </w:rPr>
        <w:t xml:space="preserve">Bandit algorithms</w:t>
      </w:r>
      <w:r>
        <w:rPr>
          <w:rFonts w:ascii="Times New Roman" w:hAnsi="Times New Roman"/>
          <w:sz w:val="24"/>
          <w:szCs w:val="24"/>
        </w:rPr>
        <w:t xml:space="preserve"> (aprendizaje por refuerzo), </w:t>
      </w:r>
      <w:r>
        <w:rPr>
          <w:rFonts w:ascii="Times New Roman" w:hAnsi="Times New Roman"/>
          <w:sz w:val="24"/>
          <w:szCs w:val="24"/>
          <w:b/>
        </w:rPr>
        <w:t xml:space="preserve">ajena</w:t>
      </w:r>
      <w:r>
        <w:rPr>
          <w:rFonts w:ascii="Times New Roman" w:hAnsi="Times New Roman"/>
          <w:sz w:val="24"/>
          <w:szCs w:val="24"/>
        </w:rPr>
        <w:t xml:space="preserve"> al tema de sesgo y discriminación. → </w:t>
      </w:r>
      <w:r>
        <w:rPr>
          <w:rFonts w:ascii="Times New Roman" w:hAnsi="Times New Roman"/>
          <w:sz w:val="24"/>
          <w:szCs w:val="24"/>
          <w:i/>
        </w:rPr>
        <w:t xml:space="preserve">Se sustituyó por la FRA (2023), «Bias in algorithms», fuente pertinente. Se retiró de la bibliografía la referencia a Bandit algorithms por no sustentar ninguna afirmación del texto.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5.  </w:t>
      </w:r>
      <w:r>
        <w:rPr>
          <w:rFonts w:ascii="Times New Roman" w:hAnsi="Times New Roman"/>
          <w:sz w:val="24"/>
          <w:szCs w:val="24"/>
          <w:b/>
        </w:rPr>
        <w:t xml:space="preserve">T-323 de 2024 duplicada</w:t>
      </w:r>
      <w:r>
        <w:rPr>
          <w:rFonts w:ascii="Times New Roman" w:hAnsi="Times New Roman"/>
          <w:sz w:val="24"/>
          <w:szCs w:val="24"/>
        </w:rPr>
        <w:t xml:space="preserve"> en la bibliografía (aparecía dos veces). → </w:t>
      </w:r>
      <w:r>
        <w:rPr>
          <w:rFonts w:ascii="Times New Roman" w:hAnsi="Times New Roman"/>
          <w:sz w:val="24"/>
          <w:szCs w:val="24"/>
          <w:i/>
        </w:rPr>
        <w:t xml:space="preserve">Se dejó una sola entrada, con M. P.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6.  </w:t>
      </w:r>
      <w:r>
        <w:rPr>
          <w:rFonts w:ascii="Times New Roman" w:hAnsi="Times New Roman"/>
          <w:sz w:val="24"/>
          <w:szCs w:val="24"/>
          <w:b/>
        </w:rPr>
        <w:t xml:space="preserve">«Declaración de Delhi de 2026».</w:t>
      </w:r>
      <w:r>
        <w:rPr>
          <w:rFonts w:ascii="Times New Roman" w:hAnsi="Times New Roman"/>
          <w:sz w:val="24"/>
          <w:szCs w:val="24"/>
        </w:rPr>
        <w:t xml:space="preserve"> Referencia no verificable. → </w:t>
      </w:r>
      <w:r>
        <w:rPr>
          <w:rFonts w:ascii="Times New Roman" w:hAnsi="Times New Roman"/>
          <w:sz w:val="24"/>
          <w:szCs w:val="24"/>
          <w:i/>
        </w:rPr>
        <w:t xml:space="preserve">Se retiró y su función (estándares de evaluación de impacto y supervisión para IA de alto riesgo) se sustentó en el Reglamento (UE) 2024/1689, verificable.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7.  </w:t>
      </w:r>
      <w:r>
        <w:rPr>
          <w:rFonts w:ascii="Times New Roman" w:hAnsi="Times New Roman"/>
          <w:sz w:val="24"/>
          <w:szCs w:val="24"/>
          <w:b/>
        </w:rPr>
        <w:t xml:space="preserve">Incoherencias de año.</w:t>
      </w:r>
      <w:r>
        <w:rPr>
          <w:rFonts w:ascii="Times New Roman" w:hAnsi="Times New Roman"/>
          <w:sz w:val="24"/>
          <w:szCs w:val="24"/>
        </w:rPr>
        <w:t xml:space="preserve"> «CEPEJ (2020)» en texto vs. «CEPEJ (2021)» en bibliografía; «FRA (2020)» y «FRA (2023)» mezcladas. → </w:t>
      </w:r>
      <w:r>
        <w:rPr>
          <w:rFonts w:ascii="Times New Roman" w:hAnsi="Times New Roman"/>
          <w:sz w:val="24"/>
          <w:szCs w:val="24"/>
          <w:i/>
        </w:rPr>
        <w:t xml:space="preserve">Se fijó la Carta Ética de la CEPEJ en </w:t>
      </w:r>
      <w:r>
        <w:rPr>
          <w:rFonts w:ascii="Times New Roman" w:hAnsi="Times New Roman"/>
          <w:sz w:val="24"/>
          <w:szCs w:val="24"/>
          <w:i/>
        </w:rPr>
        <w:t xml:space="preserve">2018</w:t>
      </w:r>
      <w:r>
        <w:rPr>
          <w:rFonts w:ascii="Times New Roman" w:hAnsi="Times New Roman"/>
          <w:sz w:val="24"/>
          <w:szCs w:val="24"/>
          <w:i/>
        </w:rPr>
        <w:t xml:space="preserve"> (año de adopción) y se distinguió FRA (2020) «Getting the future right» de FRA (2023) «Bias in algorithms».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8.  </w:t>
      </w:r>
      <w:r>
        <w:rPr>
          <w:rFonts w:ascii="Times New Roman" w:hAnsi="Times New Roman"/>
          <w:sz w:val="24"/>
          <w:szCs w:val="24"/>
          <w:b/>
        </w:rPr>
        <w:t xml:space="preserve">«Cinco principios» de la CEPEJ con seis ítems.</w:t>
      </w:r>
      <w:r>
        <w:rPr>
          <w:rFonts w:ascii="Times New Roman" w:hAnsi="Times New Roman"/>
          <w:sz w:val="24"/>
          <w:szCs w:val="24"/>
        </w:rPr>
        <w:t xml:space="preserve"> El texto enumeraba seis. → </w:t>
      </w:r>
      <w:r>
        <w:rPr>
          <w:rFonts w:ascii="Times New Roman" w:hAnsi="Times New Roman"/>
          <w:sz w:val="24"/>
          <w:szCs w:val="24"/>
          <w:i/>
        </w:rPr>
        <w:t xml:space="preserve">Se corrigió a los cinco reales: (1) derechos fundamentales; (2) no discriminación; (3) calidad y seguridad; (4) transparencia, imparcialidad y equidad; (5) control por el usuario.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9.  </w:t>
      </w:r>
      <w:r>
        <w:rPr>
          <w:rFonts w:ascii="Times New Roman" w:hAnsi="Times New Roman"/>
          <w:sz w:val="24"/>
          <w:szCs w:val="24"/>
          <w:b/>
        </w:rPr>
        <w:t xml:space="preserve">BOSCO/CIVIO precisado.</w:t>
      </w:r>
      <w:r>
        <w:rPr>
          <w:rFonts w:ascii="Times New Roman" w:hAnsi="Times New Roman"/>
          <w:sz w:val="24"/>
          <w:szCs w:val="24"/>
        </w:rPr>
        <w:t xml:space="preserve"> «Tribunal Supremo, 2025» → </w:t>
      </w:r>
      <w:r>
        <w:rPr>
          <w:rFonts w:ascii="Times New Roman" w:hAnsi="Times New Roman"/>
          <w:sz w:val="24"/>
          <w:szCs w:val="24"/>
          <w:b/>
        </w:rPr>
        <w:t xml:space="preserve">STS (Sala 3.ª, Sección 3.ª) n.º 1119/2025, de 11 de septiembre de 2025</w:t>
      </w:r>
      <w:r>
        <w:rPr>
          <w:rFonts w:ascii="Times New Roman" w:hAnsi="Times New Roman"/>
          <w:sz w:val="24"/>
          <w:szCs w:val="24"/>
        </w:rPr>
        <w:t xml:space="preserve">, rec. casación 7878/2024 (dato verificado en el propio documento del repositorio).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10.  </w:t>
      </w:r>
      <w:r>
        <w:rPr>
          <w:rFonts w:ascii="Times New Roman" w:hAnsi="Times New Roman"/>
          <w:sz w:val="24"/>
          <w:szCs w:val="24"/>
          <w:b/>
        </w:rPr>
        <w:t xml:space="preserve">SCHUFA precisado:</w:t>
      </w:r>
      <w:r>
        <w:rPr>
          <w:rFonts w:ascii="Times New Roman" w:hAnsi="Times New Roman"/>
          <w:sz w:val="24"/>
          <w:szCs w:val="24"/>
        </w:rPr>
        <w:t xml:space="preserve"> TJUE, </w:t>
      </w:r>
      <w:r>
        <w:rPr>
          <w:rFonts w:ascii="Times New Roman" w:hAnsi="Times New Roman"/>
          <w:sz w:val="24"/>
          <w:szCs w:val="24"/>
          <w:b/>
        </w:rPr>
        <w:t xml:space="preserve">asunto C-634/21, sentencia de 7 de diciembre de 2023</w:t>
      </w:r>
      <w:r>
        <w:rPr>
          <w:rFonts w:ascii="Times New Roman" w:hAnsi="Times New Roman"/>
          <w:sz w:val="24"/>
          <w:szCs w:val="24"/>
        </w:rPr>
        <w:t xml:space="preserve">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11.  </w:t>
      </w:r>
      <w:r>
        <w:rPr>
          <w:rFonts w:ascii="Times New Roman" w:hAnsi="Times New Roman"/>
          <w:sz w:val="24"/>
          <w:szCs w:val="24"/>
          <w:b/>
        </w:rPr>
        <w:t xml:space="preserve">Referencias citadas y ausentes de la bibliografía</w:t>
      </w:r>
      <w:r>
        <w:rPr>
          <w:rFonts w:ascii="Times New Roman" w:hAnsi="Times New Roman"/>
          <w:sz w:val="24"/>
          <w:szCs w:val="24"/>
        </w:rPr>
        <w:t xml:space="preserve"> (Sánchez Marco 2024, CEPEJ, OCDE) → </w:t>
      </w:r>
      <w:r>
        <w:rPr>
          <w:rFonts w:ascii="Times New Roman" w:hAnsi="Times New Roman"/>
          <w:sz w:val="24"/>
          <w:szCs w:val="24"/>
          <w:i/>
        </w:rPr>
        <w:t xml:space="preserve">incorporadas.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C. Secciones vacías o insuficientes (corregidas y ampliadas)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•  </w:t>
      </w:r>
      <w:r>
        <w:rPr>
          <w:rFonts w:ascii="Times New Roman" w:hAnsi="Times New Roman"/>
          <w:sz w:val="24"/>
          <w:szCs w:val="24"/>
          <w:b/>
        </w:rPr>
        <w:t xml:space="preserve">CONCLUSIÓN:</w:t>
      </w:r>
      <w:r>
        <w:rPr>
          <w:rFonts w:ascii="Times New Roman" w:hAnsi="Times New Roman"/>
          <w:sz w:val="24"/>
          <w:szCs w:val="24"/>
        </w:rPr>
        <w:t xml:space="preserve"> estaba </w:t>
      </w:r>
      <w:r>
        <w:rPr>
          <w:rFonts w:ascii="Times New Roman" w:hAnsi="Times New Roman"/>
          <w:sz w:val="24"/>
          <w:szCs w:val="24"/>
          <w:b/>
        </w:rPr>
        <w:t xml:space="preserve">vacía</w:t>
      </w:r>
      <w:r>
        <w:rPr>
          <w:rFonts w:ascii="Times New Roman" w:hAnsi="Times New Roman"/>
          <w:sz w:val="24"/>
          <w:szCs w:val="24"/>
        </w:rPr>
        <w:t xml:space="preserve">. → </w:t>
      </w:r>
      <w:r>
        <w:rPr>
          <w:rFonts w:ascii="Times New Roman" w:hAnsi="Times New Roman"/>
          <w:sz w:val="24"/>
          <w:szCs w:val="24"/>
          <w:i/>
        </w:rPr>
        <w:t xml:space="preserve">Se redactaron cinco conclusiones sustantivas.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•  </w:t>
      </w:r>
      <w:r>
        <w:rPr>
          <w:rFonts w:ascii="Times New Roman" w:hAnsi="Times New Roman"/>
          <w:sz w:val="24"/>
          <w:szCs w:val="24"/>
          <w:b/>
        </w:rPr>
        <w:t xml:space="preserve">4.8 «Matriz»:</w:t>
      </w:r>
      <w:r>
        <w:rPr>
          <w:rFonts w:ascii="Times New Roman" w:hAnsi="Times New Roman"/>
          <w:sz w:val="24"/>
          <w:szCs w:val="24"/>
        </w:rPr>
        <w:t xml:space="preserve"> figuraba como </w:t>
      </w:r>
      <w:r>
        <w:rPr>
          <w:rFonts w:ascii="Times New Roman" w:hAnsi="Times New Roman"/>
          <w:sz w:val="24"/>
          <w:szCs w:val="24"/>
          <w:b/>
        </w:rPr>
        <w:t xml:space="preserve">título sin contenido</w:t>
      </w:r>
      <w:r>
        <w:rPr>
          <w:rFonts w:ascii="Times New Roman" w:hAnsi="Times New Roman"/>
          <w:sz w:val="24"/>
          <w:szCs w:val="24"/>
        </w:rPr>
        <w:t xml:space="preserve">. → </w:t>
      </w:r>
      <w:r>
        <w:rPr>
          <w:rFonts w:ascii="Times New Roman" w:hAnsi="Times New Roman"/>
          <w:sz w:val="24"/>
          <w:szCs w:val="24"/>
          <w:i/>
        </w:rPr>
        <w:t xml:space="preserve">Se construyó la matriz de usos permitidos y prohibidos.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•  </w:t>
      </w:r>
      <w:r>
        <w:rPr>
          <w:rFonts w:ascii="Times New Roman" w:hAnsi="Times New Roman"/>
          <w:sz w:val="24"/>
          <w:szCs w:val="24"/>
          <w:b/>
        </w:rPr>
        <w:t xml:space="preserve">Principios incompletos:</w:t>
      </w:r>
      <w:r>
        <w:rPr>
          <w:rFonts w:ascii="Times New Roman" w:hAnsi="Times New Roman"/>
          <w:sz w:val="24"/>
          <w:szCs w:val="24"/>
        </w:rPr>
        <w:t xml:space="preserve"> tras el principio (vii) quedaban sueltos los títulos «Corrección de sesgos» y «Principio de primacía de los derechos fundamentales». → </w:t>
      </w:r>
      <w:r>
        <w:rPr>
          <w:rFonts w:ascii="Times New Roman" w:hAnsi="Times New Roman"/>
          <w:sz w:val="24"/>
          <w:szCs w:val="24"/>
          <w:i/>
        </w:rPr>
        <w:t xml:space="preserve">Se integró el principio </w:t>
      </w:r>
      <w:r>
        <w:rPr>
          <w:rFonts w:ascii="Times New Roman" w:hAnsi="Times New Roman"/>
          <w:sz w:val="24"/>
          <w:szCs w:val="24"/>
          <w:i/>
        </w:rPr>
        <w:t xml:space="preserve">(viii) Primacía de los derechos fundamentales</w:t>
      </w:r>
      <w:r>
        <w:rPr>
          <w:rFonts w:ascii="Times New Roman" w:hAnsi="Times New Roman"/>
          <w:sz w:val="24"/>
          <w:szCs w:val="24"/>
          <w:i/>
        </w:rPr>
        <w:t xml:space="preserve"> como principio de cierre; la corrección de sesgos se subsumió en el principio (iv).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•  </w:t>
      </w:r>
      <w:r>
        <w:rPr>
          <w:rFonts w:ascii="Times New Roman" w:hAnsi="Times New Roman"/>
          <w:sz w:val="24"/>
          <w:szCs w:val="24"/>
          <w:b/>
        </w:rPr>
        <w:t xml:space="preserve">2.3 y 2.4</w:t>
      </w:r>
      <w:r>
        <w:rPr>
          <w:rFonts w:ascii="Times New Roman" w:hAnsi="Times New Roman"/>
          <w:sz w:val="24"/>
          <w:szCs w:val="24"/>
        </w:rPr>
        <w:t xml:space="preserve"> (comentario «Profundizar»): eran de una o dos frases. → </w:t>
      </w:r>
      <w:r>
        <w:rPr>
          <w:rFonts w:ascii="Times New Roman" w:hAnsi="Times New Roman"/>
          <w:sz w:val="24"/>
          <w:szCs w:val="24"/>
          <w:i/>
        </w:rPr>
        <w:t xml:space="preserve">Se ampliaron: 2.3 con siete vacíos sistematizados y 2.4 con las tres razones que justifican el estándar en la jurisdicción constitucional.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•  </w:t>
      </w:r>
      <w:r>
        <w:rPr>
          <w:rFonts w:ascii="Times New Roman" w:hAnsi="Times New Roman"/>
          <w:sz w:val="24"/>
          <w:szCs w:val="24"/>
          <w:b/>
        </w:rPr>
        <w:t xml:space="preserve">Fuentes del repositorio no aprovechadas:</w:t>
      </w:r>
      <w:r>
        <w:rPr>
          <w:rFonts w:ascii="Times New Roman" w:hAnsi="Times New Roman"/>
          <w:sz w:val="24"/>
          <w:szCs w:val="24"/>
        </w:rPr>
        <w:t xml:space="preserve"> se integraron </w:t>
      </w:r>
      <w:r>
        <w:rPr>
          <w:rFonts w:ascii="Times New Roman" w:hAnsi="Times New Roman"/>
          <w:sz w:val="24"/>
          <w:szCs w:val="24"/>
          <w:b/>
        </w:rPr>
        <w:t xml:space="preserve">State v. Loomis (2016)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b/>
        </w:rPr>
        <w:t xml:space="preserve">Resolución/Resolução 332 de 2020 del CNJ de Brasil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b/>
        </w:rPr>
        <w:t xml:space="preserve">C-748 de 2011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b/>
        </w:rPr>
        <w:t xml:space="preserve">T-729 de 2002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b/>
        </w:rPr>
        <w:t xml:space="preserve">Ley 1341 de 2009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b/>
        </w:rPr>
        <w:t xml:space="preserve">Ley 1266 de 2008</w:t>
      </w:r>
      <w:r>
        <w:rPr>
          <w:rFonts w:ascii="Times New Roman" w:hAnsi="Times New Roman"/>
          <w:sz w:val="24"/>
          <w:szCs w:val="24"/>
        </w:rPr>
        <w:t xml:space="preserve"> y el </w:t>
      </w:r>
      <w:r>
        <w:rPr>
          <w:rFonts w:ascii="Times New Roman" w:hAnsi="Times New Roman"/>
          <w:sz w:val="24"/>
          <w:szCs w:val="24"/>
          <w:b/>
        </w:rPr>
        <w:t xml:space="preserve">Marco de competencias en IA de la UNESCO</w:t>
      </w:r>
      <w:r>
        <w:rPr>
          <w:rFonts w:ascii="Times New Roman" w:hAnsi="Times New Roman"/>
          <w:sz w:val="24"/>
          <w:szCs w:val="24"/>
        </w:rPr>
        <w:t xml:space="preserve">.</w:t>
      </w:r>
    </w:p>
    <w:p>
      <w:pPr>
        <w:spacing w:before="320" w:after="140" w:line="360" w:lineRule="auto"/>
        <w:jc w:val="left"/>
        <w:keepNext/>
      </w:pPr>
      <w:r>
        <w:rPr>
          <w:rFonts w:ascii="Times New Roman" w:hAnsi="Times New Roman"/>
          <w:b/>
          <w:sz w:val="27"/>
          <w:szCs w:val="27"/>
        </w:rPr>
        <w:t xml:space="preserve">D. Cotejo de innovación frente al Manual de IA «Lara Bonilla»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  <w:b/>
        </w:rPr>
        <w:t xml:space="preserve">Qué es el manual de referencia.</w:t>
      </w:r>
      <w:r>
        <w:rPr>
          <w:rFonts w:ascii="Times New Roman" w:hAnsi="Times New Roman"/>
          <w:sz w:val="24"/>
          <w:szCs w:val="24"/>
        </w:rPr>
        <w:t xml:space="preserve"> El «Manual para el uso de IA — Guía paso a paso para la integración responsable y ética de la Inteligencia Artificial en las labores diarias de la Rama Judicial» es un </w:t>
      </w:r>
      <w:r>
        <w:rPr>
          <w:rFonts w:ascii="Times New Roman" w:hAnsi="Times New Roman"/>
          <w:sz w:val="24"/>
          <w:szCs w:val="24"/>
          <w:b/>
        </w:rPr>
        <w:t xml:space="preserve">instrumento operativo</w:t>
      </w:r>
      <w:r>
        <w:rPr>
          <w:rFonts w:ascii="Times New Roman" w:hAnsi="Times New Roman"/>
          <w:sz w:val="24"/>
          <w:szCs w:val="24"/>
        </w:rPr>
        <w:t xml:space="preserve"> del Consejo Superior de la Judicatura / Escuela Judicial Rodrigo Lara Bonilla, ligado al Acuerdo PCSJA24-12243. Se organiza como una </w:t>
      </w:r>
      <w:r>
        <w:rPr>
          <w:rFonts w:ascii="Times New Roman" w:hAnsi="Times New Roman"/>
          <w:sz w:val="24"/>
          <w:szCs w:val="24"/>
          <w:b/>
        </w:rPr>
        <w:t xml:space="preserve">secuencia de 7 pasos</w:t>
      </w:r>
      <w:r>
        <w:rPr>
          <w:rFonts w:ascii="Times New Roman" w:hAnsi="Times New Roman"/>
          <w:sz w:val="24"/>
          <w:szCs w:val="24"/>
        </w:rPr>
        <w:t xml:space="preserve"> («¡Decide con confianza!»), con lenguaje informal dirigido al servidor («tú»): Paso 1 (antes de usar, pregúntate); Paso 2 (usos permitidos, art. 4: gestión administrativa o de soporte); Paso 3 (pasos previos, art. 7: supervisión humana, manejo de la información, capacitación); Paso 4 (deberes, art. 8: checklist, evitar </w:t>
      </w:r>
      <w:r>
        <w:rPr>
          <w:rFonts w:ascii="Times New Roman" w:hAnsi="Times New Roman"/>
          <w:sz w:val="24"/>
          <w:szCs w:val="24"/>
          <w:i/>
        </w:rPr>
        <w:t xml:space="preserve">chatbots</w:t>
      </w:r>
      <w:r>
        <w:rPr>
          <w:rFonts w:ascii="Times New Roman" w:hAnsi="Times New Roman"/>
          <w:sz w:val="24"/>
          <w:szCs w:val="24"/>
        </w:rPr>
        <w:t xml:space="preserve"> gratuitos); Paso 5 (términos y condiciones, usos permitidos/prohibidos); Paso 6 (transparencia e integridad, informar el uso); Paso 7 (reporte a la Unidad de Transformación Digital).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  <w:b/>
        </w:rPr>
        <w:t xml:space="preserve">Riesgos de similitud identificados.</w:t>
      </w:r>
      <w:r>
        <w:rPr>
          <w:rFonts w:ascii="Times New Roman" w:hAnsi="Times New Roman"/>
          <w:sz w:val="24"/>
          <w:szCs w:val="24"/>
        </w:rPr>
        <w:t xml:space="preserve"> El capítulo 4 de la ponencia compartía con ese manual elementos temáticos inevitables (por derivar ambos de la T-323 y del Acuerdo): usos permitidos/prohibidos, verificación, transparencia, supervisión humana y protección de datos.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  <w:b/>
        </w:rPr>
        <w:t xml:space="preserve">Modificaciones aplicadas para asegurar la originalidad.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1.  </w:t>
      </w:r>
      <w:r>
        <w:rPr>
          <w:rFonts w:ascii="Times New Roman" w:hAnsi="Times New Roman"/>
          <w:sz w:val="24"/>
          <w:szCs w:val="24"/>
          <w:b/>
        </w:rPr>
        <w:t xml:space="preserve">Cambio de naturaleza:</w:t>
      </w:r>
      <w:r>
        <w:rPr>
          <w:rFonts w:ascii="Times New Roman" w:hAnsi="Times New Roman"/>
          <w:sz w:val="24"/>
          <w:szCs w:val="24"/>
        </w:rPr>
        <w:t xml:space="preserve"> el manual de la Rama Judicial es una guía </w:t>
      </w:r>
      <w:r>
        <w:rPr>
          <w:rFonts w:ascii="Times New Roman" w:hAnsi="Times New Roman"/>
          <w:sz w:val="24"/>
          <w:szCs w:val="24"/>
          <w:b/>
        </w:rPr>
        <w:t xml:space="preserve">procedimental de pasos</w:t>
      </w:r>
      <w:r>
        <w:rPr>
          <w:rFonts w:ascii="Times New Roman" w:hAnsi="Times New Roman"/>
          <w:sz w:val="24"/>
          <w:szCs w:val="24"/>
        </w:rPr>
        <w:t xml:space="preserve">; nuestra propuesta es un </w:t>
      </w:r>
      <w:r>
        <w:rPr>
          <w:rFonts w:ascii="Times New Roman" w:hAnsi="Times New Roman"/>
          <w:sz w:val="24"/>
          <w:szCs w:val="24"/>
          <w:b/>
        </w:rPr>
        <w:t xml:space="preserve">estándar ético-constitucional</w:t>
      </w:r>
      <w:r>
        <w:rPr>
          <w:rFonts w:ascii="Times New Roman" w:hAnsi="Times New Roman"/>
          <w:sz w:val="24"/>
          <w:szCs w:val="24"/>
        </w:rPr>
        <w:t xml:space="preserve"> derivado de una interpretación evolutiva del art. 29, con los principios convertidos en </w:t>
      </w:r>
      <w:r>
        <w:rPr>
          <w:rFonts w:ascii="Times New Roman" w:hAnsi="Times New Roman"/>
          <w:sz w:val="24"/>
          <w:szCs w:val="24"/>
          <w:b/>
        </w:rPr>
        <w:t xml:space="preserve">reglas operativas verificables</w:t>
      </w:r>
      <w:r>
        <w:rPr>
          <w:rFonts w:ascii="Times New Roman" w:hAnsi="Times New Roman"/>
          <w:sz w:val="24"/>
          <w:szCs w:val="24"/>
        </w:rPr>
        <w:t xml:space="preserve"> (no en «pasos»).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2.  </w:t>
      </w:r>
      <w:r>
        <w:rPr>
          <w:rFonts w:ascii="Times New Roman" w:hAnsi="Times New Roman"/>
          <w:sz w:val="24"/>
          <w:szCs w:val="24"/>
          <w:b/>
        </w:rPr>
        <w:t xml:space="preserve">Ámbito diferenciado:</w:t>
      </w:r>
      <w:r>
        <w:rPr>
          <w:rFonts w:ascii="Times New Roman" w:hAnsi="Times New Roman"/>
          <w:sz w:val="24"/>
          <w:szCs w:val="24"/>
        </w:rPr>
        <w:t xml:space="preserve"> se focaliza en la </w:t>
      </w:r>
      <w:r>
        <w:rPr>
          <w:rFonts w:ascii="Times New Roman" w:hAnsi="Times New Roman"/>
          <w:sz w:val="24"/>
          <w:szCs w:val="24"/>
          <w:b/>
        </w:rPr>
        <w:t xml:space="preserve">jurisdicción constitucional</w:t>
      </w:r>
      <w:r>
        <w:rPr>
          <w:rFonts w:ascii="Times New Roman" w:hAnsi="Times New Roman"/>
          <w:sz w:val="24"/>
          <w:szCs w:val="24"/>
        </w:rPr>
        <w:t xml:space="preserve"> (acción de tutela, sujetos de especial protección, reserva de datos sensibles), no en las labores administrativas generales del despacho.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3.  </w:t>
      </w:r>
      <w:r>
        <w:rPr>
          <w:rFonts w:ascii="Times New Roman" w:hAnsi="Times New Roman"/>
          <w:sz w:val="24"/>
          <w:szCs w:val="24"/>
          <w:b/>
        </w:rPr>
        <w:t xml:space="preserve">Estructura propia:</w:t>
      </w:r>
      <w:r>
        <w:rPr>
          <w:rFonts w:ascii="Times New Roman" w:hAnsi="Times New Roman"/>
          <w:sz w:val="24"/>
          <w:szCs w:val="24"/>
        </w:rPr>
        <w:t xml:space="preserve"> en lugar de la secuencia «Paso 1–7», se adopta la arquitectura </w:t>
      </w:r>
      <w:r>
        <w:rPr>
          <w:rFonts w:ascii="Times New Roman" w:hAnsi="Times New Roman"/>
          <w:sz w:val="24"/>
          <w:szCs w:val="24"/>
          <w:b/>
        </w:rPr>
        <w:t xml:space="preserve">fundamentos → principios (i–viii) → protocolo por fases → matriz → decálogo → checklist → deberes de revelación → tratamiento de datos en tutelas → gobernanza</w:t>
      </w:r>
      <w:r>
        <w:rPr>
          <w:rFonts w:ascii="Times New Roman" w:hAnsi="Times New Roman"/>
          <w:sz w:val="24"/>
          <w:szCs w:val="24"/>
        </w:rPr>
        <w:t xml:space="preserve">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4.  </w:t>
      </w:r>
      <w:r>
        <w:rPr>
          <w:rFonts w:ascii="Times New Roman" w:hAnsi="Times New Roman"/>
          <w:sz w:val="24"/>
          <w:szCs w:val="24"/>
          <w:b/>
        </w:rPr>
        <w:t xml:space="preserve">Aparato comparado y dogmático original:</w:t>
      </w:r>
      <w:r>
        <w:rPr>
          <w:rFonts w:ascii="Times New Roman" w:hAnsi="Times New Roman"/>
          <w:sz w:val="24"/>
          <w:szCs w:val="24"/>
        </w:rPr>
        <w:t xml:space="preserve"> se incorporan Loomis, Ewert, SyRI, SCHUFA, BOSCO y la Resolución 332/2020 del CNJ brasileño, ausentes del manual oficial, y la categoría dogmática propia del </w:t>
      </w:r>
      <w:r>
        <w:rPr>
          <w:rFonts w:ascii="Times New Roman" w:hAnsi="Times New Roman"/>
          <w:sz w:val="24"/>
          <w:szCs w:val="24"/>
          <w:b/>
        </w:rPr>
        <w:t xml:space="preserve">«debido proceso algorítmico» como dimensión especializada del art. 29</w:t>
      </w:r>
      <w:r>
        <w:rPr>
          <w:rFonts w:ascii="Times New Roman" w:hAnsi="Times New Roman"/>
          <w:sz w:val="24"/>
          <w:szCs w:val="24"/>
        </w:rPr>
        <w:t xml:space="preserve">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5.  </w:t>
      </w:r>
      <w:r>
        <w:rPr>
          <w:rFonts w:ascii="Times New Roman" w:hAnsi="Times New Roman"/>
          <w:sz w:val="24"/>
          <w:szCs w:val="24"/>
          <w:b/>
        </w:rPr>
        <w:t xml:space="preserve">Tono y registro:</w:t>
      </w:r>
      <w:r>
        <w:rPr>
          <w:rFonts w:ascii="Times New Roman" w:hAnsi="Times New Roman"/>
          <w:sz w:val="24"/>
          <w:szCs w:val="24"/>
        </w:rPr>
        <w:t xml:space="preserve"> se sustituye el registro informal («¡Decide con confianza!», «pregúntate») por un registro académico-normativo.</w:t>
      </w:r>
    </w:p>
    <w:p>
      <w:pPr>
        <w:spacing w:line="360" w:lineRule="auto" w:after="60"/>
        <w:jc w:val="both"/>
        <w:ind w:left="708" w:hanging="284"/>
      </w:pPr>
      <w:r>
        <w:rPr>
          <w:rFonts w:ascii="Times New Roman" w:hAnsi="Times New Roman"/>
          <w:sz w:val="24"/>
          <w:szCs w:val="24"/>
        </w:rPr>
        <w:t xml:space="preserve">6.  </w:t>
      </w:r>
      <w:r>
        <w:rPr>
          <w:rFonts w:ascii="Times New Roman" w:hAnsi="Times New Roman"/>
          <w:sz w:val="24"/>
          <w:szCs w:val="24"/>
          <w:b/>
        </w:rPr>
        <w:t xml:space="preserve">Función:</w:t>
      </w:r>
      <w:r>
        <w:rPr>
          <w:rFonts w:ascii="Times New Roman" w:hAnsi="Times New Roman"/>
          <w:sz w:val="24"/>
          <w:szCs w:val="24"/>
        </w:rPr>
        <w:t xml:space="preserve"> el manual oficial ejecuta el Acuerdo; nuestro estándar se propone como </w:t>
      </w:r>
      <w:r>
        <w:rPr>
          <w:rFonts w:ascii="Times New Roman" w:hAnsi="Times New Roman"/>
          <w:sz w:val="24"/>
          <w:szCs w:val="24"/>
          <w:b/>
        </w:rPr>
        <w:t xml:space="preserve">referente para futuros instrumentos normativos y de política judicial</w:t>
      </w:r>
      <w:r>
        <w:rPr>
          <w:rFonts w:ascii="Times New Roman" w:hAnsi="Times New Roman"/>
          <w:sz w:val="24"/>
          <w:szCs w:val="24"/>
        </w:rPr>
        <w:t xml:space="preserve">, con vocación propositiva.</w:t>
      </w:r>
    </w:p>
    <w:p>
      <w:pPr>
        <w:spacing w:line="360" w:lineRule="auto" w:before="0" w:after="120"/>
        <w:jc w:val="both"/>
        <w:ind w:firstLine="708"/>
      </w:pPr>
      <w:r>
        <w:rPr>
          <w:rFonts w:ascii="Times New Roman" w:hAnsi="Times New Roman"/>
          <w:sz w:val="24"/>
          <w:szCs w:val="24"/>
          <w:b/>
        </w:rPr>
        <w:t xml:space="preserve">Conclusión del cotejo:</w:t>
      </w:r>
      <w:r>
        <w:rPr>
          <w:rFonts w:ascii="Times New Roman" w:hAnsi="Times New Roman"/>
          <w:sz w:val="24"/>
          <w:szCs w:val="24"/>
        </w:rPr>
        <w:t xml:space="preserve"> con estos ajustes, el capítulo final y el manual independiente </w:t>
      </w:r>
      <w:r>
        <w:rPr>
          <w:rFonts w:ascii="Times New Roman" w:hAnsi="Times New Roman"/>
          <w:sz w:val="24"/>
          <w:szCs w:val="24"/>
          <w:b/>
        </w:rPr>
        <w:t xml:space="preserve">no reproducen</w:t>
      </w:r>
      <w:r>
        <w:rPr>
          <w:rFonts w:ascii="Times New Roman" w:hAnsi="Times New Roman"/>
          <w:sz w:val="24"/>
          <w:szCs w:val="24"/>
        </w:rPr>
        <w:t xml:space="preserve"> la estructura, el lenguaje ni el enfoque del Manual Lara Bonilla; las coincidencias remanentes son las mínimas e inevitables que derivan de la fuente jurisprudencial común (T-323 de 2024) y del Acuerdo PCSJA24-12243, debidamente citados.</w:t>
      </w:r>
    </w:p>
    <w:sectPr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  <w:lang w:val="es-CO"/>
      </w:rPr>
    </w:rPrDefault>
  </w:docDefaults>
  <w:style w:type="paragraph" w:default="1" w:styleId="Normal">
    <w:name w:val="Normal"/>
    <w:pPr>
      <w:spacing w:line="360" w:lineRule="auto"/>
    </w:pPr>
    <w:rPr>
      <w:rFonts w:ascii="Times New Roman" w:hAnsi="Times New Roman"/>
      <w:sz w:val="24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<Relationship Id="rIdFooter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INFORME DE REVISIÓN INTEGRAL DE LA PONENCIA</dc:title>
  <dc:creator>Ponencia</dc:creator>
  <dc:language>es-CO</dc:language>
</cp:coreProperties>
</file>