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spacing w:after="0"/>
      </w:pPr>
    </w:p>
    <w:p>
      <w:pPr>
        <w:spacing w:after="0"/>
      </w:pPr>
    </w:p>
    <w:p>
      <w:pPr>
        <w:spacing w:after="0"/>
      </w:pPr>
    </w:p>
    <w:p>
      <w:pPr>
        <w:spacing w:before="0" w:after="120" w:line="360" w:lineRule="auto"/>
        <w:jc w:val="center"/>
      </w:pPr>
      <w:r>
        <w:rPr>
          <w:rFonts w:ascii="Times New Roman" w:hAnsi="Times New Roman"/>
          <w:sz w:val="32"/>
          <w:szCs w:val="32"/>
          <w:b/>
        </w:rPr>
        <w:t xml:space="preserve">ESTÁNDAR ÉTICO DEL DEBIDO PROCESO ALGORÍTMICO EN LA JURISDICCIÓN CONSTITUCIONAL</w:t>
      </w:r>
    </w:p>
    <w:p>
      <w:pPr>
        <w:spacing w:before="0" w:after="200" w:line="360" w:lineRule="auto"/>
        <w:jc w:val="center"/>
      </w:pPr>
      <w:r>
        <w:rPr>
          <w:rFonts w:ascii="Times New Roman" w:hAnsi="Times New Roman"/>
          <w:sz w:val="24"/>
          <w:szCs w:val="24"/>
        </w:rPr>
        <w:t xml:space="preserve">Manual de buenas prácticas para la aplicación de inteligencia artificial con protección de los derechos fundamentales en la jurisdicción constitucional</w:t>
      </w:r>
    </w:p>
    <w:p>
      <w:pPr>
        <w:spacing w:after="0"/>
      </w:pPr>
    </w:p>
    <w:p>
      <w:pPr>
        <w:spacing w:after="0"/>
      </w:pPr>
    </w:p>
    <w:p>
      <w:pPr>
        <w:spacing w:before="0" w:after="120" w:line="360" w:lineRule="auto"/>
        <w:jc w:val="center"/>
      </w:pPr>
      <w:r>
        <w:rPr>
          <w:rFonts w:ascii="Times New Roman" w:hAnsi="Times New Roman"/>
          <w:sz w:val="22"/>
          <w:szCs w:val="22"/>
        </w:rPr>
        <w:t xml:space="preserve">Ethical Standards for Algorithmic Due Process in Constitutional Jurisdiction</w:t>
      </w:r>
    </w:p>
    <w:p>
      <w:pPr>
        <w:spacing w:after="0"/>
      </w:pPr>
    </w:p>
    <w:p>
      <w:pPr>
        <w:spacing w:before="0" w:after="120" w:line="360" w:lineRule="auto"/>
        <w:jc w:val="center"/>
      </w:pPr>
      <w:r>
        <w:rPr>
          <w:rFonts w:ascii="Times New Roman" w:hAnsi="Times New Roman"/>
          <w:sz w:val="22"/>
          <w:szCs w:val="22"/>
        </w:rPr>
        <w:t xml:space="preserve">Dirigido a operadores judiciales</w:t>
      </w:r>
    </w:p>
    <w:p>
      <w:pPr>
        <w:spacing w:after="0"/>
      </w:pPr>
    </w:p>
    <w:p>
      <w:pPr>
        <w:spacing w:after="0"/>
      </w:pPr>
    </w:p>
    <w:p>
      <w:pPr>
        <w:spacing w:after="0"/>
      </w:pPr>
    </w:p>
    <w:p>
      <w:pPr>
        <w:spacing w:after="0"/>
      </w:pPr>
    </w:p>
    <w:p>
      <w:pPr>
        <w:spacing w:after="0"/>
      </w:pPr>
    </w:p>
    <w:p>
      <w:pPr>
        <w:spacing w:after="0"/>
      </w:pPr>
    </w:p>
    <w:p>
      <w:pPr>
        <w:spacing w:before="0" w:after="80" w:line="360" w:lineRule="auto"/>
        <w:jc w:val="center"/>
      </w:pPr>
      <w:r>
        <w:rPr>
          <w:rFonts w:ascii="Times New Roman" w:hAnsi="Times New Roman"/>
          <w:sz w:val="24"/>
          <w:szCs w:val="24"/>
        </w:rPr>
        <w:t xml:space="preserve">Bogotá D.C., Colombia</w:t>
      </w:r>
    </w:p>
    <w:p>
      <w:pPr>
        <w:spacing w:before="0" w:after="80" w:line="360" w:lineRule="auto"/>
        <w:jc w:val="center"/>
      </w:pPr>
      <w:r>
        <w:rPr>
          <w:rFonts w:ascii="Times New Roman" w:hAnsi="Times New Roman"/>
          <w:sz w:val="24"/>
          <w:szCs w:val="24"/>
        </w:rPr>
        <w:t xml:space="preserve">2026</w:t>
      </w:r>
    </w:p>
    <w:p>
      <w:r>
        <w:br w:type="page"/>
      </w:r>
    </w:p>
    <w:p>
      <w:pPr>
        <w:spacing w:before="360" w:after="160" w:line="360" w:lineRule="auto"/>
        <w:jc w:val="left"/>
        <w:keepNext/>
      </w:pPr>
      <w:r>
        <w:rPr>
          <w:rFonts w:ascii="Times New Roman" w:hAnsi="Times New Roman"/>
          <w:b/>
          <w:sz w:val="30"/>
          <w:szCs w:val="30"/>
        </w:rPr>
        <w:t xml:space="preserve">Ethical Standards for Algorithmic Due Process in Constitutional Jurisdiction</w:t>
      </w:r>
    </w:p>
    <w:p>
      <w:pPr>
        <w:spacing w:line="360" w:lineRule="auto" w:before="0" w:after="120"/>
        <w:jc w:val="both"/>
      </w:pPr>
      <w:r>
        <w:rPr>
          <w:rFonts w:ascii="Times New Roman" w:hAnsi="Times New Roman"/>
          <w:sz w:val="24"/>
          <w:szCs w:val="24"/>
          <w:b/>
        </w:rPr>
        <w:t xml:space="preserve">Producto:</w:t>
      </w:r>
      <w:r>
        <w:rPr>
          <w:rFonts w:ascii="Times New Roman" w:hAnsi="Times New Roman"/>
          <w:sz w:val="24"/>
          <w:szCs w:val="24"/>
        </w:rPr>
        <w:t xml:space="preserve"> Manual de buenas prácticas para la aplicación de inteligencia artificial con protección de los derechos fundamentales en la jurisdicción constitucional.</w:t>
      </w:r>
    </w:p>
    <w:p>
      <w:pPr>
        <w:spacing w:line="360" w:lineRule="auto" w:before="0" w:after="120"/>
        <w:jc w:val="both"/>
      </w:pPr>
      <w:r>
        <w:rPr>
          <w:rFonts w:ascii="Times New Roman" w:hAnsi="Times New Roman"/>
          <w:sz w:val="24"/>
          <w:szCs w:val="24"/>
          <w:b/>
        </w:rPr>
        <w:t xml:space="preserve">Población dirigida:</w:t>
      </w:r>
      <w:r>
        <w:rPr>
          <w:rFonts w:ascii="Times New Roman" w:hAnsi="Times New Roman"/>
          <w:sz w:val="24"/>
          <w:szCs w:val="24"/>
        </w:rPr>
        <w:t xml:space="preserve"> Operadores judiciales.</w:t>
      </w:r>
    </w:p>
    <w:p>
      <w:pPr>
        <w:spacing w:line="360" w:lineRule="auto" w:before="0" w:after="120"/>
        <w:jc w:val="both"/>
      </w:pPr>
      <w:r>
        <w:rPr>
          <w:rFonts w:ascii="Times New Roman" w:hAnsi="Times New Roman"/>
          <w:sz w:val="24"/>
          <w:szCs w:val="24"/>
          <w:b/>
        </w:rPr>
        <w:t xml:space="preserve">Palabras clave:</w:t>
      </w:r>
      <w:r>
        <w:rPr>
          <w:rFonts w:ascii="Times New Roman" w:hAnsi="Times New Roman"/>
          <w:sz w:val="24"/>
          <w:szCs w:val="24"/>
        </w:rPr>
        <w:t xml:space="preserve"> debido proceso; inteligencia artificial; transparencia algorítmica; protección de datos personales; jurisdicción constitucional.</w:t>
      </w:r>
    </w:p>
    <w:p>
      <w:pPr>
        <w:spacing w:line="360" w:lineRule="auto" w:before="0" w:after="120"/>
        <w:jc w:val="both"/>
      </w:pPr>
      <w:r>
        <w:rPr>
          <w:rFonts w:ascii="Times New Roman" w:hAnsi="Times New Roman"/>
          <w:sz w:val="24"/>
          <w:szCs w:val="24"/>
          <w:b/>
        </w:rPr>
        <w:t xml:space="preserve">Keywords:</w:t>
      </w:r>
      <w:r>
        <w:rPr>
          <w:rFonts w:ascii="Times New Roman" w:hAnsi="Times New Roman"/>
          <w:sz w:val="24"/>
          <w:szCs w:val="24"/>
        </w:rPr>
        <w:t xml:space="preserve"> due process; artificial intelligence; algorithmic transparency; personal data protection; constitutional jurisdiction.</w:t>
      </w:r>
    </w:p>
    <w:p>
      <w:pPr>
        <w:spacing w:line="360" w:lineRule="auto" w:before="0" w:after="120"/>
        <w:jc w:val="both"/>
      </w:pPr>
      <w:r>
        <w:rPr>
          <w:rFonts w:ascii="Times New Roman" w:hAnsi="Times New Roman"/>
          <w:sz w:val="24"/>
          <w:szCs w:val="24"/>
          <w:b/>
        </w:rPr>
        <w:t xml:space="preserve">Resumen.</w:t>
      </w:r>
      <w:r>
        <w:rPr>
          <w:rFonts w:ascii="Times New Roman" w:hAnsi="Times New Roman"/>
          <w:sz w:val="24"/>
          <w:szCs w:val="24"/>
        </w:rPr>
        <w:t xml:space="preserve"> La incorporación de inteligencia artificial (IA) en la administración de justicia constituye uno de los mayores desafíos contemporáneos para el constitucionalismo colombiano. Esta ponencia analiza si el debido proceso y la protección de datos personales ofrecen un fundamento suficiente para construir un estándar constitucional de debido proceso algorítmico aplicable a la jurisdicción constitucional. A partir de una revisión doctrinal y del estudio de los riesgos derivados de la opacidad algorítmica, los sesgos automatizados y el tratamiento masivo de datos, se propone reconocer un deber constitucional de transparencia algorítmica estructurado en dos niveles complementarios: una garantía de explicación algorítmica como dimensión del artículo 29 de la Constitución y un protocolo institucional de auditabilidad, supervisión y centralidad humana en la decisión judicial. Su consolidación resulta indispensable para garantizar que toda intervención algorítmica sea conocida, controvertible y compatible con la legitimidad democrática y la protección efectiva de los derechos fundamentales.</w:t>
      </w:r>
    </w:p>
    <w:p>
      <w:pPr>
        <w:spacing w:line="360" w:lineRule="auto" w:before="0" w:after="120"/>
        <w:jc w:val="both"/>
      </w:pPr>
      <w:r>
        <w:rPr>
          <w:rFonts w:ascii="Times New Roman" w:hAnsi="Times New Roman"/>
          <w:sz w:val="24"/>
          <w:szCs w:val="24"/>
          <w:b/>
        </w:rPr>
        <w:t xml:space="preserve">Abstract.</w:t>
      </w:r>
      <w:r>
        <w:rPr>
          <w:rFonts w:ascii="Times New Roman" w:hAnsi="Times New Roman"/>
          <w:sz w:val="24"/>
          <w:szCs w:val="24"/>
        </w:rPr>
        <w:t xml:space="preserve"> The incorporation of artificial intelligence (AI) into the administration of justice represents one of the most significant contemporary challenges facing Colombian constitutionalism. This paper examines whether due process, the duty to provide reasoned judicial decisions, and the protection of personal data provide a sufficient constitutional foundation for the development of a standard of algorithmic due process applicable within constitutional adjudication. Through a doctrinal analysis and an examination of the risks arising from algorithmic opacity, automated bias, and the large-scale processing of personal data, the paper advocates for the recognition of a constitutional duty of algorithmic transparency structured around two complementary dimensions: (i) a right to algorithmic explanation as an integral component of Art. 29 of the Colombian Constitution, and (ii) an institutional framework of auditability, oversight, and meaningful human control over judicial decision-making. The consolidation of these safeguards is essential to ensure that any algorithmic intervention remains transparent, contestable, and consistent with democratic legitimacy and the effective protection of fundamental rights.</w:t>
      </w:r>
    </w:p>
    <w:p>
      <w:pPr>
        <w:spacing w:before="360" w:after="160" w:line="360" w:lineRule="auto"/>
        <w:jc w:val="left"/>
        <w:keepNext/>
      </w:pPr>
      <w:r>
        <w:rPr>
          <w:rFonts w:ascii="Times New Roman" w:hAnsi="Times New Roman"/>
          <w:b/>
          <w:sz w:val="30"/>
          <w:szCs w:val="30"/>
        </w:rPr>
        <w:t xml:space="preserve">Introducción. La transformación digital de la función jurisdiccional y la importancia del reconocimiento del debido proceso algorítmico</w:t>
      </w:r>
    </w:p>
    <w:p>
      <w:pPr>
        <w:spacing w:line="360" w:lineRule="auto" w:before="0" w:after="120"/>
        <w:jc w:val="both"/>
        <w:ind w:firstLine="708"/>
      </w:pPr>
      <w:r>
        <w:rPr>
          <w:rFonts w:ascii="Times New Roman" w:hAnsi="Times New Roman"/>
          <w:sz w:val="24"/>
          <w:szCs w:val="24"/>
        </w:rPr>
        <w:t xml:space="preserve">La administración de justicia atraviesa una transformación digital de hondo calado. La progresiva incorporación de las tecnologías de la información y las comunicaciones (TIC) a la función jurisdiccional —impulsada en Colombia por la Ley 1341 de 2009, que estructuró el sector TIC y reconoció el acceso a estas tecnologías como un eje del desarrollo, y consolidada por el Decreto Legislativo 806 de 2020 y la Ley 2213 de 2022— ha desembocado en una nueva fase: la de los sistemas algorítmicos y la inteligencia artificial (IA) aplicados a tareas de gestión, análisis e incluso de apoyo a la decisión. Lo que comenzó como digitalización de expedientes y virtualización de audiencias se ha convertido en un escenario donde herramientas de procesamiento de lenguaje natural, modelos generativos y sistemas de clasificación intervienen, de manera creciente, en la actividad de los despachos judiciales.</w:t>
      </w:r>
    </w:p>
    <w:p>
      <w:pPr>
        <w:spacing w:line="360" w:lineRule="auto" w:before="0" w:after="120"/>
        <w:jc w:val="both"/>
        <w:ind w:firstLine="708"/>
      </w:pPr>
      <w:r>
        <w:rPr>
          <w:rFonts w:ascii="Times New Roman" w:hAnsi="Times New Roman"/>
          <w:sz w:val="24"/>
          <w:szCs w:val="24"/>
        </w:rPr>
        <w:t xml:space="preserve">Esta transformación no es neutra desde la perspectiva constitucional. La IA promete eficiencia, celeridad y una gestión más racional de la congestión estructural que afecta a la justicia; pero introduce, al mismo tiempo, riesgos inéditos para las garantías procesales: la opacidad de los modelos, la dificultad de explicar sus resultados, la posibilidad de reproducir sesgos discriminatorios y el tratamiento masivo de datos personales sensibles. En el ámbito de la jurisdicción constitucional —donde se decide sobre la protección inmediata de los derechos fundamentales— estos riesgos adquieren una densidad particular, pues comprometen la legitimidad misma del control constitucional.</w:t>
      </w:r>
    </w:p>
    <w:p>
      <w:pPr>
        <w:spacing w:line="360" w:lineRule="auto" w:before="0" w:after="120"/>
        <w:jc w:val="both"/>
        <w:ind w:firstLine="708"/>
      </w:pPr>
      <w:r>
        <w:rPr>
          <w:rFonts w:ascii="Times New Roman" w:hAnsi="Times New Roman"/>
          <w:sz w:val="24"/>
          <w:szCs w:val="24"/>
        </w:rPr>
        <w:t xml:space="preserve">El propósito de esta ponencia es doble. En el plano teórico, sostiene que el debido proceso (artículo 29 de la Constitución) y la protección de datos personales (artículo 15) ofrecen fundamento suficiente para reconocer un </w:t>
      </w:r>
      <w:r>
        <w:rPr>
          <w:rFonts w:ascii="Times New Roman" w:hAnsi="Times New Roman"/>
          <w:sz w:val="24"/>
          <w:szCs w:val="24"/>
          <w:b/>
        </w:rPr>
        <w:t xml:space="preserve">estándar de debido proceso algorítmico</w:t>
      </w:r>
      <w:r>
        <w:rPr>
          <w:rFonts w:ascii="Times New Roman" w:hAnsi="Times New Roman"/>
          <w:sz w:val="24"/>
          <w:szCs w:val="24"/>
        </w:rPr>
        <w:t xml:space="preserve"> aplicable a la jurisdicción constitucional. En el plano práctico, traduce ese estándar en un </w:t>
      </w:r>
      <w:r>
        <w:rPr>
          <w:rFonts w:ascii="Times New Roman" w:hAnsi="Times New Roman"/>
          <w:sz w:val="24"/>
          <w:szCs w:val="24"/>
          <w:b/>
        </w:rPr>
        <w:t xml:space="preserve">manual de buenas prácticas</w:t>
      </w:r>
      <w:r>
        <w:rPr>
          <w:rFonts w:ascii="Times New Roman" w:hAnsi="Times New Roman"/>
          <w:sz w:val="24"/>
          <w:szCs w:val="24"/>
        </w:rPr>
        <w:t xml:space="preserve"> dirigido a los operadores judiciales, con principios, protocolos por fases, listas de verificación y reglas concretas que orienten un uso de la IA respetuoso de los derechos fundamentales. La premisa metodológica es que la legitimidad del uso de la IA judicial no depende de su sofisticación técnica, sino de su capacidad para insertarse en el proceso sin desnaturalizar las garantías que lo informan.</w:t>
      </w:r>
    </w:p>
    <w:p>
      <w:pPr>
        <w:spacing w:line="360" w:lineRule="auto" w:before="0" w:after="120"/>
        <w:jc w:val="both"/>
        <w:ind w:firstLine="708"/>
      </w:pPr>
      <w:r>
        <w:rPr>
          <w:rFonts w:ascii="Times New Roman" w:hAnsi="Times New Roman"/>
          <w:sz w:val="24"/>
          <w:szCs w:val="24"/>
        </w:rPr>
        <w:t xml:space="preserve">La ponencia se estructura en cinco grandes secciones. La primera examina la relación entre IA y administración de justicia y la incidencia de los sistemas algorítmicos sobre las garantías de contradicción, defensa y motivación, para concluir con el tránsito del debido proceso tradicional al debido proceso algorítmico como categoría constitucional. La segunda evalúa críticamente los lineamientos vigentes para el uso de IA en la Rama Judicial. La tercera sistematiza los deberes éticos y constitucionales de los operadores judiciales. La cuarta —núcleo propositivo— formula el estándar ético y desarrolla el manual de buenas prácticas. La quinta presenta conclusiones y recomendaciones de gobernanza.</w:t>
      </w:r>
    </w:p>
    <w:p>
      <w:pPr>
        <w:spacing w:before="240" w:after="120" w:line="360" w:lineRule="auto"/>
        <w:jc w:val="left"/>
        <w:keepNext/>
      </w:pPr>
      <w:r>
        <w:rPr>
          <w:rFonts w:ascii="Times New Roman" w:hAnsi="Times New Roman"/>
          <w:b/>
          <w:sz w:val="26"/>
          <w:szCs w:val="26"/>
        </w:rPr>
        <w:t xml:space="preserve">1.1. Inteligencia artificial y administración de justicia</w:t>
      </w:r>
    </w:p>
    <w:p>
      <w:pPr>
        <w:spacing w:line="360" w:lineRule="auto" w:before="0" w:after="120"/>
        <w:jc w:val="both"/>
        <w:ind w:firstLine="708"/>
      </w:pPr>
      <w:r>
        <w:rPr>
          <w:rFonts w:ascii="Times New Roman" w:hAnsi="Times New Roman"/>
          <w:sz w:val="24"/>
          <w:szCs w:val="24"/>
        </w:rPr>
        <w:t xml:space="preserve">La inteligencia artificial designa un conjunto heterogéneo de técnicas computacionales capaces de ejecutar tareas que tradicionalmente requerían inteligencia humana: reconocer patrones, procesar lenguaje natural, clasificar información, generar texto o formular predicciones. En el ámbito judicial, sus aplicaciones abarcan desde herramientas de apoyo a la gestión documental —indexación, búsqueda, clasificación temática de expedientes— hasta sistemas generativos de asistencia en la redacción de providencias, pasando por modelos de análisis predictivo y de evaluación de riesgo. La distinción entre estas categorías es jurídicamente decisiva: no plantea las mismas exigencias una herramienta que ordena información que un sistema que sugiere o condiciona el sentido de una decisión.</w:t>
      </w:r>
    </w:p>
    <w:p>
      <w:pPr>
        <w:spacing w:line="360" w:lineRule="auto" w:before="0" w:after="120"/>
        <w:jc w:val="both"/>
        <w:ind w:firstLine="708"/>
      </w:pPr>
      <w:r>
        <w:rPr>
          <w:rFonts w:ascii="Times New Roman" w:hAnsi="Times New Roman"/>
          <w:sz w:val="24"/>
          <w:szCs w:val="24"/>
        </w:rPr>
        <w:t xml:space="preserve">El marco internacional ha procurado ordenar este campo. La </w:t>
      </w:r>
      <w:r>
        <w:rPr>
          <w:rFonts w:ascii="Times New Roman" w:hAnsi="Times New Roman"/>
          <w:sz w:val="24"/>
          <w:szCs w:val="24"/>
          <w:i/>
        </w:rPr>
        <w:t xml:space="preserve">Recomendación sobre la Ética de la Inteligencia Artificial</w:t>
      </w:r>
      <w:r>
        <w:rPr>
          <w:rFonts w:ascii="Times New Roman" w:hAnsi="Times New Roman"/>
          <w:sz w:val="24"/>
          <w:szCs w:val="24"/>
        </w:rPr>
        <w:t xml:space="preserve"> de la UNESCO (2021) —primer instrumento normativo global en la materia— articula principios de proporcionalidad e inocuidad, equidad y no discriminación, sostenibilidad, derecho a la intimidad y protección de datos, supervisión y decisión humanas, transparencia y explicabilidad, y responsabilidad y rendición de cuentas. Los </w:t>
      </w:r>
      <w:r>
        <w:rPr>
          <w:rFonts w:ascii="Times New Roman" w:hAnsi="Times New Roman"/>
          <w:sz w:val="24"/>
          <w:szCs w:val="24"/>
          <w:i/>
        </w:rPr>
        <w:t xml:space="preserve">Principios de IA de la OCDE</w:t>
      </w:r>
      <w:r>
        <w:rPr>
          <w:rFonts w:ascii="Times New Roman" w:hAnsi="Times New Roman"/>
          <w:sz w:val="24"/>
          <w:szCs w:val="24"/>
        </w:rPr>
        <w:t xml:space="preserve"> (2019, actualizados en mayo de 2024 para atender los desafíos de la IA generativa) promueven una IA confiable, centrada en el ser humano, transparente, robusta y sujeta a rendición de cuentas. En el plano vinculante, el </w:t>
      </w:r>
      <w:r>
        <w:rPr>
          <w:rFonts w:ascii="Times New Roman" w:hAnsi="Times New Roman"/>
          <w:sz w:val="24"/>
          <w:szCs w:val="24"/>
          <w:i/>
        </w:rPr>
        <w:t xml:space="preserve">Convenio Marco del Consejo de Europa sobre Inteligencia Artificial y los Derechos Humanos, la Democracia y el Estado de Derecho</w:t>
      </w:r>
      <w:r>
        <w:rPr>
          <w:rFonts w:ascii="Times New Roman" w:hAnsi="Times New Roman"/>
          <w:sz w:val="24"/>
          <w:szCs w:val="24"/>
        </w:rPr>
        <w:t xml:space="preserve"> (CETS 225, 2024) constituye el primer tratado internacional jurídicamente obligatorio orientado a asegurar que el uso de los sistemas de IA sea compatible con los derechos humanos, la democracia y el Estado de derecho. Y el </w:t>
      </w:r>
      <w:r>
        <w:rPr>
          <w:rFonts w:ascii="Times New Roman" w:hAnsi="Times New Roman"/>
          <w:sz w:val="24"/>
          <w:szCs w:val="24"/>
          <w:i/>
        </w:rPr>
        <w:t xml:space="preserve">Reglamento (UE) 2024/1689</w:t>
      </w:r>
      <w:r>
        <w:rPr>
          <w:rFonts w:ascii="Times New Roman" w:hAnsi="Times New Roman"/>
          <w:sz w:val="24"/>
          <w:szCs w:val="24"/>
        </w:rPr>
        <w:t xml:space="preserve"> (Reglamento de Inteligencia Artificial o «AI Act», en vigor desde el 1 de agosto de 2024) adopta un enfoque basado en el riesgo que clasifica como de alto riesgo, entre otros, los sistemas de IA destinados a la administración de justicia y a los procesos democráticos, sometiéndolos a exigencias reforzadas de transparencia, supervisión humana, gestión de riesgos y calidad de los datos.</w:t>
      </w:r>
    </w:p>
    <w:p>
      <w:pPr>
        <w:spacing w:line="360" w:lineRule="auto" w:before="0" w:after="120"/>
        <w:jc w:val="both"/>
        <w:ind w:firstLine="708"/>
      </w:pPr>
      <w:r>
        <w:rPr>
          <w:rFonts w:ascii="Times New Roman" w:hAnsi="Times New Roman"/>
          <w:sz w:val="24"/>
          <w:szCs w:val="24"/>
        </w:rPr>
        <w:t xml:space="preserve">La UNESCO ha complementado su recomendación con instrumentos orientados a la apropiación responsable de la tecnología, como la </w:t>
      </w:r>
      <w:r>
        <w:rPr>
          <w:rFonts w:ascii="Times New Roman" w:hAnsi="Times New Roman"/>
          <w:sz w:val="24"/>
          <w:szCs w:val="24"/>
          <w:i/>
        </w:rPr>
        <w:t xml:space="preserve">Guía sobre IA generativa en educación e investigación</w:t>
      </w:r>
      <w:r>
        <w:rPr>
          <w:rFonts w:ascii="Times New Roman" w:hAnsi="Times New Roman"/>
          <w:sz w:val="24"/>
          <w:szCs w:val="24"/>
        </w:rPr>
        <w:t xml:space="preserve"> (2023) —que advierte sobre los riesgos de la IA generativa y promueve un uso centrado en el ser humano, con verificación y supervisión— y el </w:t>
      </w:r>
      <w:r>
        <w:rPr>
          <w:rFonts w:ascii="Times New Roman" w:hAnsi="Times New Roman"/>
          <w:sz w:val="24"/>
          <w:szCs w:val="24"/>
          <w:i/>
        </w:rPr>
        <w:t xml:space="preserve">Marco de competencias en IA para estudiantes</w:t>
      </w:r>
      <w:r>
        <w:rPr>
          <w:rFonts w:ascii="Times New Roman" w:hAnsi="Times New Roman"/>
          <w:sz w:val="24"/>
          <w:szCs w:val="24"/>
        </w:rPr>
        <w:t xml:space="preserve"> (2024), que sistematiza las capacidades de comprensión crítica, ética y técnica necesarias para interactuar con estas herramientas. Aunque concebidos para el ámbito educativo, estos instrumentos resultan analógicamente útiles para la formación de los operadores judiciales, pues subrayan la necesidad de una alfabetización algorítmica que habilite un uso crítico y no acrítico de la tecnología.</w:t>
      </w:r>
    </w:p>
    <w:p>
      <w:pPr>
        <w:spacing w:line="360" w:lineRule="auto" w:before="0" w:after="120"/>
        <w:jc w:val="both"/>
        <w:ind w:firstLine="708"/>
      </w:pPr>
      <w:r>
        <w:rPr>
          <w:rFonts w:ascii="Times New Roman" w:hAnsi="Times New Roman"/>
          <w:sz w:val="24"/>
          <w:szCs w:val="24"/>
        </w:rPr>
        <w:t xml:space="preserve">En el plano nacional, Colombia ha construido un andamiaje de política pública sobre la materia. El documento CONPES 3975 de 2019 estableció la Política Nacional para la Transformación Digital e Inteligencia Artificial, y el más reciente CONPES 4144 de 2025 adoptó la Política Nacional de Inteligencia Artificial, articulada en torno a varios ejes estratégicos —entre ellos la ética y la gobernanza— y a un amplio conjunto de acciones orientadas a un desarrollo y uso responsable, ético y sostenible de la IA. Estos instrumentos de </w:t>
      </w:r>
      <w:r>
        <w:rPr>
          <w:rFonts w:ascii="Times New Roman" w:hAnsi="Times New Roman"/>
          <w:sz w:val="24"/>
          <w:szCs w:val="24"/>
          <w:i/>
        </w:rPr>
        <w:t xml:space="preserve">soft law</w:t>
      </w:r>
      <w:r>
        <w:rPr>
          <w:rFonts w:ascii="Times New Roman" w:hAnsi="Times New Roman"/>
          <w:sz w:val="24"/>
          <w:szCs w:val="24"/>
        </w:rPr>
        <w:t xml:space="preserve"> nacional dialogan con los estándares internacionales y han servido a la jurisprudencia constitucional como fuente material para decantar los criterios aplicables al uso de IA en la actividad judicial.</w:t>
      </w:r>
    </w:p>
    <w:p>
      <w:pPr>
        <w:spacing w:before="240" w:after="120" w:line="360" w:lineRule="auto"/>
        <w:jc w:val="left"/>
        <w:keepNext/>
      </w:pPr>
      <w:r>
        <w:rPr>
          <w:rFonts w:ascii="Times New Roman" w:hAnsi="Times New Roman"/>
          <w:b/>
          <w:sz w:val="26"/>
          <w:szCs w:val="26"/>
        </w:rPr>
        <w:t xml:space="preserve">1.2. La incidencia de los sistemas algorítmicos en las garantías de contradicción, defensa y motivación judicial</w:t>
      </w:r>
    </w:p>
    <w:p>
      <w:pPr>
        <w:spacing w:line="360" w:lineRule="auto" w:before="0" w:after="120"/>
        <w:jc w:val="both"/>
        <w:ind w:firstLine="708"/>
      </w:pPr>
      <w:r>
        <w:rPr>
          <w:rFonts w:ascii="Times New Roman" w:hAnsi="Times New Roman"/>
          <w:sz w:val="24"/>
          <w:szCs w:val="24"/>
        </w:rPr>
        <w:t xml:space="preserve">El debido proceso del artículo 29 de la Constitución integra un haz de garantías cuya operatividad puede verse afectada por la intervención de sistemas algorítmicos. Tres de ellas resultan particularmente sensibles.</w:t>
      </w:r>
    </w:p>
    <w:p>
      <w:pPr>
        <w:spacing w:line="360" w:lineRule="auto" w:before="0" w:after="120"/>
        <w:jc w:val="both"/>
        <w:ind w:firstLine="708"/>
      </w:pPr>
      <w:r>
        <w:rPr>
          <w:rFonts w:ascii="Times New Roman" w:hAnsi="Times New Roman"/>
          <w:sz w:val="24"/>
          <w:szCs w:val="24"/>
        </w:rPr>
        <w:t xml:space="preserve">La </w:t>
      </w:r>
      <w:r>
        <w:rPr>
          <w:rFonts w:ascii="Times New Roman" w:hAnsi="Times New Roman"/>
          <w:sz w:val="24"/>
          <w:szCs w:val="24"/>
          <w:b/>
        </w:rPr>
        <w:t xml:space="preserve">garantía de contradicción</w:t>
      </w:r>
      <w:r>
        <w:rPr>
          <w:rFonts w:ascii="Times New Roman" w:hAnsi="Times New Roman"/>
          <w:sz w:val="24"/>
          <w:szCs w:val="24"/>
        </w:rPr>
        <w:t xml:space="preserve"> supone que las partes puedan conocer y rebatir los elementos que inciden en la decisión. Cuando un sistema algorítmico interviene —clasificando, priorizando o sugiriendo— sin que su empleo sea revelado ni su lógica sea comprensible, la contradicción se torna ilusoria: no se puede controvertir aquello que se ignora. La opacidad algorítmica, sea por la complejidad técnica del modelo (los llamados sistemas de «caja negra») o por la falta de divulgación institucional, erosiona la posibilidad real de defensa.</w:t>
      </w:r>
    </w:p>
    <w:p>
      <w:pPr>
        <w:spacing w:line="360" w:lineRule="auto" w:before="0" w:after="120"/>
        <w:jc w:val="both"/>
        <w:ind w:firstLine="708"/>
      </w:pPr>
      <w:r>
        <w:rPr>
          <w:rFonts w:ascii="Times New Roman" w:hAnsi="Times New Roman"/>
          <w:sz w:val="24"/>
          <w:szCs w:val="24"/>
        </w:rPr>
        <w:t xml:space="preserve">La </w:t>
      </w:r>
      <w:r>
        <w:rPr>
          <w:rFonts w:ascii="Times New Roman" w:hAnsi="Times New Roman"/>
          <w:sz w:val="24"/>
          <w:szCs w:val="24"/>
          <w:b/>
        </w:rPr>
        <w:t xml:space="preserve">garantía de defensa</w:t>
      </w:r>
      <w:r>
        <w:rPr>
          <w:rFonts w:ascii="Times New Roman" w:hAnsi="Times New Roman"/>
          <w:sz w:val="24"/>
          <w:szCs w:val="24"/>
        </w:rPr>
        <w:t xml:space="preserve"> exige que las partes dispongan de las herramientas para incidir efectivamente en el curso del proceso. La automatización puede desplazar silenciosamente decisiones que antes eran humanas y discutibles, convirtiéndolas en resultados aparentemente técnicos e incuestionables. El riesgo no es solo el error del sistema, sino la </w:t>
      </w:r>
      <w:r>
        <w:rPr>
          <w:rFonts w:ascii="Times New Roman" w:hAnsi="Times New Roman"/>
          <w:sz w:val="24"/>
          <w:szCs w:val="24"/>
          <w:b/>
        </w:rPr>
        <w:t xml:space="preserve">deferencia acrítica</w:t>
      </w:r>
      <w:r>
        <w:rPr>
          <w:rFonts w:ascii="Times New Roman" w:hAnsi="Times New Roman"/>
          <w:sz w:val="24"/>
          <w:szCs w:val="24"/>
        </w:rPr>
        <w:t xml:space="preserve"> hacia el resultado algorítmico —el sesgo de automatización—, que conduce a los operadores a aceptar la salida de la máquina sin el escrutinio que ejercerían sobre un insumo humano.</w:t>
      </w:r>
    </w:p>
    <w:p>
      <w:pPr>
        <w:spacing w:line="360" w:lineRule="auto" w:before="0" w:after="120"/>
        <w:jc w:val="both"/>
        <w:ind w:firstLine="708"/>
      </w:pPr>
      <w:r>
        <w:rPr>
          <w:rFonts w:ascii="Times New Roman" w:hAnsi="Times New Roman"/>
          <w:sz w:val="24"/>
          <w:szCs w:val="24"/>
        </w:rPr>
        <w:t xml:space="preserve">La </w:t>
      </w:r>
      <w:r>
        <w:rPr>
          <w:rFonts w:ascii="Times New Roman" w:hAnsi="Times New Roman"/>
          <w:sz w:val="24"/>
          <w:szCs w:val="24"/>
          <w:b/>
        </w:rPr>
        <w:t xml:space="preserve">garantía de motivación</w:t>
      </w:r>
      <w:r>
        <w:rPr>
          <w:rFonts w:ascii="Times New Roman" w:hAnsi="Times New Roman"/>
          <w:sz w:val="24"/>
          <w:szCs w:val="24"/>
        </w:rPr>
        <w:t xml:space="preserve"> —que en el ordenamiento colombiano deriva del debido proceso y del principio de publicidad, y que la jurisprudencia ha reforzado de manera reiterada— impone que las decisiones judiciales expresen las razones de hecho y de derecho que las sustentan. La motivación no se satisface con invocar un resultado producido por una herramienta; exige que el juez asuma como propio el razonamiento y lo exponga de modo que pueda ser comprendido y controvertido. Una providencia que se apoye en IA sin verificar, explicar y hacer suyo su contenido incurre en un déficit de motivación constitucionalmente relevante. La protección de la motivación frente a la automatización es, así, uno de los ejes del debido proceso algorítmico.</w:t>
      </w:r>
    </w:p>
    <w:p>
      <w:pPr>
        <w:spacing w:before="240" w:after="120" w:line="360" w:lineRule="auto"/>
        <w:jc w:val="left"/>
        <w:keepNext/>
      </w:pPr>
      <w:r>
        <w:rPr>
          <w:rFonts w:ascii="Times New Roman" w:hAnsi="Times New Roman"/>
          <w:b/>
          <w:sz w:val="26"/>
          <w:szCs w:val="26"/>
        </w:rPr>
        <w:t xml:space="preserve">1.3. Riesgos constitucionales derivados del uso de sistemas de IA en la actividad judicial</w:t>
      </w:r>
    </w:p>
    <w:p>
      <w:pPr>
        <w:spacing w:line="360" w:lineRule="auto" w:before="0" w:after="120"/>
        <w:jc w:val="both"/>
        <w:ind w:firstLine="708"/>
      </w:pPr>
      <w:r>
        <w:rPr>
          <w:rFonts w:ascii="Times New Roman" w:hAnsi="Times New Roman"/>
          <w:sz w:val="24"/>
          <w:szCs w:val="24"/>
        </w:rPr>
        <w:t xml:space="preserve">El uso de IA en la actividad judicial entraña riesgos constitucionales que conviene tipificar. El primero es el </w:t>
      </w:r>
      <w:r>
        <w:rPr>
          <w:rFonts w:ascii="Times New Roman" w:hAnsi="Times New Roman"/>
          <w:sz w:val="24"/>
          <w:szCs w:val="24"/>
          <w:b/>
        </w:rPr>
        <w:t xml:space="preserve">riesgo de opacidad</w:t>
      </w:r>
      <w:r>
        <w:rPr>
          <w:rFonts w:ascii="Times New Roman" w:hAnsi="Times New Roman"/>
          <w:sz w:val="24"/>
          <w:szCs w:val="24"/>
        </w:rPr>
        <w:t xml:space="preserve">: la imposibilidad de comprender y auditar la lógica de los sistemas, que impide el control y la contradicción. El segundo es el </w:t>
      </w:r>
      <w:r>
        <w:rPr>
          <w:rFonts w:ascii="Times New Roman" w:hAnsi="Times New Roman"/>
          <w:sz w:val="24"/>
          <w:szCs w:val="24"/>
          <w:b/>
        </w:rPr>
        <w:t xml:space="preserve">riesgo de sesgo y discriminación</w:t>
      </w:r>
      <w:r>
        <w:rPr>
          <w:rFonts w:ascii="Times New Roman" w:hAnsi="Times New Roman"/>
          <w:sz w:val="24"/>
          <w:szCs w:val="24"/>
        </w:rPr>
        <w:t xml:space="preserve">: los modelos entrenados con datos históricos pueden reproducir o amplificar patrones discriminatorios, afectando el derecho a la igualdad (artículo 13). El precedente comparado es ilustrativo: en </w:t>
      </w:r>
      <w:r>
        <w:rPr>
          <w:rFonts w:ascii="Times New Roman" w:hAnsi="Times New Roman"/>
          <w:sz w:val="24"/>
          <w:szCs w:val="24"/>
          <w:i/>
        </w:rPr>
        <w:t xml:space="preserve">Ewert v. Canadá</w:t>
      </w:r>
      <w:r>
        <w:rPr>
          <w:rFonts w:ascii="Times New Roman" w:hAnsi="Times New Roman"/>
          <w:sz w:val="24"/>
          <w:szCs w:val="24"/>
        </w:rPr>
        <w:t xml:space="preserve"> (2018 SCC 30), la Corte Suprema de Canadá concluyó que el servicio penitenciario incumplió su deber legal de asegurar la exactitud de la información utilizada, al emplear herramientas actuariales de evaluación de riesgo cuya validez no había sido comprobada respecto de personas indígenas. La decisión advierte que la apariencia de objetividad de una herramienta cuantitativa no exime del deber de verificar su validez y de evitar resultados discriminatorios.</w:t>
      </w:r>
    </w:p>
    <w:p>
      <w:pPr>
        <w:spacing w:line="360" w:lineRule="auto" w:before="0" w:after="120"/>
        <w:jc w:val="both"/>
        <w:ind w:firstLine="708"/>
      </w:pPr>
      <w:r>
        <w:rPr>
          <w:rFonts w:ascii="Times New Roman" w:hAnsi="Times New Roman"/>
          <w:sz w:val="24"/>
          <w:szCs w:val="24"/>
        </w:rPr>
        <w:t xml:space="preserve">El tercero es el </w:t>
      </w:r>
      <w:r>
        <w:rPr>
          <w:rFonts w:ascii="Times New Roman" w:hAnsi="Times New Roman"/>
          <w:sz w:val="24"/>
          <w:szCs w:val="24"/>
          <w:b/>
        </w:rPr>
        <w:t xml:space="preserve">riesgo de sustitución del juicio humano</w:t>
      </w:r>
      <w:r>
        <w:rPr>
          <w:rFonts w:ascii="Times New Roman" w:hAnsi="Times New Roman"/>
          <w:sz w:val="24"/>
          <w:szCs w:val="24"/>
        </w:rPr>
        <w:t xml:space="preserve">: la delegación encubierta de funciones indelegables del juez en sistemas automatizados, que vulnera el principio del juez natural y la independencia judicial. El cuarto es el </w:t>
      </w:r>
      <w:r>
        <w:rPr>
          <w:rFonts w:ascii="Times New Roman" w:hAnsi="Times New Roman"/>
          <w:sz w:val="24"/>
          <w:szCs w:val="24"/>
          <w:b/>
        </w:rPr>
        <w:t xml:space="preserve">riesgo para la protección de datos personales</w:t>
      </w:r>
      <w:r>
        <w:rPr>
          <w:rFonts w:ascii="Times New Roman" w:hAnsi="Times New Roman"/>
          <w:sz w:val="24"/>
          <w:szCs w:val="24"/>
        </w:rPr>
        <w:t xml:space="preserve">: el tratamiento masivo de información contenida en los expedientes —con frecuencia datos sensibles de salud, vida íntima, condición de víctima o pertenencia étnica— sin las garantías del habeas data (artículo 15) y de la Ley Estatutaria 1581 de 2012. El quinto es el </w:t>
      </w:r>
      <w:r>
        <w:rPr>
          <w:rFonts w:ascii="Times New Roman" w:hAnsi="Times New Roman"/>
          <w:sz w:val="24"/>
          <w:szCs w:val="24"/>
          <w:b/>
        </w:rPr>
        <w:t xml:space="preserve">riesgo de afectación de la motivación y la publicidad</w:t>
      </w:r>
      <w:r>
        <w:rPr>
          <w:rFonts w:ascii="Times New Roman" w:hAnsi="Times New Roman"/>
          <w:sz w:val="24"/>
          <w:szCs w:val="24"/>
        </w:rPr>
        <w:t xml:space="preserve">, ya señalado. Y el sexto es el </w:t>
      </w:r>
      <w:r>
        <w:rPr>
          <w:rFonts w:ascii="Times New Roman" w:hAnsi="Times New Roman"/>
          <w:sz w:val="24"/>
          <w:szCs w:val="24"/>
          <w:b/>
        </w:rPr>
        <w:t xml:space="preserve">riesgo reputacional y de confianza</w:t>
      </w:r>
      <w:r>
        <w:rPr>
          <w:rFonts w:ascii="Times New Roman" w:hAnsi="Times New Roman"/>
          <w:sz w:val="24"/>
          <w:szCs w:val="24"/>
        </w:rPr>
        <w:t xml:space="preserve">: el deterioro de la confianza ciudadana en una justicia percibida como automatizada o deshumanizada.</w:t>
      </w:r>
    </w:p>
    <w:p>
      <w:pPr>
        <w:spacing w:line="360" w:lineRule="auto" w:before="0" w:after="120"/>
        <w:jc w:val="both"/>
        <w:ind w:firstLine="708"/>
      </w:pPr>
      <w:r>
        <w:rPr>
          <w:rFonts w:ascii="Times New Roman" w:hAnsi="Times New Roman"/>
          <w:sz w:val="24"/>
          <w:szCs w:val="24"/>
        </w:rPr>
        <w:t xml:space="preserve">La materialización de estos riesgos ya ha tenido expresión jurisprudencial y disciplinaria. La sentencia T-323 de 2024 de la Corte Constitucional —primer pronunciamiento de fondo sobre el uso de IA en la actividad judicial, originado en una providencia que se apoyó en una herramienta de IA generativa para resolver un caso relativo a un menor— estableció que el uso de IA no está prohibido per se, pero debe sujetarse a criterios orientadores de transparencia, responsabilidad, no sustitución del razonamiento humano y control humano significativo, entre otros. La sentencia T-067 de 2025 profundizó el marco de gobernanza algorítmica aplicable a las entidades públicas, reconociendo que las herramientas algorítmicas desplegadas por el Estado quedan sometidas a escrutinio constitucional. Decisiones posteriores —entre ellas la sentencia T-008 de 2026— han venido consolidando esta línea en torno a la transparencia y la motivación frente a actuaciones apoyadas en IA. En el ámbito de la justicia ordinaria, pronunciamientos de la Corte Suprema de Justicia (AP760 de 2026 y AC739 de 2026), del Tribunal Superior de Bogotá (Sala Penal, sentencia 1714 del 2 de diciembre de 2025), del Tribunal Superior de Cali (decisión del 13 de marzo de 2026) y de la Sección Tercera del Consejo de Estado (sentencia del 26 de mayo de 2026), así como la actuación de la Comisión Nacional de Disciplina Judicial (decisión Rad. 11001080200020250124100 del 13 de mayo de 2026), reflejan la preocupación creciente de los operadores por delimitar el uso legítimo de estas herramientas y por sancionar los empleos que comprometen la motivación, la veracidad o el deber de diligencia. La lección transversal de este acervo es que la IA puede emplearse como apoyo, pero nunca como sustituto del razonamiento judicial, y que su uso debe ser revelado, verificado y motivado.</w:t>
      </w:r>
    </w:p>
    <w:p>
      <w:pPr>
        <w:spacing w:before="240" w:after="120" w:line="360" w:lineRule="auto"/>
        <w:jc w:val="left"/>
        <w:keepNext/>
      </w:pPr>
      <w:r>
        <w:rPr>
          <w:rFonts w:ascii="Times New Roman" w:hAnsi="Times New Roman"/>
          <w:b/>
          <w:sz w:val="26"/>
          <w:szCs w:val="26"/>
        </w:rPr>
        <w:t xml:space="preserve">1.4. Del debido proceso tradicional al debido proceso algorítmico: una categoría constitucional</w:t>
      </w:r>
    </w:p>
    <w:p>
      <w:pPr>
        <w:spacing w:line="360" w:lineRule="auto" w:before="0" w:after="120"/>
        <w:jc w:val="both"/>
        <w:ind w:firstLine="708"/>
      </w:pPr>
      <w:r>
        <w:rPr>
          <w:rFonts w:ascii="Times New Roman" w:hAnsi="Times New Roman"/>
          <w:sz w:val="24"/>
          <w:szCs w:val="24"/>
        </w:rPr>
        <w:t xml:space="preserve">La convergencia entre las garantías procesales clásicas y los desafíos de la automatización ha dado lugar a lo que la doctrina y, cada vez con mayor nitidez, la jurisprudencia denominan </w:t>
      </w:r>
      <w:r>
        <w:rPr>
          <w:rFonts w:ascii="Times New Roman" w:hAnsi="Times New Roman"/>
          <w:sz w:val="24"/>
          <w:szCs w:val="24"/>
          <w:b/>
        </w:rPr>
        <w:t xml:space="preserve">debido proceso algorítmico</w:t>
      </w:r>
      <w:r>
        <w:rPr>
          <w:rFonts w:ascii="Times New Roman" w:hAnsi="Times New Roman"/>
          <w:sz w:val="24"/>
          <w:szCs w:val="24"/>
        </w:rPr>
        <w:t xml:space="preserve"> (o debido proceso digital). No se trata de un derecho fundamental autónomo y distinto del consagrado en el artículo 29 superior, sino de una </w:t>
      </w:r>
      <w:r>
        <w:rPr>
          <w:rFonts w:ascii="Times New Roman" w:hAnsi="Times New Roman"/>
          <w:sz w:val="24"/>
          <w:szCs w:val="24"/>
          <w:b/>
        </w:rPr>
        <w:t xml:space="preserve">relectura</w:t>
      </w:r>
      <w:r>
        <w:rPr>
          <w:rFonts w:ascii="Times New Roman" w:hAnsi="Times New Roman"/>
          <w:sz w:val="24"/>
          <w:szCs w:val="24"/>
        </w:rPr>
        <w:t xml:space="preserve"> del debido proceso a la luz de los riesgos que plantean la automatización y el tratamiento masivo de información. Su naturaleza es la de un </w:t>
      </w:r>
      <w:r>
        <w:rPr>
          <w:rFonts w:ascii="Times New Roman" w:hAnsi="Times New Roman"/>
          <w:sz w:val="24"/>
          <w:szCs w:val="24"/>
          <w:b/>
        </w:rPr>
        <w:t xml:space="preserve">estándar</w:t>
      </w:r>
      <w:r>
        <w:rPr>
          <w:rFonts w:ascii="Times New Roman" w:hAnsi="Times New Roman"/>
          <w:sz w:val="24"/>
          <w:szCs w:val="24"/>
        </w:rPr>
        <w:t xml:space="preserve">: un parámetro de control que concreta exigencias preexistentes en un contexto tecnológico nuevo.</w:t>
      </w:r>
    </w:p>
    <w:p>
      <w:pPr>
        <w:spacing w:line="360" w:lineRule="auto" w:before="0" w:after="120"/>
        <w:jc w:val="both"/>
        <w:ind w:firstLine="708"/>
      </w:pPr>
      <w:r>
        <w:rPr>
          <w:rFonts w:ascii="Times New Roman" w:hAnsi="Times New Roman"/>
          <w:sz w:val="24"/>
          <w:szCs w:val="24"/>
        </w:rPr>
        <w:t xml:space="preserve">Esta categoría se estructura en torno a cuatro garantías nucleares. La </w:t>
      </w:r>
      <w:r>
        <w:rPr>
          <w:rFonts w:ascii="Times New Roman" w:hAnsi="Times New Roman"/>
          <w:sz w:val="24"/>
          <w:szCs w:val="24"/>
          <w:b/>
        </w:rPr>
        <w:t xml:space="preserve">primera</w:t>
      </w:r>
      <w:r>
        <w:rPr>
          <w:rFonts w:ascii="Times New Roman" w:hAnsi="Times New Roman"/>
          <w:sz w:val="24"/>
          <w:szCs w:val="24"/>
        </w:rPr>
        <w:t xml:space="preserve"> es el derecho a </w:t>
      </w:r>
      <w:r>
        <w:rPr>
          <w:rFonts w:ascii="Times New Roman" w:hAnsi="Times New Roman"/>
          <w:sz w:val="24"/>
          <w:szCs w:val="24"/>
          <w:i/>
        </w:rPr>
        <w:t xml:space="preserve">saber que hay IA</w:t>
      </w:r>
      <w:r>
        <w:rPr>
          <w:rFonts w:ascii="Times New Roman" w:hAnsi="Times New Roman"/>
          <w:sz w:val="24"/>
          <w:szCs w:val="24"/>
        </w:rPr>
        <w:t xml:space="preserve">: conocer que una actuación se apoya, total o parcialmente, en sistemas automatizados. La </w:t>
      </w:r>
      <w:r>
        <w:rPr>
          <w:rFonts w:ascii="Times New Roman" w:hAnsi="Times New Roman"/>
          <w:sz w:val="24"/>
          <w:szCs w:val="24"/>
          <w:b/>
        </w:rPr>
        <w:t xml:space="preserve">segunda</w:t>
      </w:r>
      <w:r>
        <w:rPr>
          <w:rFonts w:ascii="Times New Roman" w:hAnsi="Times New Roman"/>
          <w:sz w:val="24"/>
          <w:szCs w:val="24"/>
        </w:rPr>
        <w:t xml:space="preserve"> es el derecho a una </w:t>
      </w:r>
      <w:r>
        <w:rPr>
          <w:rFonts w:ascii="Times New Roman" w:hAnsi="Times New Roman"/>
          <w:sz w:val="24"/>
          <w:szCs w:val="24"/>
          <w:i/>
        </w:rPr>
        <w:t xml:space="preserve">explicación comprensible</w:t>
      </w:r>
      <w:r>
        <w:rPr>
          <w:rFonts w:ascii="Times New Roman" w:hAnsi="Times New Roman"/>
          <w:sz w:val="24"/>
          <w:szCs w:val="24"/>
        </w:rPr>
        <w:t xml:space="preserve">: acceder a una explicación de la lógica del sistema en términos accesibles, que permita entender qué papel desempeñó y sobre qué bases. La </w:t>
      </w:r>
      <w:r>
        <w:rPr>
          <w:rFonts w:ascii="Times New Roman" w:hAnsi="Times New Roman"/>
          <w:sz w:val="24"/>
          <w:szCs w:val="24"/>
          <w:b/>
        </w:rPr>
        <w:t xml:space="preserve">tercera</w:t>
      </w:r>
      <w:r>
        <w:rPr>
          <w:rFonts w:ascii="Times New Roman" w:hAnsi="Times New Roman"/>
          <w:sz w:val="24"/>
          <w:szCs w:val="24"/>
        </w:rPr>
        <w:t xml:space="preserve"> es el derecho a la </w:t>
      </w:r>
      <w:r>
        <w:rPr>
          <w:rFonts w:ascii="Times New Roman" w:hAnsi="Times New Roman"/>
          <w:sz w:val="24"/>
          <w:szCs w:val="24"/>
          <w:i/>
        </w:rPr>
        <w:t xml:space="preserve">contradicción</w:t>
      </w:r>
      <w:r>
        <w:rPr>
          <w:rFonts w:ascii="Times New Roman" w:hAnsi="Times New Roman"/>
          <w:sz w:val="24"/>
          <w:szCs w:val="24"/>
        </w:rPr>
        <w:t xml:space="preserve">: poder cuestionar e impugnar los resultados automatizados y los efectos que de ellos se deriven. La </w:t>
      </w:r>
      <w:r>
        <w:rPr>
          <w:rFonts w:ascii="Times New Roman" w:hAnsi="Times New Roman"/>
          <w:sz w:val="24"/>
          <w:szCs w:val="24"/>
          <w:b/>
        </w:rPr>
        <w:t xml:space="preserve">cuarta</w:t>
      </w:r>
      <w:r>
        <w:rPr>
          <w:rFonts w:ascii="Times New Roman" w:hAnsi="Times New Roman"/>
          <w:sz w:val="24"/>
          <w:szCs w:val="24"/>
        </w:rPr>
        <w:t xml:space="preserve"> es el derecho a una </w:t>
      </w:r>
      <w:r>
        <w:rPr>
          <w:rFonts w:ascii="Times New Roman" w:hAnsi="Times New Roman"/>
          <w:sz w:val="24"/>
          <w:szCs w:val="24"/>
          <w:i/>
        </w:rPr>
        <w:t xml:space="preserve">intervención humana significativa</w:t>
      </w:r>
      <w:r>
        <w:rPr>
          <w:rFonts w:ascii="Times New Roman" w:hAnsi="Times New Roman"/>
          <w:sz w:val="24"/>
          <w:szCs w:val="24"/>
        </w:rPr>
        <w:t xml:space="preserve">: la garantía de que toda decisión que afecte derechos sea adoptada, verificada y asumida por un ser humano competente, y no por la máquina.</w:t>
      </w:r>
    </w:p>
    <w:p>
      <w:pPr>
        <w:spacing w:line="360" w:lineRule="auto" w:before="0" w:after="120"/>
        <w:jc w:val="both"/>
        <w:ind w:firstLine="708"/>
      </w:pPr>
      <w:r>
        <w:rPr>
          <w:rFonts w:ascii="Times New Roman" w:hAnsi="Times New Roman"/>
          <w:sz w:val="24"/>
          <w:szCs w:val="24"/>
        </w:rPr>
        <w:t xml:space="preserve">Conviene precisar por qué se trata de un </w:t>
      </w:r>
      <w:r>
        <w:rPr>
          <w:rFonts w:ascii="Times New Roman" w:hAnsi="Times New Roman"/>
          <w:sz w:val="24"/>
          <w:szCs w:val="24"/>
          <w:b/>
        </w:rPr>
        <w:t xml:space="preserve">estándar y no de un derecho autónomo</w:t>
      </w:r>
      <w:r>
        <w:rPr>
          <w:rFonts w:ascii="Times New Roman" w:hAnsi="Times New Roman"/>
          <w:sz w:val="24"/>
          <w:szCs w:val="24"/>
        </w:rPr>
        <w:t xml:space="preserve">. Postular un derecho nuevo sería innecesario y dogmáticamente confuso: las garantías del debido proceso algorítmico ya están contenidas, en germen, en el artículo 29 (defensa, contradicción, motivación, juez natural), en el artículo 15 (habeas data) y en el artículo 13 (igualdad). Lo que el contexto tecnológico exige no es crear derechos, sino </w:t>
      </w:r>
      <w:r>
        <w:rPr>
          <w:rFonts w:ascii="Times New Roman" w:hAnsi="Times New Roman"/>
          <w:sz w:val="24"/>
          <w:szCs w:val="24"/>
          <w:b/>
        </w:rPr>
        <w:t xml:space="preserve">actualizar el contenido</w:t>
      </w:r>
      <w:r>
        <w:rPr>
          <w:rFonts w:ascii="Times New Roman" w:hAnsi="Times New Roman"/>
          <w:sz w:val="24"/>
          <w:szCs w:val="24"/>
        </w:rPr>
        <w:t xml:space="preserve"> de los existentes y dotarlos de exigencias operativas verificables. El estándar de debido proceso algorítmico cumple, así, una función integradora: traslada las garantías clásicas al entorno tecnológico, evitando que la digitalización opere como un espacio de excepción a los principios que disciplinan el ejercicio del poder público. Sobre esta base conceptual se edifican las secciones siguientes.</w:t>
      </w:r>
    </w:p>
    <w:p>
      <w:pPr>
        <w:spacing w:before="360" w:after="160" w:line="360" w:lineRule="auto"/>
        <w:jc w:val="left"/>
        <w:keepNext/>
      </w:pPr>
      <w:r>
        <w:rPr>
          <w:rFonts w:ascii="Times New Roman" w:hAnsi="Times New Roman"/>
          <w:b/>
          <w:sz w:val="30"/>
          <w:szCs w:val="30"/>
        </w:rPr>
        <w:t xml:space="preserve">2. Evaluación crítica de los lineamientos actuales para el uso de inteligencia artificial en la Rama Judicial</w:t>
      </w:r>
    </w:p>
    <w:p>
      <w:pPr>
        <w:spacing w:before="240" w:after="120" w:line="360" w:lineRule="auto"/>
        <w:jc w:val="left"/>
        <w:keepNext/>
      </w:pPr>
      <w:r>
        <w:rPr>
          <w:rFonts w:ascii="Times New Roman" w:hAnsi="Times New Roman"/>
          <w:b/>
          <w:sz w:val="26"/>
          <w:szCs w:val="26"/>
        </w:rPr>
        <w:t xml:space="preserve">2.1. Alcance y contenido de los instrumentos vigentes</w:t>
      </w:r>
    </w:p>
    <w:p>
      <w:pPr>
        <w:spacing w:line="360" w:lineRule="auto" w:before="0" w:after="120"/>
        <w:jc w:val="both"/>
        <w:ind w:firstLine="708"/>
      </w:pPr>
      <w:r>
        <w:rPr>
          <w:rFonts w:ascii="Times New Roman" w:hAnsi="Times New Roman"/>
          <w:sz w:val="24"/>
          <w:szCs w:val="24"/>
        </w:rPr>
        <w:t xml:space="preserve">El uso de IA en la Rama Judicial colombiana no se desenvuelve en un vacío normativo, aunque tampoco cuenta con una regulación legal específica y completa. El marco aplicable se compone de varios estratos. En el plano constitucional, rigen las garantías del debido proceso (artículo 29), el acceso a la administración de justicia (artículo 229), la igualdad (artículo 13) y el habeas data (artículo 15). En el plano legal, son relevantes la Ley 1341 de 2009 (marco del sector TIC), la Ley Estatutaria 1581 de 2012 (protección de datos personales), la Ley 1712 de 2014 (transparencia y acceso a la información pública), y el régimen de uso de las TIC en la justicia (Decreto 806 de 2020 y Ley 2213 de 2022). En el plano de la política pública, los documentos CONPES 3975 de 2019 y CONPES 4144 de 2025, junto con el marco ético nacional de la IA. Y en el plano jurisprudencial, la línea iniciada con la T-323 de 2024 y desarrollada en la T-067 de 2025 y en pronunciamientos posteriores.</w:t>
      </w:r>
    </w:p>
    <w:p>
      <w:pPr>
        <w:spacing w:line="360" w:lineRule="auto" w:before="0" w:after="120"/>
        <w:jc w:val="both"/>
        <w:ind w:firstLine="708"/>
      </w:pPr>
      <w:r>
        <w:rPr>
          <w:rFonts w:ascii="Times New Roman" w:hAnsi="Times New Roman"/>
          <w:sz w:val="24"/>
          <w:szCs w:val="24"/>
        </w:rPr>
        <w:t xml:space="preserve">A este cuerpo se suman lineamientos institucionales internos —guías, protocolos y directrices de buen uso— que el Consejo Superior de la Judicatura y otras instancias han venido adoptando para orientar a los servidores judiciales sobre el empleo de herramientas de IA, especialmente generativa. Estos lineamientos suelen recoger principios de transparencia, verificación, responsabilidad, protección de datos y no sustitución del juicio humano, y constituyen el primer dique frente a los riesgos identificados.</w:t>
      </w:r>
    </w:p>
    <w:p>
      <w:pPr>
        <w:spacing w:before="240" w:after="120" w:line="360" w:lineRule="auto"/>
        <w:jc w:val="left"/>
        <w:keepNext/>
      </w:pPr>
      <w:r>
        <w:rPr>
          <w:rFonts w:ascii="Times New Roman" w:hAnsi="Times New Roman"/>
          <w:b/>
          <w:sz w:val="26"/>
          <w:szCs w:val="26"/>
        </w:rPr>
        <w:t xml:space="preserve">2.2. Fortalezas y aportes de las directrices existentes</w:t>
      </w:r>
    </w:p>
    <w:p>
      <w:pPr>
        <w:spacing w:line="360" w:lineRule="auto" w:before="0" w:after="120"/>
        <w:jc w:val="both"/>
        <w:ind w:firstLine="708"/>
      </w:pPr>
      <w:r>
        <w:rPr>
          <w:rFonts w:ascii="Times New Roman" w:hAnsi="Times New Roman"/>
          <w:sz w:val="24"/>
          <w:szCs w:val="24"/>
        </w:rPr>
        <w:t xml:space="preserve">Las directrices vigentes presentan aportes innegables. En primer lugar, </w:t>
      </w:r>
      <w:r>
        <w:rPr>
          <w:rFonts w:ascii="Times New Roman" w:hAnsi="Times New Roman"/>
          <w:sz w:val="24"/>
          <w:szCs w:val="24"/>
          <w:b/>
        </w:rPr>
        <w:t xml:space="preserve">reconocen expresamente la licitud condicionada</w:t>
      </w:r>
      <w:r>
        <w:rPr>
          <w:rFonts w:ascii="Times New Roman" w:hAnsi="Times New Roman"/>
          <w:sz w:val="24"/>
          <w:szCs w:val="24"/>
        </w:rPr>
        <w:t xml:space="preserve"> del uso de IA, superando tanto la prohibición indiscriminada como la permisión irreflexiva: la IA puede usarse como apoyo, sujeta a límites. En segundo lugar, </w:t>
      </w:r>
      <w:r>
        <w:rPr>
          <w:rFonts w:ascii="Times New Roman" w:hAnsi="Times New Roman"/>
          <w:sz w:val="24"/>
          <w:szCs w:val="24"/>
          <w:b/>
        </w:rPr>
        <w:t xml:space="preserve">incorporan los principios internacionales</w:t>
      </w:r>
      <w:r>
        <w:rPr>
          <w:rFonts w:ascii="Times New Roman" w:hAnsi="Times New Roman"/>
          <w:sz w:val="24"/>
          <w:szCs w:val="24"/>
        </w:rPr>
        <w:t xml:space="preserve"> (UNESCO, OCDE) y los articulan con las garantías constitucionales, lo que dota al marco de una base axiológica sólida. En tercer lugar, </w:t>
      </w:r>
      <w:r>
        <w:rPr>
          <w:rFonts w:ascii="Times New Roman" w:hAnsi="Times New Roman"/>
          <w:sz w:val="24"/>
          <w:szCs w:val="24"/>
          <w:b/>
        </w:rPr>
        <w:t xml:space="preserve">enfatizan la centralidad humana</w:t>
      </w:r>
      <w:r>
        <w:rPr>
          <w:rFonts w:ascii="Times New Roman" w:hAnsi="Times New Roman"/>
          <w:sz w:val="24"/>
          <w:szCs w:val="24"/>
        </w:rPr>
        <w:t xml:space="preserve">: la regla de que el juicio y la responsabilidad permanecen en cabeza del operador judicial es un acierto que preserva la indelegabilidad de la función jurisdiccional. En cuarto lugar, </w:t>
      </w:r>
      <w:r>
        <w:rPr>
          <w:rFonts w:ascii="Times New Roman" w:hAnsi="Times New Roman"/>
          <w:sz w:val="24"/>
          <w:szCs w:val="24"/>
          <w:b/>
        </w:rPr>
        <w:t xml:space="preserve">promueven la transparencia</w:t>
      </w:r>
      <w:r>
        <w:rPr>
          <w:rFonts w:ascii="Times New Roman" w:hAnsi="Times New Roman"/>
          <w:sz w:val="24"/>
          <w:szCs w:val="24"/>
        </w:rPr>
        <w:t xml:space="preserve">, al exigir la revelación del uso de la herramienta. Y en quinto lugar, la jurisprudencia ha aportado un parámetro de control robusto, al decantar criterios orientadores verificables y al reconocer el carácter cuasi-institucional de las herramientas algorítmicas públicas, lo que impide tratarlas como instrumentos técnicos neutros.</w:t>
      </w:r>
    </w:p>
    <w:p>
      <w:pPr>
        <w:spacing w:before="240" w:after="120" w:line="360" w:lineRule="auto"/>
        <w:jc w:val="left"/>
        <w:keepNext/>
      </w:pPr>
      <w:r>
        <w:rPr>
          <w:rFonts w:ascii="Times New Roman" w:hAnsi="Times New Roman"/>
          <w:b/>
          <w:sz w:val="26"/>
          <w:szCs w:val="26"/>
        </w:rPr>
        <w:t xml:space="preserve">2.3. Vacíos regulatorios y éticos identificados</w:t>
      </w:r>
    </w:p>
    <w:p>
      <w:pPr>
        <w:spacing w:line="360" w:lineRule="auto" w:before="0" w:after="120"/>
        <w:jc w:val="both"/>
        <w:ind w:firstLine="708"/>
      </w:pPr>
      <w:r>
        <w:rPr>
          <w:rFonts w:ascii="Times New Roman" w:hAnsi="Times New Roman"/>
          <w:sz w:val="24"/>
          <w:szCs w:val="24"/>
        </w:rPr>
        <w:t xml:space="preserve">No obstante, persisten vacíos significativos. </w:t>
      </w:r>
      <w:r>
        <w:rPr>
          <w:rFonts w:ascii="Times New Roman" w:hAnsi="Times New Roman"/>
          <w:sz w:val="24"/>
          <w:szCs w:val="24"/>
          <w:b/>
        </w:rPr>
        <w:t xml:space="preserve">Primero</w:t>
      </w:r>
      <w:r>
        <w:rPr>
          <w:rFonts w:ascii="Times New Roman" w:hAnsi="Times New Roman"/>
          <w:sz w:val="24"/>
          <w:szCs w:val="24"/>
        </w:rPr>
        <w:t xml:space="preserve">, la dispersión y la jerarquía normativa: el marco se compone de instrumentos de distinta naturaleza (constitucionales, legales, de </w:t>
      </w:r>
      <w:r>
        <w:rPr>
          <w:rFonts w:ascii="Times New Roman" w:hAnsi="Times New Roman"/>
          <w:sz w:val="24"/>
          <w:szCs w:val="24"/>
          <w:i/>
        </w:rPr>
        <w:t xml:space="preserve">soft law</w:t>
      </w:r>
      <w:r>
        <w:rPr>
          <w:rFonts w:ascii="Times New Roman" w:hAnsi="Times New Roman"/>
          <w:sz w:val="24"/>
          <w:szCs w:val="24"/>
        </w:rPr>
        <w:t xml:space="preserve"> y jurisprudenciales), sin una norma única que los integre y sin claridad sobre su fuerza vinculante; las directrices internas suelen carecer de carácter obligatorio. </w:t>
      </w:r>
      <w:r>
        <w:rPr>
          <w:rFonts w:ascii="Times New Roman" w:hAnsi="Times New Roman"/>
          <w:sz w:val="24"/>
          <w:szCs w:val="24"/>
          <w:b/>
        </w:rPr>
        <w:t xml:space="preserve">Segundo</w:t>
      </w:r>
      <w:r>
        <w:rPr>
          <w:rFonts w:ascii="Times New Roman" w:hAnsi="Times New Roman"/>
          <w:sz w:val="24"/>
          <w:szCs w:val="24"/>
        </w:rPr>
        <w:t xml:space="preserve">, la generalidad: los principios proclamados (transparencia, responsabilidad) rara vez se traducen en reglas operativas verificables, dejando un amplio margen de indeterminación sobre </w:t>
      </w:r>
      <w:r>
        <w:rPr>
          <w:rFonts w:ascii="Times New Roman" w:hAnsi="Times New Roman"/>
          <w:sz w:val="24"/>
          <w:szCs w:val="24"/>
          <w:i/>
        </w:rPr>
        <w:t xml:space="preserve">qué debe hacer concretamente</w:t>
      </w:r>
      <w:r>
        <w:rPr>
          <w:rFonts w:ascii="Times New Roman" w:hAnsi="Times New Roman"/>
          <w:sz w:val="24"/>
          <w:szCs w:val="24"/>
        </w:rPr>
        <w:t xml:space="preserve"> el operador. </w:t>
      </w:r>
      <w:r>
        <w:rPr>
          <w:rFonts w:ascii="Times New Roman" w:hAnsi="Times New Roman"/>
          <w:sz w:val="24"/>
          <w:szCs w:val="24"/>
          <w:b/>
        </w:rPr>
        <w:t xml:space="preserve">Tercero</w:t>
      </w:r>
      <w:r>
        <w:rPr>
          <w:rFonts w:ascii="Times New Roman" w:hAnsi="Times New Roman"/>
          <w:sz w:val="24"/>
          <w:szCs w:val="24"/>
        </w:rPr>
        <w:t xml:space="preserve">, la ausencia de protocolos de auditoría y trazabilidad: no existen mecanismos institucionalizados para registrar, auditar y evaluar el uso de IA ni sus efectos. </w:t>
      </w:r>
      <w:r>
        <w:rPr>
          <w:rFonts w:ascii="Times New Roman" w:hAnsi="Times New Roman"/>
          <w:sz w:val="24"/>
          <w:szCs w:val="24"/>
          <w:b/>
        </w:rPr>
        <w:t xml:space="preserve">Cuarto</w:t>
      </w:r>
      <w:r>
        <w:rPr>
          <w:rFonts w:ascii="Times New Roman" w:hAnsi="Times New Roman"/>
          <w:sz w:val="24"/>
          <w:szCs w:val="24"/>
        </w:rPr>
        <w:t xml:space="preserve">, la insuficiente atención a la protección de datos: el tratamiento de datos sensibles contenidos en los expedientes —especialmente en tutelas— carece de protocolos específicos de minimización, anonimización y reserva articulados con el funcionamiento de las herramientas. </w:t>
      </w:r>
      <w:r>
        <w:rPr>
          <w:rFonts w:ascii="Times New Roman" w:hAnsi="Times New Roman"/>
          <w:sz w:val="24"/>
          <w:szCs w:val="24"/>
          <w:b/>
        </w:rPr>
        <w:t xml:space="preserve">Quinto</w:t>
      </w:r>
      <w:r>
        <w:rPr>
          <w:rFonts w:ascii="Times New Roman" w:hAnsi="Times New Roman"/>
          <w:sz w:val="24"/>
          <w:szCs w:val="24"/>
        </w:rPr>
        <w:t xml:space="preserve">, la falta de diferenciación por fases y por tipo de herramienta: el marco no distingue con precisión entre el uso de IA para gestión, para investigación jurídica o para la elaboración de providencias, ni entre herramientas de clasificación y modelos generativos. </w:t>
      </w:r>
      <w:r>
        <w:rPr>
          <w:rFonts w:ascii="Times New Roman" w:hAnsi="Times New Roman"/>
          <w:sz w:val="24"/>
          <w:szCs w:val="24"/>
          <w:b/>
        </w:rPr>
        <w:t xml:space="preserve">Sexto</w:t>
      </w:r>
      <w:r>
        <w:rPr>
          <w:rFonts w:ascii="Times New Roman" w:hAnsi="Times New Roman"/>
          <w:sz w:val="24"/>
          <w:szCs w:val="24"/>
        </w:rPr>
        <w:t xml:space="preserve">, la ausencia de formación y de alfabetización algorítmica sistemática para los operadores. Y </w:t>
      </w:r>
      <w:r>
        <w:rPr>
          <w:rFonts w:ascii="Times New Roman" w:hAnsi="Times New Roman"/>
          <w:sz w:val="24"/>
          <w:szCs w:val="24"/>
          <w:b/>
        </w:rPr>
        <w:t xml:space="preserve">séptimo</w:t>
      </w:r>
      <w:r>
        <w:rPr>
          <w:rFonts w:ascii="Times New Roman" w:hAnsi="Times New Roman"/>
          <w:sz w:val="24"/>
          <w:szCs w:val="24"/>
        </w:rPr>
        <w:t xml:space="preserve">, la indefinición del régimen de responsabilidad por los errores derivados del uso de IA.</w:t>
      </w:r>
    </w:p>
    <w:p>
      <w:pPr>
        <w:spacing w:before="240" w:after="120" w:line="360" w:lineRule="auto"/>
        <w:jc w:val="left"/>
        <w:keepNext/>
      </w:pPr>
      <w:r>
        <w:rPr>
          <w:rFonts w:ascii="Times New Roman" w:hAnsi="Times New Roman"/>
          <w:b/>
          <w:sz w:val="26"/>
          <w:szCs w:val="26"/>
        </w:rPr>
        <w:t xml:space="preserve">2.4. Necesidad de un estándar ético complementario para la jurisdicción constitucional</w:t>
      </w:r>
    </w:p>
    <w:p>
      <w:pPr>
        <w:spacing w:line="360" w:lineRule="auto" w:before="0" w:after="120"/>
        <w:jc w:val="both"/>
        <w:ind w:firstLine="708"/>
      </w:pPr>
      <w:r>
        <w:rPr>
          <w:rFonts w:ascii="Times New Roman" w:hAnsi="Times New Roman"/>
          <w:sz w:val="24"/>
          <w:szCs w:val="24"/>
        </w:rPr>
        <w:t xml:space="preserve">Los vacíos anteriores se agudizan en la </w:t>
      </w:r>
      <w:r>
        <w:rPr>
          <w:rFonts w:ascii="Times New Roman" w:hAnsi="Times New Roman"/>
          <w:sz w:val="24"/>
          <w:szCs w:val="24"/>
          <w:b/>
        </w:rPr>
        <w:t xml:space="preserve">jurisdicción constitucional</w:t>
      </w:r>
      <w:r>
        <w:rPr>
          <w:rFonts w:ascii="Times New Roman" w:hAnsi="Times New Roman"/>
          <w:sz w:val="24"/>
          <w:szCs w:val="24"/>
        </w:rPr>
        <w:t xml:space="preserve">, por tres razones. La primera es la </w:t>
      </w:r>
      <w:r>
        <w:rPr>
          <w:rFonts w:ascii="Times New Roman" w:hAnsi="Times New Roman"/>
          <w:sz w:val="24"/>
          <w:szCs w:val="24"/>
          <w:b/>
        </w:rPr>
        <w:t xml:space="preserve">naturaleza de los derechos en juego</w:t>
      </w:r>
      <w:r>
        <w:rPr>
          <w:rFonts w:ascii="Times New Roman" w:hAnsi="Times New Roman"/>
          <w:sz w:val="24"/>
          <w:szCs w:val="24"/>
        </w:rPr>
        <w:t xml:space="preserve">: el juez constitucional decide sobre la protección inmediata de derechos fundamentales, frecuentemente de sujetos de especial protección, lo que eleva el estándar de garantía exigible. La segunda es el </w:t>
      </w:r>
      <w:r>
        <w:rPr>
          <w:rFonts w:ascii="Times New Roman" w:hAnsi="Times New Roman"/>
          <w:sz w:val="24"/>
          <w:szCs w:val="24"/>
          <w:b/>
        </w:rPr>
        <w:t xml:space="preserve">volumen y la sensibilidad de los datos</w:t>
      </w:r>
      <w:r>
        <w:rPr>
          <w:rFonts w:ascii="Times New Roman" w:hAnsi="Times New Roman"/>
          <w:sz w:val="24"/>
          <w:szCs w:val="24"/>
        </w:rPr>
        <w:t xml:space="preserve">: las tutelas contienen, por su propia naturaleza, información personal y datos sensibles, cuyo tratamiento masivo plantea tensiones agudas con el habeas data. La tercera es el </w:t>
      </w:r>
      <w:r>
        <w:rPr>
          <w:rFonts w:ascii="Times New Roman" w:hAnsi="Times New Roman"/>
          <w:sz w:val="24"/>
          <w:szCs w:val="24"/>
          <w:b/>
        </w:rPr>
        <w:t xml:space="preserve">efecto multiplicador</w:t>
      </w:r>
      <w:r>
        <w:rPr>
          <w:rFonts w:ascii="Times New Roman" w:hAnsi="Times New Roman"/>
          <w:sz w:val="24"/>
          <w:szCs w:val="24"/>
        </w:rPr>
        <w:t xml:space="preserve"> de la jurisprudencia constitucional: los criterios que adopte la jurisdicción constitucional irradian a todo el ordenamiento, de modo que sus prácticas en materia de IA fijan un precedente para el conjunto del sistema.</w:t>
      </w:r>
    </w:p>
    <w:p>
      <w:pPr>
        <w:spacing w:line="360" w:lineRule="auto" w:before="0" w:after="120"/>
        <w:jc w:val="both"/>
        <w:ind w:firstLine="708"/>
      </w:pPr>
      <w:r>
        <w:rPr>
          <w:rFonts w:ascii="Times New Roman" w:hAnsi="Times New Roman"/>
          <w:sz w:val="24"/>
          <w:szCs w:val="24"/>
        </w:rPr>
        <w:t xml:space="preserve">Por ello se justifica un </w:t>
      </w:r>
      <w:r>
        <w:rPr>
          <w:rFonts w:ascii="Times New Roman" w:hAnsi="Times New Roman"/>
          <w:sz w:val="24"/>
          <w:szCs w:val="24"/>
          <w:b/>
        </w:rPr>
        <w:t xml:space="preserve">estándar ético complementario</w:t>
      </w:r>
      <w:r>
        <w:rPr>
          <w:rFonts w:ascii="Times New Roman" w:hAnsi="Times New Roman"/>
          <w:sz w:val="24"/>
          <w:szCs w:val="24"/>
        </w:rPr>
        <w:t xml:space="preserve"> —no sustitutivo del marco vigente, sino integrador y especificador— que traduzca los principios en reglas operativas, que diferencie por fases y por tipo de herramienta, que incorpore protocolos de auditoría, trazabilidad y protección de datos, y que se materialice en un manual de buenas prácticas dirigido a los operadores judiciales. La sección 4 desarrolla esta propuesta.</w:t>
      </w:r>
    </w:p>
    <w:p>
      <w:pPr>
        <w:spacing w:before="360" w:after="160" w:line="360" w:lineRule="auto"/>
        <w:jc w:val="left"/>
        <w:keepNext/>
      </w:pPr>
      <w:r>
        <w:rPr>
          <w:rFonts w:ascii="Times New Roman" w:hAnsi="Times New Roman"/>
          <w:b/>
          <w:sz w:val="30"/>
          <w:szCs w:val="30"/>
        </w:rPr>
        <w:t xml:space="preserve">3. Los deberes éticos y constitucionales de los operadores judiciales frente al uso de inteligencia artificial</w:t>
      </w:r>
    </w:p>
    <w:p>
      <w:pPr>
        <w:spacing w:line="360" w:lineRule="auto" w:before="0" w:after="120"/>
        <w:jc w:val="both"/>
        <w:ind w:firstLine="708"/>
      </w:pPr>
      <w:r>
        <w:rPr>
          <w:rFonts w:ascii="Times New Roman" w:hAnsi="Times New Roman"/>
          <w:sz w:val="24"/>
          <w:szCs w:val="24"/>
        </w:rPr>
        <w:t xml:space="preserve">El estándar de debido proceso algorítmico se concreta, en el plano subjetivo, en un conjunto de deberes que recaen sobre los operadores judiciales. Estos deberes no son creaciones nuevas, sino proyecciones de obligaciones constitucionales y éticas preexistentes al contexto de la IA.</w:t>
      </w:r>
    </w:p>
    <w:p>
      <w:pPr>
        <w:spacing w:before="240" w:after="120" w:line="360" w:lineRule="auto"/>
        <w:jc w:val="left"/>
        <w:keepNext/>
      </w:pPr>
      <w:r>
        <w:rPr>
          <w:rFonts w:ascii="Times New Roman" w:hAnsi="Times New Roman"/>
          <w:b/>
          <w:sz w:val="26"/>
          <w:szCs w:val="26"/>
        </w:rPr>
        <w:t xml:space="preserve">3.1. El deber de independencia judicial</w:t>
      </w:r>
    </w:p>
    <w:p>
      <w:pPr>
        <w:spacing w:line="360" w:lineRule="auto" w:before="0" w:after="120"/>
        <w:jc w:val="both"/>
        <w:ind w:firstLine="708"/>
      </w:pPr>
      <w:r>
        <w:rPr>
          <w:rFonts w:ascii="Times New Roman" w:hAnsi="Times New Roman"/>
          <w:sz w:val="24"/>
          <w:szCs w:val="24"/>
        </w:rPr>
        <w:t xml:space="preserve">La independencia judicial exige que el juez decida con autonomía, sometido únicamente al imperio de la ley. Frente a la IA, este deber se proyecta en la prohibición de subordinar el criterio propio al resultado de una herramienta. El sesgo de automatización —la tendencia a deferir acríticamente a la salida de la máquina— constituye una amenaza directa a la independencia interna del juez. El operador debe conservar el dominio del razonamiento y tratar el insumo algorítmico como un elemento más, sujeto a verificación y crítica, nunca como una instrucción vinculante.</w:t>
      </w:r>
    </w:p>
    <w:p>
      <w:pPr>
        <w:spacing w:before="240" w:after="120" w:line="360" w:lineRule="auto"/>
        <w:jc w:val="left"/>
        <w:keepNext/>
      </w:pPr>
      <w:r>
        <w:rPr>
          <w:rFonts w:ascii="Times New Roman" w:hAnsi="Times New Roman"/>
          <w:b/>
          <w:sz w:val="26"/>
          <w:szCs w:val="26"/>
        </w:rPr>
        <w:t xml:space="preserve">3.2. El deber de motivación suficiente de las decisiones</w:t>
      </w:r>
    </w:p>
    <w:p>
      <w:pPr>
        <w:spacing w:line="360" w:lineRule="auto" w:before="0" w:after="120"/>
        <w:jc w:val="both"/>
        <w:ind w:firstLine="708"/>
      </w:pPr>
      <w:r>
        <w:rPr>
          <w:rFonts w:ascii="Times New Roman" w:hAnsi="Times New Roman"/>
          <w:sz w:val="24"/>
          <w:szCs w:val="24"/>
        </w:rPr>
        <w:t xml:space="preserve">La motivación es a la vez garantía de las partes y condición de legitimidad de la decisión. El operador que se apoye en IA debe asegurarse de que las razones expresadas en la providencia sean fruto de su propio razonamiento y reflejen una verificación efectiva de la información. No basta con incorporar un texto generado por una herramienta: el juez debe comprenderlo, validarlo, depurarlo y asumirlo como propio. La motivación suficiente excluye, por definición, la motivación delegada en un sistema cuya lógica el juez no controla.</w:t>
      </w:r>
    </w:p>
    <w:p>
      <w:pPr>
        <w:spacing w:before="240" w:after="120" w:line="360" w:lineRule="auto"/>
        <w:jc w:val="left"/>
        <w:keepNext/>
      </w:pPr>
      <w:r>
        <w:rPr>
          <w:rFonts w:ascii="Times New Roman" w:hAnsi="Times New Roman"/>
          <w:b/>
          <w:sz w:val="26"/>
          <w:szCs w:val="26"/>
        </w:rPr>
        <w:t xml:space="preserve">3.3. El deber de protección reforzada de los derechos fundamentales</w:t>
      </w:r>
    </w:p>
    <w:p>
      <w:pPr>
        <w:spacing w:line="360" w:lineRule="auto" w:before="0" w:after="120"/>
        <w:jc w:val="both"/>
        <w:ind w:firstLine="708"/>
      </w:pPr>
      <w:r>
        <w:rPr>
          <w:rFonts w:ascii="Times New Roman" w:hAnsi="Times New Roman"/>
          <w:sz w:val="24"/>
          <w:szCs w:val="24"/>
        </w:rPr>
        <w:t xml:space="preserve">En la jurisdicción constitucional, el operador asume un deber de protección reforzada respecto de los sujetos de especial protección y de los derechos fundamentales en juego. Este deber impone una cautela acentuada en el uso de IA: evaluar con especial rigor los riesgos de sesgo y exclusión, prestar atención prioritaria a los casos que involucran poblaciones vulnerables y abstenerse de emplear herramientas cuyo funcionamiento pueda comprometer la igualdad material del artículo 13.</w:t>
      </w:r>
    </w:p>
    <w:p>
      <w:pPr>
        <w:spacing w:before="240" w:after="120" w:line="360" w:lineRule="auto"/>
        <w:jc w:val="left"/>
        <w:keepNext/>
      </w:pPr>
      <w:r>
        <w:rPr>
          <w:rFonts w:ascii="Times New Roman" w:hAnsi="Times New Roman"/>
          <w:b/>
          <w:sz w:val="26"/>
          <w:szCs w:val="26"/>
        </w:rPr>
        <w:t xml:space="preserve">3.4. El deber de diligencia tecnológica</w:t>
      </w:r>
    </w:p>
    <w:p>
      <w:pPr>
        <w:spacing w:line="360" w:lineRule="auto" w:before="0" w:after="120"/>
        <w:jc w:val="both"/>
        <w:ind w:firstLine="708"/>
      </w:pPr>
      <w:r>
        <w:rPr>
          <w:rFonts w:ascii="Times New Roman" w:hAnsi="Times New Roman"/>
          <w:sz w:val="24"/>
          <w:szCs w:val="24"/>
        </w:rPr>
        <w:t xml:space="preserve">El deber de diligencia tecnológica exige que el operador conozca, al menos en términos funcionales, las herramientas que emplea: su propósito, sus capacidades, sus limitaciones y sus riesgos. La diligencia comprende seleccionar herramientas idóneas y validadas, mantenerse actualizado sobre su funcionamiento y abstenerse de usar aplicaciones inadecuadas o no confiables para tareas sensibles. Este deber conecta con la necesidad de una alfabetización algorítmica que habilite un uso crítico, en línea con los marcos de competencias promovidos por la UNESCO.</w:t>
      </w:r>
    </w:p>
    <w:p>
      <w:pPr>
        <w:spacing w:before="240" w:after="120" w:line="360" w:lineRule="auto"/>
        <w:jc w:val="left"/>
        <w:keepNext/>
      </w:pPr>
      <w:r>
        <w:rPr>
          <w:rFonts w:ascii="Times New Roman" w:hAnsi="Times New Roman"/>
          <w:b/>
          <w:sz w:val="26"/>
          <w:szCs w:val="26"/>
        </w:rPr>
        <w:t xml:space="preserve">3.5. El deber de verificación y control humano de los resultados generados por IA</w:t>
      </w:r>
    </w:p>
    <w:p>
      <w:pPr>
        <w:spacing w:line="360" w:lineRule="auto" w:before="0" w:after="120"/>
        <w:jc w:val="both"/>
        <w:ind w:firstLine="708"/>
      </w:pPr>
      <w:r>
        <w:rPr>
          <w:rFonts w:ascii="Times New Roman" w:hAnsi="Times New Roman"/>
          <w:sz w:val="24"/>
          <w:szCs w:val="24"/>
        </w:rPr>
        <w:t xml:space="preserve">Quizás el deber más importante en el plano operativo. Todo resultado producido por una herramienta de IA —una clasificación, una síntesis, un borrador, una referencia jurisprudencial— debe ser verificado por el operador antes de incorporarse a una actuación. La verificación comprende contrastar la veracidad de los datos, la existencia y vigencia de las fuentes citadas (especialmente para evitar las «alucinaciones» de los modelos generativos, que pueden inventar jurisprudencia o doctrina inexistente) y la pertinencia jurídica del contenido. El control humano debe ser real y significativo, no una validación meramente formal.</w:t>
      </w:r>
    </w:p>
    <w:p>
      <w:pPr>
        <w:spacing w:before="240" w:after="120" w:line="360" w:lineRule="auto"/>
        <w:jc w:val="left"/>
        <w:keepNext/>
      </w:pPr>
      <w:r>
        <w:rPr>
          <w:rFonts w:ascii="Times New Roman" w:hAnsi="Times New Roman"/>
          <w:b/>
          <w:sz w:val="26"/>
          <w:szCs w:val="26"/>
        </w:rPr>
        <w:t xml:space="preserve">3.6. El deber de confidencialidad y protección de datos</w:t>
      </w:r>
    </w:p>
    <w:p>
      <w:pPr>
        <w:spacing w:line="360" w:lineRule="auto" w:before="0" w:after="120"/>
        <w:jc w:val="both"/>
        <w:ind w:firstLine="708"/>
      </w:pPr>
      <w:r>
        <w:rPr>
          <w:rFonts w:ascii="Times New Roman" w:hAnsi="Times New Roman"/>
          <w:sz w:val="24"/>
          <w:szCs w:val="24"/>
        </w:rPr>
        <w:t xml:space="preserve">El operador debe garantizar que el uso de IA respete la reserva procesal y la protección de los datos personales contenidos en los expedientes. Esto implica abstenerse de introducir datos sensibles o sujetos a reserva en herramientas que no ofrezcan garantías de seguridad y confidencialidad —en particular, herramientas externas que puedan almacenar o reutilizar la información—, aplicar técnicas de minimización y anonimización cuando sea posible, y observar los principios de finalidad, necesidad y seguridad de la Ley 1581 de 2012 y las reglas de la Ley 1712 de 2014 sobre información reservada.</w:t>
      </w:r>
    </w:p>
    <w:p>
      <w:pPr>
        <w:spacing w:before="240" w:after="120" w:line="360" w:lineRule="auto"/>
        <w:jc w:val="left"/>
        <w:keepNext/>
      </w:pPr>
      <w:r>
        <w:rPr>
          <w:rFonts w:ascii="Times New Roman" w:hAnsi="Times New Roman"/>
          <w:b/>
          <w:sz w:val="26"/>
          <w:szCs w:val="26"/>
        </w:rPr>
        <w:t xml:space="preserve">3.7. La responsabilidad ética del juez en escenarios de apoyo algorítmico</w:t>
      </w:r>
    </w:p>
    <w:p>
      <w:pPr>
        <w:spacing w:line="360" w:lineRule="auto" w:before="0" w:after="120"/>
        <w:jc w:val="both"/>
        <w:ind w:firstLine="708"/>
      </w:pPr>
      <w:r>
        <w:rPr>
          <w:rFonts w:ascii="Times New Roman" w:hAnsi="Times New Roman"/>
          <w:sz w:val="24"/>
          <w:szCs w:val="24"/>
        </w:rPr>
        <w:t xml:space="preserve">La responsabilidad por la actuación judicial permanece, en todo caso, en cabeza del operador humano. El uso de IA no diluye ni traslada la responsabilidad: el juez responde por la decisión y por las consecuencias del empleo de la herramienta, incluidos los errores no detectados por falta de verificación. Esta responsabilidad tiene una dimensión ética —el compromiso con la integridad y la veracidad de la actuación— y una dimensión jurídica —disciplinaria y, en su caso, de otra índole—, como lo refleja la actuación de las instancias disciplinarias frente a usos inadecuados de la IA. El principio rector es la </w:t>
      </w:r>
      <w:r>
        <w:rPr>
          <w:rFonts w:ascii="Times New Roman" w:hAnsi="Times New Roman"/>
          <w:sz w:val="24"/>
          <w:szCs w:val="24"/>
          <w:b/>
        </w:rPr>
        <w:t xml:space="preserve">imputación humana</w:t>
      </w:r>
      <w:r>
        <w:rPr>
          <w:rFonts w:ascii="Times New Roman" w:hAnsi="Times New Roman"/>
          <w:sz w:val="24"/>
          <w:szCs w:val="24"/>
        </w:rPr>
        <w:t xml:space="preserve">: detrás de toda actuación algorítmica hay un responsable humano que no puede escudarse en la máquina.</w:t>
      </w:r>
    </w:p>
    <w:p>
      <w:pPr>
        <w:spacing w:before="360" w:after="160" w:line="360" w:lineRule="auto"/>
        <w:jc w:val="left"/>
        <w:keepNext/>
      </w:pPr>
      <w:r>
        <w:rPr>
          <w:rFonts w:ascii="Times New Roman" w:hAnsi="Times New Roman"/>
          <w:b/>
          <w:sz w:val="30"/>
          <w:szCs w:val="30"/>
        </w:rPr>
        <w:t xml:space="preserve">4. Propuesta del estándar ético del debido proceso algorítmico en la jurisdicción constitucional: Manual de buenas prácticas para la aplicación de inteligencia artificial</w:t>
      </w:r>
    </w:p>
    <w:p>
      <w:pPr>
        <w:spacing w:line="360" w:lineRule="auto" w:before="0" w:after="120"/>
        <w:jc w:val="both"/>
        <w:ind w:firstLine="708"/>
      </w:pPr>
      <w:r>
        <w:rPr>
          <w:rFonts w:ascii="Times New Roman" w:hAnsi="Times New Roman"/>
          <w:sz w:val="24"/>
          <w:szCs w:val="24"/>
        </w:rPr>
        <w:t xml:space="preserve">Esta sección constituye el producto central de la ponencia: la formulación del estándar ético y su traducción en un manual de buenas prácticas dirigido a los operadores judiciales de la jurisdicción constitucional.</w:t>
      </w:r>
    </w:p>
    <w:p>
      <w:pPr>
        <w:spacing w:before="240" w:after="120" w:line="360" w:lineRule="auto"/>
        <w:jc w:val="left"/>
        <w:keepNext/>
      </w:pPr>
      <w:r>
        <w:rPr>
          <w:rFonts w:ascii="Times New Roman" w:hAnsi="Times New Roman"/>
          <w:b/>
          <w:sz w:val="26"/>
          <w:szCs w:val="26"/>
        </w:rPr>
        <w:t xml:space="preserve">4.1. Fundamentos éticos y normativos del estándar</w:t>
      </w:r>
    </w:p>
    <w:p>
      <w:pPr>
        <w:spacing w:line="360" w:lineRule="auto" w:before="0" w:after="120"/>
        <w:jc w:val="both"/>
        <w:ind w:firstLine="708"/>
      </w:pPr>
      <w:r>
        <w:rPr>
          <w:rFonts w:ascii="Times New Roman" w:hAnsi="Times New Roman"/>
          <w:sz w:val="24"/>
          <w:szCs w:val="24"/>
        </w:rPr>
        <w:t xml:space="preserve">El estándar se asienta sobre cuatro pilares. </w:t>
      </w:r>
      <w:r>
        <w:rPr>
          <w:rFonts w:ascii="Times New Roman" w:hAnsi="Times New Roman"/>
          <w:sz w:val="24"/>
          <w:szCs w:val="24"/>
          <w:b/>
        </w:rPr>
        <w:t xml:space="preserve">Primero, los principios éticos internacionales:</w:t>
      </w:r>
      <w:r>
        <w:rPr>
          <w:rFonts w:ascii="Times New Roman" w:hAnsi="Times New Roman"/>
          <w:sz w:val="24"/>
          <w:szCs w:val="24"/>
        </w:rPr>
        <w:t xml:space="preserve"> la Recomendación de la UNESCO de 2021 (proporcionalidad e inocuidad, equidad, sostenibilidad, intimidad, supervisión humana, transparencia y explicabilidad, responsabilidad), los Principios de la OCDE (2019/2024), el Convenio Marco del Consejo de Europa (CETS 225) y el enfoque basado en el riesgo del Reglamento (UE) 2024/1689, que cataloga como de alto riesgo los sistemas de IA aplicados a la administración de justicia. </w:t>
      </w:r>
      <w:r>
        <w:rPr>
          <w:rFonts w:ascii="Times New Roman" w:hAnsi="Times New Roman"/>
          <w:sz w:val="24"/>
          <w:szCs w:val="24"/>
          <w:b/>
        </w:rPr>
        <w:t xml:space="preserve">Segundo, el marco ético y de política pública colombiano:</w:t>
      </w:r>
      <w:r>
        <w:rPr>
          <w:rFonts w:ascii="Times New Roman" w:hAnsi="Times New Roman"/>
          <w:sz w:val="24"/>
          <w:szCs w:val="24"/>
        </w:rPr>
        <w:t xml:space="preserve"> los documentos CONPES 3975 de 2019 y CONPES 4144 de 2025 y el marco ético nacional de la IA. </w:t>
      </w:r>
      <w:r>
        <w:rPr>
          <w:rFonts w:ascii="Times New Roman" w:hAnsi="Times New Roman"/>
          <w:sz w:val="24"/>
          <w:szCs w:val="24"/>
          <w:b/>
        </w:rPr>
        <w:t xml:space="preserve">Tercero, el régimen de protección de datos y transparencia:</w:t>
      </w:r>
      <w:r>
        <w:rPr>
          <w:rFonts w:ascii="Times New Roman" w:hAnsi="Times New Roman"/>
          <w:sz w:val="24"/>
          <w:szCs w:val="24"/>
        </w:rPr>
        <w:t xml:space="preserve"> el habeas data del artículo 15, la Ley Estatutaria 1581 de 2012 —con su régimen reforzado para datos sensibles, decantado por la Corte en la sentencia C-748 de 2011 al revisar su constitucionalidad— y el derecho a la autodeterminación informativa, cuyo contenido la jurisprudencia perfiló desde la sentencia T-729 de 2002; a ello se suma la Ley 1712 de 2014 sobre transparencia y acceso a la información pública. </w:t>
      </w:r>
      <w:r>
        <w:rPr>
          <w:rFonts w:ascii="Times New Roman" w:hAnsi="Times New Roman"/>
          <w:sz w:val="24"/>
          <w:szCs w:val="24"/>
          <w:b/>
        </w:rPr>
        <w:t xml:space="preserve">Cuarto, la línea jurisprudencial constitucional:</w:t>
      </w:r>
      <w:r>
        <w:rPr>
          <w:rFonts w:ascii="Times New Roman" w:hAnsi="Times New Roman"/>
          <w:sz w:val="24"/>
          <w:szCs w:val="24"/>
        </w:rPr>
        <w:t xml:space="preserve"> las sentencias T-323 de 2024, T-067 de 2025 y T-008 de 2026, que fijan los criterios orientadores del uso de IA en la actividad judicial.</w:t>
      </w:r>
    </w:p>
    <w:p>
      <w:pPr>
        <w:spacing w:line="360" w:lineRule="auto" w:before="0" w:after="120"/>
        <w:jc w:val="both"/>
        <w:ind w:firstLine="708"/>
      </w:pPr>
      <w:r>
        <w:rPr>
          <w:rFonts w:ascii="Times New Roman" w:hAnsi="Times New Roman"/>
          <w:sz w:val="24"/>
          <w:szCs w:val="24"/>
        </w:rPr>
        <w:t xml:space="preserve">La integración de estas fuentes permite afirmar que el ordenamiento ofrece fundamento suficiente para un estándar de debido proceso algorítmico: el artículo 29 sustenta las garantías de explicación, contradicción y motivación; el artículo 15 y la Ley 1581 de 2012 sustentan la protección de datos; el artículo 13 sustenta la no discriminación; y el artículo 229 sustenta el acceso efectivo a la justicia. El estándar no inventa derechos: actualiza y operacionaliza los existentes.</w:t>
      </w:r>
    </w:p>
    <w:p>
      <w:pPr>
        <w:spacing w:before="240" w:after="120" w:line="360" w:lineRule="auto"/>
        <w:jc w:val="left"/>
        <w:keepNext/>
      </w:pPr>
      <w:r>
        <w:rPr>
          <w:rFonts w:ascii="Times New Roman" w:hAnsi="Times New Roman"/>
          <w:b/>
          <w:sz w:val="26"/>
          <w:szCs w:val="26"/>
        </w:rPr>
        <w:t xml:space="preserve">4.2. Los principios del estándar ético (la columna vertebral)</w:t>
      </w:r>
    </w:p>
    <w:p>
      <w:pPr>
        <w:spacing w:line="360" w:lineRule="auto" w:before="0" w:after="120"/>
        <w:jc w:val="both"/>
        <w:ind w:firstLine="708"/>
      </w:pPr>
      <w:r>
        <w:rPr>
          <w:rFonts w:ascii="Times New Roman" w:hAnsi="Times New Roman"/>
          <w:sz w:val="24"/>
          <w:szCs w:val="24"/>
        </w:rPr>
        <w:t xml:space="preserve">A continuación se desarrolla cada principio como </w:t>
      </w:r>
      <w:r>
        <w:rPr>
          <w:rFonts w:ascii="Times New Roman" w:hAnsi="Times New Roman"/>
          <w:sz w:val="24"/>
          <w:szCs w:val="24"/>
          <w:b/>
        </w:rPr>
        <w:t xml:space="preserve">regla operativa</w:t>
      </w:r>
      <w:r>
        <w:rPr>
          <w:rFonts w:ascii="Times New Roman" w:hAnsi="Times New Roman"/>
          <w:sz w:val="24"/>
          <w:szCs w:val="24"/>
        </w:rPr>
        <w:t xml:space="preserve">, es decir, como una exigencia susceptible de verificación práctica.</w:t>
      </w:r>
    </w:p>
    <w:p>
      <w:pPr>
        <w:spacing w:line="360" w:lineRule="auto" w:before="0" w:after="120"/>
        <w:jc w:val="both"/>
        <w:ind w:firstLine="708"/>
      </w:pPr>
      <w:r>
        <w:rPr>
          <w:rFonts w:ascii="Times New Roman" w:hAnsi="Times New Roman"/>
          <w:sz w:val="24"/>
          <w:szCs w:val="24"/>
          <w:b/>
        </w:rPr>
        <w:t xml:space="preserve">(i) Transparencia y explicabilidad.</w:t>
      </w:r>
      <w:r>
        <w:rPr>
          <w:rFonts w:ascii="Times New Roman" w:hAnsi="Times New Roman"/>
          <w:sz w:val="24"/>
          <w:szCs w:val="24"/>
        </w:rPr>
        <w:t xml:space="preserve"> Toda intervención de IA en una actuación judicial debe ser revelada y explicada. </w:t>
      </w:r>
      <w:r>
        <w:rPr>
          <w:rFonts w:ascii="Times New Roman" w:hAnsi="Times New Roman"/>
          <w:sz w:val="24"/>
          <w:szCs w:val="24"/>
          <w:i/>
        </w:rPr>
        <w:t xml:space="preserve">Regla operativa:</w:t>
      </w:r>
      <w:r>
        <w:rPr>
          <w:rFonts w:ascii="Times New Roman" w:hAnsi="Times New Roman"/>
          <w:sz w:val="24"/>
          <w:szCs w:val="24"/>
        </w:rPr>
        <w:t xml:space="preserve"> el operador debe dejar constancia del uso de la herramienta, del propósito con que se empleó y del alcance de su intervención, y debe poder ofrecer una explicación comprensible de la lógica que la rige. La transparencia tiene una dimensión institucional (divulgación de las herramientas que la jurisdicción emplea) y una individual (revelación en la actuación concreta).</w:t>
      </w:r>
    </w:p>
    <w:p>
      <w:pPr>
        <w:spacing w:line="360" w:lineRule="auto" w:before="0" w:after="120"/>
        <w:jc w:val="both"/>
        <w:ind w:firstLine="708"/>
      </w:pPr>
      <w:r>
        <w:rPr>
          <w:rFonts w:ascii="Times New Roman" w:hAnsi="Times New Roman"/>
          <w:sz w:val="24"/>
          <w:szCs w:val="24"/>
          <w:b/>
        </w:rPr>
        <w:t xml:space="preserve">(ii) Control humano significativo / no sustitución del juez.</w:t>
      </w:r>
      <w:r>
        <w:rPr>
          <w:rFonts w:ascii="Times New Roman" w:hAnsi="Times New Roman"/>
          <w:sz w:val="24"/>
          <w:szCs w:val="24"/>
        </w:rPr>
        <w:t xml:space="preserve"> La IA apoya, no decide. </w:t>
      </w:r>
      <w:r>
        <w:rPr>
          <w:rFonts w:ascii="Times New Roman" w:hAnsi="Times New Roman"/>
          <w:sz w:val="24"/>
          <w:szCs w:val="24"/>
          <w:i/>
        </w:rPr>
        <w:t xml:space="preserve">Regla operativa:</w:t>
      </w:r>
      <w:r>
        <w:rPr>
          <w:rFonts w:ascii="Times New Roman" w:hAnsi="Times New Roman"/>
          <w:sz w:val="24"/>
          <w:szCs w:val="24"/>
        </w:rPr>
        <w:t xml:space="preserve"> ninguna decisión que afecte derechos puede adoptarse automáticamente; el operador debe verificar, validar y asumir el resultado, conservando el dominio del razonamiento. La función de adjudicación es indelegable.</w:t>
      </w:r>
    </w:p>
    <w:p>
      <w:pPr>
        <w:spacing w:line="360" w:lineRule="auto" w:before="0" w:after="120"/>
        <w:jc w:val="both"/>
        <w:ind w:firstLine="708"/>
      </w:pPr>
      <w:r>
        <w:rPr>
          <w:rFonts w:ascii="Times New Roman" w:hAnsi="Times New Roman"/>
          <w:sz w:val="24"/>
          <w:szCs w:val="24"/>
          <w:b/>
        </w:rPr>
        <w:t xml:space="preserve">(iii) Responsabilidad y rendición de cuentas.</w:t>
      </w:r>
      <w:r>
        <w:rPr>
          <w:rFonts w:ascii="Times New Roman" w:hAnsi="Times New Roman"/>
          <w:sz w:val="24"/>
          <w:szCs w:val="24"/>
        </w:rPr>
        <w:t xml:space="preserve"> La responsabilidad permanece en el operador y en la institución. </w:t>
      </w:r>
      <w:r>
        <w:rPr>
          <w:rFonts w:ascii="Times New Roman" w:hAnsi="Times New Roman"/>
          <w:sz w:val="24"/>
          <w:szCs w:val="24"/>
          <w:i/>
        </w:rPr>
        <w:t xml:space="preserve">Regla operativa:</w:t>
      </w:r>
      <w:r>
        <w:rPr>
          <w:rFonts w:ascii="Times New Roman" w:hAnsi="Times New Roman"/>
          <w:sz w:val="24"/>
          <w:szCs w:val="24"/>
        </w:rPr>
        <w:t xml:space="preserve"> debe identificarse siempre un responsable humano de la actuación apoyada en IA, y la institución debe disponer de mecanismos de rendición de cuentas sobre el uso de las herramientas.</w:t>
      </w:r>
    </w:p>
    <w:p>
      <w:pPr>
        <w:spacing w:line="360" w:lineRule="auto" w:before="0" w:after="120"/>
        <w:jc w:val="both"/>
        <w:ind w:firstLine="708"/>
      </w:pPr>
      <w:r>
        <w:rPr>
          <w:rFonts w:ascii="Times New Roman" w:hAnsi="Times New Roman"/>
          <w:sz w:val="24"/>
          <w:szCs w:val="24"/>
          <w:b/>
        </w:rPr>
        <w:t xml:space="preserve">(iv) No discriminación e igualdad.</w:t>
      </w:r>
      <w:r>
        <w:rPr>
          <w:rFonts w:ascii="Times New Roman" w:hAnsi="Times New Roman"/>
          <w:sz w:val="24"/>
          <w:szCs w:val="24"/>
        </w:rPr>
        <w:t xml:space="preserve"> La IA no debe producir resultados discriminatorios. </w:t>
      </w:r>
      <w:r>
        <w:rPr>
          <w:rFonts w:ascii="Times New Roman" w:hAnsi="Times New Roman"/>
          <w:sz w:val="24"/>
          <w:szCs w:val="24"/>
          <w:i/>
        </w:rPr>
        <w:t xml:space="preserve">Regla operativa:</w:t>
      </w:r>
      <w:r>
        <w:rPr>
          <w:rFonts w:ascii="Times New Roman" w:hAnsi="Times New Roman"/>
          <w:sz w:val="24"/>
          <w:szCs w:val="24"/>
        </w:rPr>
        <w:t xml:space="preserve"> deben evaluarse y mitigarse los sesgos, con atención reforzada a los sujetos de especial protección; ante indicios de sesgo, debe suspenderse el uso de la herramienta hasta su corrección. El precedente </w:t>
      </w:r>
      <w:r>
        <w:rPr>
          <w:rFonts w:ascii="Times New Roman" w:hAnsi="Times New Roman"/>
          <w:sz w:val="24"/>
          <w:szCs w:val="24"/>
          <w:i/>
        </w:rPr>
        <w:t xml:space="preserve">Ewert v. Canadá</w:t>
      </w:r>
      <w:r>
        <w:rPr>
          <w:rFonts w:ascii="Times New Roman" w:hAnsi="Times New Roman"/>
          <w:sz w:val="24"/>
          <w:szCs w:val="24"/>
        </w:rPr>
        <w:t xml:space="preserve"> recuerda que la apariencia de objetividad no exime del deber de validar la herramienta.</w:t>
      </w:r>
    </w:p>
    <w:p>
      <w:pPr>
        <w:spacing w:line="360" w:lineRule="auto" w:before="0" w:after="120"/>
        <w:jc w:val="both"/>
        <w:ind w:firstLine="708"/>
      </w:pPr>
      <w:r>
        <w:rPr>
          <w:rFonts w:ascii="Times New Roman" w:hAnsi="Times New Roman"/>
          <w:sz w:val="24"/>
          <w:szCs w:val="24"/>
          <w:b/>
        </w:rPr>
        <w:t xml:space="preserve">(v) Protección de datos y minimización.</w:t>
      </w:r>
      <w:r>
        <w:rPr>
          <w:rFonts w:ascii="Times New Roman" w:hAnsi="Times New Roman"/>
          <w:sz w:val="24"/>
          <w:szCs w:val="24"/>
        </w:rPr>
        <w:t xml:space="preserve"> El tratamiento de datos debe ajustarse al habeas data. </w:t>
      </w:r>
      <w:r>
        <w:rPr>
          <w:rFonts w:ascii="Times New Roman" w:hAnsi="Times New Roman"/>
          <w:sz w:val="24"/>
          <w:szCs w:val="24"/>
          <w:i/>
        </w:rPr>
        <w:t xml:space="preserve">Regla operativa:</w:t>
      </w:r>
      <w:r>
        <w:rPr>
          <w:rFonts w:ascii="Times New Roman" w:hAnsi="Times New Roman"/>
          <w:sz w:val="24"/>
          <w:szCs w:val="24"/>
        </w:rPr>
        <w:t xml:space="preserve"> aplicar los principios de finalidad, necesidad, minimización, seguridad y confidencialidad; no introducir datos sensibles o reservados en herramientas no seguras; preferir la anonimización o seudonimización cuando sea compatible con la tarea.</w:t>
      </w:r>
    </w:p>
    <w:p>
      <w:pPr>
        <w:spacing w:line="360" w:lineRule="auto" w:before="0" w:after="120"/>
        <w:jc w:val="both"/>
        <w:ind w:firstLine="708"/>
      </w:pPr>
      <w:r>
        <w:rPr>
          <w:rFonts w:ascii="Times New Roman" w:hAnsi="Times New Roman"/>
          <w:sz w:val="24"/>
          <w:szCs w:val="24"/>
          <w:b/>
        </w:rPr>
        <w:t xml:space="preserve">(vi) Trazabilidad y auditabilidad.</w:t>
      </w:r>
      <w:r>
        <w:rPr>
          <w:rFonts w:ascii="Times New Roman" w:hAnsi="Times New Roman"/>
          <w:sz w:val="24"/>
          <w:szCs w:val="24"/>
        </w:rPr>
        <w:t xml:space="preserve"> El uso de IA debe poder reconstruirse y auditarse. </w:t>
      </w:r>
      <w:r>
        <w:rPr>
          <w:rFonts w:ascii="Times New Roman" w:hAnsi="Times New Roman"/>
          <w:sz w:val="24"/>
          <w:szCs w:val="24"/>
          <w:i/>
        </w:rPr>
        <w:t xml:space="preserve">Regla operativa:</w:t>
      </w:r>
      <w:r>
        <w:rPr>
          <w:rFonts w:ascii="Times New Roman" w:hAnsi="Times New Roman"/>
          <w:sz w:val="24"/>
          <w:szCs w:val="24"/>
        </w:rPr>
        <w:t xml:space="preserve"> registrar qué herramienta se usó, para qué, por quién y con qué resultado; conservar la documentación que permita auditorías posteriores.</w:t>
      </w:r>
    </w:p>
    <w:p>
      <w:pPr>
        <w:spacing w:line="360" w:lineRule="auto" w:before="0" w:after="120"/>
        <w:jc w:val="both"/>
        <w:ind w:firstLine="708"/>
      </w:pPr>
      <w:r>
        <w:rPr>
          <w:rFonts w:ascii="Times New Roman" w:hAnsi="Times New Roman"/>
          <w:sz w:val="24"/>
          <w:szCs w:val="24"/>
          <w:b/>
        </w:rPr>
        <w:t xml:space="preserve">(vii) Proporcionalidad y prevención de riesgos.</w:t>
      </w:r>
      <w:r>
        <w:rPr>
          <w:rFonts w:ascii="Times New Roman" w:hAnsi="Times New Roman"/>
          <w:sz w:val="24"/>
          <w:szCs w:val="24"/>
        </w:rPr>
        <w:t xml:space="preserve"> El uso de IA debe ser proporcionado a la finalidad y respetuoso de la no maleficencia. </w:t>
      </w:r>
      <w:r>
        <w:rPr>
          <w:rFonts w:ascii="Times New Roman" w:hAnsi="Times New Roman"/>
          <w:sz w:val="24"/>
          <w:szCs w:val="24"/>
          <w:i/>
        </w:rPr>
        <w:t xml:space="preserve">Regla operativa:</w:t>
      </w:r>
      <w:r>
        <w:rPr>
          <w:rFonts w:ascii="Times New Roman" w:hAnsi="Times New Roman"/>
          <w:sz w:val="24"/>
          <w:szCs w:val="24"/>
        </w:rPr>
        <w:t xml:space="preserve"> emplear la herramienta solo cuando sea idónea y necesaria, ponderando beneficios y riesgos, y adoptando medidas preventivas de los daños previsibles.</w:t>
      </w:r>
    </w:p>
    <w:p>
      <w:pPr>
        <w:spacing w:before="240" w:after="120" w:line="360" w:lineRule="auto"/>
        <w:jc w:val="left"/>
        <w:keepNext/>
      </w:pPr>
      <w:r>
        <w:rPr>
          <w:rFonts w:ascii="Times New Roman" w:hAnsi="Times New Roman"/>
          <w:b/>
          <w:sz w:val="26"/>
          <w:szCs w:val="26"/>
        </w:rPr>
        <w:t xml:space="preserve">4.3. Ámbito y destinatarios</w:t>
      </w:r>
    </w:p>
    <w:p>
      <w:pPr>
        <w:spacing w:line="360" w:lineRule="auto" w:before="0" w:after="120"/>
        <w:jc w:val="both"/>
        <w:ind w:firstLine="708"/>
      </w:pPr>
      <w:r>
        <w:rPr>
          <w:rFonts w:ascii="Times New Roman" w:hAnsi="Times New Roman"/>
          <w:sz w:val="24"/>
          <w:szCs w:val="24"/>
        </w:rPr>
        <w:t xml:space="preserve">El manual se dirige a todos los operadores judiciales de la jurisdicción constitucional, con deberes diferenciados según el rol:</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Magistrados y jueces:</w:t>
      </w:r>
      <w:r>
        <w:rPr>
          <w:rFonts w:ascii="Times New Roman" w:hAnsi="Times New Roman"/>
          <w:sz w:val="24"/>
          <w:szCs w:val="24"/>
        </w:rPr>
        <w:t xml:space="preserve"> responsables últimos de la decisión; les corresponde el control humano significativo, la motivación y la verificación final.</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Magistrados auxiliares y sustanciadores:</w:t>
      </w:r>
      <w:r>
        <w:rPr>
          <w:rFonts w:ascii="Times New Roman" w:hAnsi="Times New Roman"/>
          <w:sz w:val="24"/>
          <w:szCs w:val="24"/>
        </w:rPr>
        <w:t xml:space="preserve"> responsables de la elaboración de proyectos e insumos; les corresponde la verificación del contenido generado por IA y la observancia de la protección de datos.</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Servidores de apoyo y profesionales de los despachos:</w:t>
      </w:r>
      <w:r>
        <w:rPr>
          <w:rFonts w:ascii="Times New Roman" w:hAnsi="Times New Roman"/>
          <w:sz w:val="24"/>
          <w:szCs w:val="24"/>
        </w:rPr>
        <w:t xml:space="preserve"> responsables de la gestión documental y del uso operativo de las herramientas; les corresponde la trazabilidad y el respeto de la reserva.</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Equipo técnico / áreas de tecnología:</w:t>
      </w:r>
      <w:r>
        <w:rPr>
          <w:rFonts w:ascii="Times New Roman" w:hAnsi="Times New Roman"/>
          <w:sz w:val="24"/>
          <w:szCs w:val="24"/>
        </w:rPr>
        <w:t xml:space="preserve"> responsables de la selección, validación, mantenimiento y auditoría de las herramientas; les corresponde garantizar la seguridad, la explicabilidad técnica y la evaluación de sesgos.</w:t>
      </w:r>
    </w:p>
    <w:p>
      <w:pPr>
        <w:spacing w:before="240" w:after="120" w:line="360" w:lineRule="auto"/>
        <w:jc w:val="left"/>
        <w:keepNext/>
      </w:pPr>
      <w:r>
        <w:rPr>
          <w:rFonts w:ascii="Times New Roman" w:hAnsi="Times New Roman"/>
          <w:b/>
          <w:sz w:val="26"/>
          <w:szCs w:val="26"/>
        </w:rPr>
        <w:t xml:space="preserve">4.4. Protocolo por fases</w:t>
      </w:r>
    </w:p>
    <w:p>
      <w:pPr>
        <w:spacing w:line="360" w:lineRule="auto" w:before="0" w:after="120"/>
        <w:jc w:val="both"/>
        <w:ind w:firstLine="708"/>
      </w:pPr>
      <w:r>
        <w:rPr>
          <w:rFonts w:ascii="Times New Roman" w:hAnsi="Times New Roman"/>
          <w:sz w:val="24"/>
          <w:szCs w:val="24"/>
          <w:b/>
        </w:rPr>
        <w:t xml:space="preserve">Antes de usar la IA (selección y validación).</w:t>
      </w:r>
      <w:r>
        <w:rPr>
          <w:rFonts w:ascii="Times New Roman" w:hAnsi="Times New Roman"/>
          <w:sz w:val="24"/>
          <w:szCs w:val="24"/>
        </w:rPr>
        <w:t xml:space="preserve"> Verificar que la herramienta sea idónea para la tarea y esté validada institucionalmente; comprobar sus condiciones de seguridad y de tratamiento de datos; descartar herramientas externas no autorizadas para datos sensibles o reservados; definir con claridad el propósito del uso.</w:t>
      </w:r>
    </w:p>
    <w:p>
      <w:pPr>
        <w:spacing w:line="360" w:lineRule="auto" w:before="0" w:after="120"/>
        <w:jc w:val="both"/>
        <w:ind w:firstLine="708"/>
      </w:pPr>
      <w:r>
        <w:rPr>
          <w:rFonts w:ascii="Times New Roman" w:hAnsi="Times New Roman"/>
          <w:sz w:val="24"/>
          <w:szCs w:val="24"/>
          <w:b/>
        </w:rPr>
        <w:t xml:space="preserve">Durante el uso (verificación y no delegación).</w:t>
      </w:r>
      <w:r>
        <w:rPr>
          <w:rFonts w:ascii="Times New Roman" w:hAnsi="Times New Roman"/>
          <w:sz w:val="24"/>
          <w:szCs w:val="24"/>
        </w:rPr>
        <w:t xml:space="preserve"> Mantener el control del razonamiento; tratar el resultado como insumo, no como decisión; verificar la veracidad de la información y la existencia y vigencia de las fuentes citadas; no introducir datos sensibles o reservados en herramientas inseguras; documentar el uso.</w:t>
      </w:r>
    </w:p>
    <w:p>
      <w:pPr>
        <w:spacing w:line="360" w:lineRule="auto" w:before="0" w:after="120"/>
        <w:jc w:val="both"/>
        <w:ind w:firstLine="708"/>
      </w:pPr>
      <w:r>
        <w:rPr>
          <w:rFonts w:ascii="Times New Roman" w:hAnsi="Times New Roman"/>
          <w:sz w:val="24"/>
          <w:szCs w:val="24"/>
          <w:b/>
        </w:rPr>
        <w:t xml:space="preserve">Después del uso (revelación, motivación y registro).</w:t>
      </w:r>
      <w:r>
        <w:rPr>
          <w:rFonts w:ascii="Times New Roman" w:hAnsi="Times New Roman"/>
          <w:sz w:val="24"/>
          <w:szCs w:val="24"/>
        </w:rPr>
        <w:t xml:space="preserve"> Revelar el empleo de la herramienta en la actuación cuando corresponda; asegurar que la motivación sea propia y verificada; registrar la trazabilidad del uso (herramienta, propósito, responsable, resultado) para efectos de auditoría.</w:t>
      </w:r>
    </w:p>
    <w:p>
      <w:pPr>
        <w:spacing w:before="240" w:after="120" w:line="360" w:lineRule="auto"/>
        <w:jc w:val="left"/>
        <w:keepNext/>
      </w:pPr>
      <w:r>
        <w:rPr>
          <w:rFonts w:ascii="Times New Roman" w:hAnsi="Times New Roman"/>
          <w:b/>
          <w:sz w:val="26"/>
          <w:szCs w:val="26"/>
        </w:rPr>
        <w:t xml:space="preserve">4.5. Checklists y decálogo del uso ético</w:t>
      </w:r>
    </w:p>
    <w:p>
      <w:pPr>
        <w:spacing w:line="360" w:lineRule="auto" w:before="0" w:after="120"/>
        <w:jc w:val="both"/>
        <w:ind w:firstLine="708"/>
      </w:pPr>
      <w:r>
        <w:rPr>
          <w:rFonts w:ascii="Times New Roman" w:hAnsi="Times New Roman"/>
          <w:sz w:val="24"/>
          <w:szCs w:val="24"/>
          <w:b/>
        </w:rPr>
        <w:t xml:space="preserve">Decálogo del uso ético de la IA por los operadores judiciales:</w:t>
      </w:r>
    </w:p>
    <w:p>
      <w:pPr>
        <w:spacing w:line="360" w:lineRule="auto" w:after="60"/>
        <w:jc w:val="both"/>
        <w:ind w:left="708" w:hanging="284"/>
      </w:pPr>
      <w:r>
        <w:rPr>
          <w:rFonts w:ascii="Times New Roman" w:hAnsi="Times New Roman"/>
          <w:sz w:val="24"/>
          <w:szCs w:val="24"/>
        </w:rPr>
        <w:t xml:space="preserve">1.  La IA apoya; el juez decide. No delegues el juicio.</w:t>
      </w:r>
    </w:p>
    <w:p>
      <w:pPr>
        <w:spacing w:line="360" w:lineRule="auto" w:after="60"/>
        <w:jc w:val="both"/>
        <w:ind w:left="708" w:hanging="284"/>
      </w:pPr>
      <w:r>
        <w:rPr>
          <w:rFonts w:ascii="Times New Roman" w:hAnsi="Times New Roman"/>
          <w:sz w:val="24"/>
          <w:szCs w:val="24"/>
        </w:rPr>
        <w:t xml:space="preserve">2.  Verifica siempre: ninguna salida de IA se usa sin comprobar su veracidad y sus fuentes.</w:t>
      </w:r>
    </w:p>
    <w:p>
      <w:pPr>
        <w:spacing w:line="360" w:lineRule="auto" w:after="60"/>
        <w:jc w:val="both"/>
        <w:ind w:left="708" w:hanging="284"/>
      </w:pPr>
      <w:r>
        <w:rPr>
          <w:rFonts w:ascii="Times New Roman" w:hAnsi="Times New Roman"/>
          <w:sz w:val="24"/>
          <w:szCs w:val="24"/>
        </w:rPr>
        <w:t xml:space="preserve">3.  Revela el uso de la herramienta cuando incida en la actuación.</w:t>
      </w:r>
    </w:p>
    <w:p>
      <w:pPr>
        <w:spacing w:line="360" w:lineRule="auto" w:after="60"/>
        <w:jc w:val="both"/>
        <w:ind w:left="708" w:hanging="284"/>
      </w:pPr>
      <w:r>
        <w:rPr>
          <w:rFonts w:ascii="Times New Roman" w:hAnsi="Times New Roman"/>
          <w:sz w:val="24"/>
          <w:szCs w:val="24"/>
        </w:rPr>
        <w:t xml:space="preserve">4.  Protege los datos: no introduzcas información sensible o reservada en herramientas no seguras.</w:t>
      </w:r>
    </w:p>
    <w:p>
      <w:pPr>
        <w:spacing w:line="360" w:lineRule="auto" w:after="60"/>
        <w:jc w:val="both"/>
        <w:ind w:left="708" w:hanging="284"/>
      </w:pPr>
      <w:r>
        <w:rPr>
          <w:rFonts w:ascii="Times New Roman" w:hAnsi="Times New Roman"/>
          <w:sz w:val="24"/>
          <w:szCs w:val="24"/>
        </w:rPr>
        <w:t xml:space="preserve">5.  Motiva con razones propias; no copies sin comprender.</w:t>
      </w:r>
    </w:p>
    <w:p>
      <w:pPr>
        <w:spacing w:line="360" w:lineRule="auto" w:after="60"/>
        <w:jc w:val="both"/>
        <w:ind w:left="708" w:hanging="284"/>
      </w:pPr>
      <w:r>
        <w:rPr>
          <w:rFonts w:ascii="Times New Roman" w:hAnsi="Times New Roman"/>
          <w:sz w:val="24"/>
          <w:szCs w:val="24"/>
        </w:rPr>
        <w:t xml:space="preserve">6.  Vigila los sesgos; protege con mayor rigor a los sujetos vulnerables.</w:t>
      </w:r>
    </w:p>
    <w:p>
      <w:pPr>
        <w:spacing w:line="360" w:lineRule="auto" w:after="60"/>
        <w:jc w:val="both"/>
        <w:ind w:left="708" w:hanging="284"/>
      </w:pPr>
      <w:r>
        <w:rPr>
          <w:rFonts w:ascii="Times New Roman" w:hAnsi="Times New Roman"/>
          <w:sz w:val="24"/>
          <w:szCs w:val="24"/>
        </w:rPr>
        <w:t xml:space="preserve">7.  Usa solo herramientas idóneas y validadas.</w:t>
      </w:r>
    </w:p>
    <w:p>
      <w:pPr>
        <w:spacing w:line="360" w:lineRule="auto" w:after="60"/>
        <w:jc w:val="both"/>
        <w:ind w:left="708" w:hanging="284"/>
      </w:pPr>
      <w:r>
        <w:rPr>
          <w:rFonts w:ascii="Times New Roman" w:hAnsi="Times New Roman"/>
          <w:sz w:val="24"/>
          <w:szCs w:val="24"/>
        </w:rPr>
        <w:t xml:space="preserve">8.  Deja rastro: documenta qué usaste, para qué y con qué resultado.</w:t>
      </w:r>
    </w:p>
    <w:p>
      <w:pPr>
        <w:spacing w:line="360" w:lineRule="auto" w:after="60"/>
        <w:jc w:val="both"/>
        <w:ind w:left="708" w:hanging="284"/>
      </w:pPr>
      <w:r>
        <w:rPr>
          <w:rFonts w:ascii="Times New Roman" w:hAnsi="Times New Roman"/>
          <w:sz w:val="24"/>
          <w:szCs w:val="24"/>
        </w:rPr>
        <w:t xml:space="preserve">9.  Asume la responsabilidad; detrás de la máquina hay un responsable humano.</w:t>
      </w:r>
    </w:p>
    <w:p>
      <w:pPr>
        <w:spacing w:line="360" w:lineRule="auto" w:after="60"/>
        <w:jc w:val="both"/>
        <w:ind w:left="708" w:hanging="284"/>
      </w:pPr>
      <w:r>
        <w:rPr>
          <w:rFonts w:ascii="Times New Roman" w:hAnsi="Times New Roman"/>
          <w:sz w:val="24"/>
          <w:szCs w:val="24"/>
        </w:rPr>
        <w:t xml:space="preserve">10.  Capacítate: usa la IA con comprensión crítica, no por inercia.</w:t>
      </w:r>
    </w:p>
    <w:p>
      <w:pPr>
        <w:spacing w:line="360" w:lineRule="auto" w:before="0" w:after="120"/>
        <w:jc w:val="both"/>
        <w:ind w:firstLine="708"/>
      </w:pPr>
      <w:r>
        <w:rPr>
          <w:rFonts w:ascii="Times New Roman" w:hAnsi="Times New Roman"/>
          <w:sz w:val="24"/>
          <w:szCs w:val="24"/>
          <w:b/>
        </w:rPr>
        <w:t xml:space="preserve">Lista de verificación ética (checklist):</w:t>
      </w:r>
    </w:p>
    <w:p>
      <w:pPr>
        <w:spacing w:line="360" w:lineRule="auto" w:after="60"/>
        <w:jc w:val="both"/>
        <w:ind w:left="708" w:hanging="284"/>
      </w:pPr>
      <w:r>
        <w:rPr>
          <w:rFonts w:ascii="Times New Roman" w:hAnsi="Times New Roman"/>
          <w:sz w:val="24"/>
          <w:szCs w:val="24"/>
        </w:rPr>
        <w:t xml:space="preserve">☐ ¿La herramienta está autorizada y validada para esta tarea?</w:t>
      </w:r>
    </w:p>
    <w:p>
      <w:pPr>
        <w:spacing w:line="360" w:lineRule="auto" w:after="60"/>
        <w:jc w:val="both"/>
        <w:ind w:left="708" w:hanging="284"/>
      </w:pPr>
      <w:r>
        <w:rPr>
          <w:rFonts w:ascii="Times New Roman" w:hAnsi="Times New Roman"/>
          <w:sz w:val="24"/>
          <w:szCs w:val="24"/>
        </w:rPr>
        <w:t xml:space="preserve">☐ ¿Su uso es idóneo, necesario y proporcionado?</w:t>
      </w:r>
    </w:p>
    <w:p>
      <w:pPr>
        <w:spacing w:line="360" w:lineRule="auto" w:after="60"/>
        <w:jc w:val="both"/>
        <w:ind w:left="708" w:hanging="284"/>
      </w:pPr>
      <w:r>
        <w:rPr>
          <w:rFonts w:ascii="Times New Roman" w:hAnsi="Times New Roman"/>
          <w:sz w:val="24"/>
          <w:szCs w:val="24"/>
        </w:rPr>
        <w:t xml:space="preserve">☐ ¿Evité introducir datos sensibles o reservados en herramientas inseguras?</w:t>
      </w:r>
    </w:p>
    <w:p>
      <w:pPr>
        <w:spacing w:line="360" w:lineRule="auto" w:after="60"/>
        <w:jc w:val="both"/>
        <w:ind w:left="708" w:hanging="284"/>
      </w:pPr>
      <w:r>
        <w:rPr>
          <w:rFonts w:ascii="Times New Roman" w:hAnsi="Times New Roman"/>
          <w:sz w:val="24"/>
          <w:szCs w:val="24"/>
        </w:rPr>
        <w:t xml:space="preserve">☐ ¿Verifiqué la veracidad del contenido y la existencia y vigencia de las fuentes?</w:t>
      </w:r>
    </w:p>
    <w:p>
      <w:pPr>
        <w:spacing w:line="360" w:lineRule="auto" w:after="60"/>
        <w:jc w:val="both"/>
        <w:ind w:left="708" w:hanging="284"/>
      </w:pPr>
      <w:r>
        <w:rPr>
          <w:rFonts w:ascii="Times New Roman" w:hAnsi="Times New Roman"/>
          <w:sz w:val="24"/>
          <w:szCs w:val="24"/>
        </w:rPr>
        <w:t xml:space="preserve">☐ ¿El razonamiento y la motivación son propios y comprendidos?</w:t>
      </w:r>
    </w:p>
    <w:p>
      <w:pPr>
        <w:spacing w:line="360" w:lineRule="auto" w:after="60"/>
        <w:jc w:val="both"/>
        <w:ind w:left="708" w:hanging="284"/>
      </w:pPr>
      <w:r>
        <w:rPr>
          <w:rFonts w:ascii="Times New Roman" w:hAnsi="Times New Roman"/>
          <w:sz w:val="24"/>
          <w:szCs w:val="24"/>
        </w:rPr>
        <w:t xml:space="preserve">☐ ¿Evalué posibles sesgos y su impacto en sujetos de especial protección?</w:t>
      </w:r>
    </w:p>
    <w:p>
      <w:pPr>
        <w:spacing w:line="360" w:lineRule="auto" w:after="60"/>
        <w:jc w:val="both"/>
        <w:ind w:left="708" w:hanging="284"/>
      </w:pPr>
      <w:r>
        <w:rPr>
          <w:rFonts w:ascii="Times New Roman" w:hAnsi="Times New Roman"/>
          <w:sz w:val="24"/>
          <w:szCs w:val="24"/>
        </w:rPr>
        <w:t xml:space="preserve">☐ ¿Revelé el uso de la herramienta cuando correspondía?</w:t>
      </w:r>
    </w:p>
    <w:p>
      <w:pPr>
        <w:spacing w:line="360" w:lineRule="auto" w:after="60"/>
        <w:jc w:val="both"/>
        <w:ind w:left="708" w:hanging="284"/>
      </w:pPr>
      <w:r>
        <w:rPr>
          <w:rFonts w:ascii="Times New Roman" w:hAnsi="Times New Roman"/>
          <w:sz w:val="24"/>
          <w:szCs w:val="24"/>
        </w:rPr>
        <w:t xml:space="preserve">☐ ¿Registré la trazabilidad del uso para auditoría?</w:t>
      </w:r>
    </w:p>
    <w:p>
      <w:pPr>
        <w:spacing w:line="360" w:lineRule="auto" w:after="60"/>
        <w:jc w:val="both"/>
        <w:ind w:left="708" w:hanging="284"/>
      </w:pPr>
      <w:r>
        <w:rPr>
          <w:rFonts w:ascii="Times New Roman" w:hAnsi="Times New Roman"/>
          <w:sz w:val="24"/>
          <w:szCs w:val="24"/>
        </w:rPr>
        <w:t xml:space="preserve">☐ ¿Hay un responsable humano identificado de la actuación?</w:t>
      </w:r>
    </w:p>
    <w:p>
      <w:pPr>
        <w:spacing w:before="240" w:after="120" w:line="360" w:lineRule="auto"/>
        <w:jc w:val="left"/>
        <w:keepNext/>
      </w:pPr>
      <w:r>
        <w:rPr>
          <w:rFonts w:ascii="Times New Roman" w:hAnsi="Times New Roman"/>
          <w:b/>
          <w:sz w:val="26"/>
          <w:szCs w:val="26"/>
        </w:rPr>
        <w:t xml:space="preserve">4.6. Deberes de revelación y motivación (qué declarar en la providencia)</w:t>
      </w:r>
    </w:p>
    <w:p>
      <w:pPr>
        <w:spacing w:line="360" w:lineRule="auto" w:before="0" w:after="120"/>
        <w:jc w:val="both"/>
        <w:ind w:firstLine="708"/>
      </w:pPr>
      <w:r>
        <w:rPr>
          <w:rFonts w:ascii="Times New Roman" w:hAnsi="Times New Roman"/>
          <w:sz w:val="24"/>
          <w:szCs w:val="24"/>
        </w:rPr>
        <w:t xml:space="preserve">Cuando el uso de IA incida en una actuación con relevancia jurídica, la providencia o el documento correspondiente debe declarar, de manera proporcionada: (i) que se empleó una herramienta de IA; (ii) la tarea para la cual se empleó (por ejemplo, búsqueda de jurisprudencia, síntesis de un expediente, apoyo en la redacción); (iii) que el contenido fue verificado por el operador; y (iv) que la decisión y su motivación son fruto del razonamiento humano. Esta declaración satisface las garantías de transparencia y contradicción y previene la motivación delegada.</w:t>
      </w:r>
    </w:p>
    <w:p>
      <w:pPr>
        <w:spacing w:before="240" w:after="120" w:line="360" w:lineRule="auto"/>
        <w:jc w:val="left"/>
        <w:keepNext/>
      </w:pPr>
      <w:r>
        <w:rPr>
          <w:rFonts w:ascii="Times New Roman" w:hAnsi="Times New Roman"/>
          <w:b/>
          <w:sz w:val="26"/>
          <w:szCs w:val="26"/>
        </w:rPr>
        <w:t xml:space="preserve">4.7. Tratamiento de datos en tutelas (anonimización y reserva)</w:t>
      </w:r>
    </w:p>
    <w:p>
      <w:pPr>
        <w:spacing w:line="360" w:lineRule="auto" w:before="0" w:after="120"/>
        <w:jc w:val="both"/>
        <w:ind w:firstLine="708"/>
      </w:pPr>
      <w:r>
        <w:rPr>
          <w:rFonts w:ascii="Times New Roman" w:hAnsi="Times New Roman"/>
          <w:sz w:val="24"/>
          <w:szCs w:val="24"/>
        </w:rPr>
        <w:t xml:space="preserve">Las tutelas concentran datos personales y sensibles. El estándar exige: (i) aplicar la reserva legal y jurisprudencial sobre la identidad de menores, víctimas y personas en situación de vulnerabilidad; (ii) preferir el uso de versiones anonimizadas o seudonimizadas de los expedientes cuando la tarea lo permita; (iii) restringir el tratamiento a la finalidad legítima y a herramientas que garanticen seguridad y confidencialidad; (iv) prohibir la transferencia de datos sensibles a herramientas externas no autorizadas; y (v) articular estas medidas con la Ley 1581 de 2012, la Ley 1712 de 2014 y las reglas procesales de reserva y publicidad.</w:t>
      </w:r>
    </w:p>
    <w:p>
      <w:pPr>
        <w:spacing w:before="240" w:after="120" w:line="360" w:lineRule="auto"/>
        <w:jc w:val="left"/>
        <w:keepNext/>
      </w:pPr>
      <w:r>
        <w:rPr>
          <w:rFonts w:ascii="Times New Roman" w:hAnsi="Times New Roman"/>
          <w:b/>
          <w:sz w:val="26"/>
          <w:szCs w:val="26"/>
        </w:rPr>
        <w:t xml:space="preserve">4.8. Matriz de lo permitido y lo prohibido</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5"/>
        <w:gridCol w:w="4675"/>
      </w:tblGrid>
      <w:tr>
        <w:tc>
          <w:tcPr>
            <w:tcW w:w="4675" w:type="dxa"/>
            <w:shd w:val="clear" w:color="auto" w:fill="D9D9D9"/>
          </w:tcPr>
          <w:p>
            <w:pPr>
              <w:spacing w:line="276" w:lineRule="auto" w:after="40"/>
              <w:jc w:val="left"/>
            </w:pPr>
            <w:r>
              <w:rPr>
                <w:rFonts w:ascii="Times New Roman" w:hAnsi="Times New Roman"/>
                <w:sz w:val="22"/>
                <w:szCs w:val="22"/>
                <w:b/>
              </w:rPr>
              <w:t xml:space="preserve">Permitido (apoyo y gestión)</w:t>
            </w:r>
          </w:p>
        </w:tc>
        <w:tc>
          <w:tcPr>
            <w:tcW w:w="4675" w:type="dxa"/>
            <w:shd w:val="clear" w:color="auto" w:fill="D9D9D9"/>
          </w:tcPr>
          <w:p>
            <w:pPr>
              <w:spacing w:line="276" w:lineRule="auto" w:after="40"/>
              <w:jc w:val="left"/>
            </w:pPr>
            <w:r>
              <w:rPr>
                <w:rFonts w:ascii="Times New Roman" w:hAnsi="Times New Roman"/>
                <w:sz w:val="22"/>
                <w:szCs w:val="22"/>
                <w:b/>
              </w:rPr>
              <w:t xml:space="preserve">Prohibido (sustitución y riesgo)</w:t>
            </w:r>
          </w:p>
        </w:tc>
      </w:tr>
      <w:tr>
        <w:tc>
          <w:tcPr>
            <w:tcW w:w="4675" w:type="dxa"/>
          </w:tcPr>
          <w:p>
            <w:pPr>
              <w:spacing w:line="276" w:lineRule="auto" w:after="40"/>
              <w:jc w:val="left"/>
            </w:pPr>
            <w:r>
              <w:rPr>
                <w:rFonts w:ascii="Times New Roman" w:hAnsi="Times New Roman"/>
                <w:sz w:val="22"/>
                <w:szCs w:val="22"/>
              </w:rPr>
              <w:t xml:space="preserve">Clasificar, ordenar y priorizar expedientes</w:t>
            </w:r>
          </w:p>
        </w:tc>
        <w:tc>
          <w:tcPr>
            <w:tcW w:w="4675" w:type="dxa"/>
          </w:tcPr>
          <w:p>
            <w:pPr>
              <w:spacing w:line="276" w:lineRule="auto" w:after="40"/>
              <w:jc w:val="left"/>
            </w:pPr>
            <w:r>
              <w:rPr>
                <w:rFonts w:ascii="Times New Roman" w:hAnsi="Times New Roman"/>
                <w:sz w:val="22"/>
                <w:szCs w:val="22"/>
              </w:rPr>
              <w:t xml:space="preserve">Decidir automáticamente la selección o el fondo</w:t>
            </w:r>
          </w:p>
        </w:tc>
      </w:tr>
      <w:tr>
        <w:tc>
          <w:tcPr>
            <w:tcW w:w="4675" w:type="dxa"/>
          </w:tcPr>
          <w:p>
            <w:pPr>
              <w:spacing w:line="276" w:lineRule="auto" w:after="40"/>
              <w:jc w:val="left"/>
            </w:pPr>
            <w:r>
              <w:rPr>
                <w:rFonts w:ascii="Times New Roman" w:hAnsi="Times New Roman"/>
                <w:sz w:val="22"/>
                <w:szCs w:val="22"/>
              </w:rPr>
              <w:t xml:space="preserve">Buscar y sistematizar jurisprudencia y doctrina (con verificación)</w:t>
            </w:r>
          </w:p>
        </w:tc>
        <w:tc>
          <w:tcPr>
            <w:tcW w:w="4675" w:type="dxa"/>
          </w:tcPr>
          <w:p>
            <w:pPr>
              <w:spacing w:line="276" w:lineRule="auto" w:after="40"/>
              <w:jc w:val="left"/>
            </w:pPr>
            <w:r>
              <w:rPr>
                <w:rFonts w:ascii="Times New Roman" w:hAnsi="Times New Roman"/>
                <w:sz w:val="22"/>
                <w:szCs w:val="22"/>
              </w:rPr>
              <w:t xml:space="preserve">Citar fuentes sin verificar su existencia y vigencia</w:t>
            </w:r>
          </w:p>
        </w:tc>
      </w:tr>
      <w:tr>
        <w:tc>
          <w:tcPr>
            <w:tcW w:w="4675" w:type="dxa"/>
          </w:tcPr>
          <w:p>
            <w:pPr>
              <w:spacing w:line="276" w:lineRule="auto" w:after="40"/>
              <w:jc w:val="left"/>
            </w:pPr>
            <w:r>
              <w:rPr>
                <w:rFonts w:ascii="Times New Roman" w:hAnsi="Times New Roman"/>
                <w:sz w:val="22"/>
                <w:szCs w:val="22"/>
              </w:rPr>
              <w:t xml:space="preserve">Apoyar la redacción de borradores (verificados y asumidos)</w:t>
            </w:r>
          </w:p>
        </w:tc>
        <w:tc>
          <w:tcPr>
            <w:tcW w:w="4675" w:type="dxa"/>
          </w:tcPr>
          <w:p>
            <w:pPr>
              <w:spacing w:line="276" w:lineRule="auto" w:after="40"/>
              <w:jc w:val="left"/>
            </w:pPr>
            <w:r>
              <w:rPr>
                <w:rFonts w:ascii="Times New Roman" w:hAnsi="Times New Roman"/>
                <w:sz w:val="22"/>
                <w:szCs w:val="22"/>
              </w:rPr>
              <w:t xml:space="preserve">Incorporar texto generado sin comprenderlo ni validarlo</w:t>
            </w:r>
          </w:p>
        </w:tc>
      </w:tr>
      <w:tr>
        <w:tc>
          <w:tcPr>
            <w:tcW w:w="4675" w:type="dxa"/>
          </w:tcPr>
          <w:p>
            <w:pPr>
              <w:spacing w:line="276" w:lineRule="auto" w:after="40"/>
              <w:jc w:val="left"/>
            </w:pPr>
            <w:r>
              <w:rPr>
                <w:rFonts w:ascii="Times New Roman" w:hAnsi="Times New Roman"/>
                <w:sz w:val="22"/>
                <w:szCs w:val="22"/>
              </w:rPr>
              <w:t xml:space="preserve">Sintetizar información de expedientes</w:t>
            </w:r>
          </w:p>
        </w:tc>
        <w:tc>
          <w:tcPr>
            <w:tcW w:w="4675" w:type="dxa"/>
          </w:tcPr>
          <w:p>
            <w:pPr>
              <w:spacing w:line="276" w:lineRule="auto" w:after="40"/>
              <w:jc w:val="left"/>
            </w:pPr>
            <w:r>
              <w:rPr>
                <w:rFonts w:ascii="Times New Roman" w:hAnsi="Times New Roman"/>
                <w:sz w:val="22"/>
                <w:szCs w:val="22"/>
              </w:rPr>
              <w:t xml:space="preserve">Tratar datos sensibles en herramientas inseguras</w:t>
            </w:r>
          </w:p>
        </w:tc>
      </w:tr>
      <w:tr>
        <w:tc>
          <w:tcPr>
            <w:tcW w:w="4675" w:type="dxa"/>
          </w:tcPr>
          <w:p>
            <w:pPr>
              <w:spacing w:line="276" w:lineRule="auto" w:after="40"/>
              <w:jc w:val="left"/>
            </w:pPr>
            <w:r>
              <w:rPr>
                <w:rFonts w:ascii="Times New Roman" w:hAnsi="Times New Roman"/>
                <w:sz w:val="22"/>
                <w:szCs w:val="22"/>
              </w:rPr>
              <w:t xml:space="preserve">Traducir o resumir documentos de trabajo</w:t>
            </w:r>
          </w:p>
        </w:tc>
        <w:tc>
          <w:tcPr>
            <w:tcW w:w="4675" w:type="dxa"/>
          </w:tcPr>
          <w:p>
            <w:pPr>
              <w:spacing w:line="276" w:lineRule="auto" w:after="40"/>
              <w:jc w:val="left"/>
            </w:pPr>
            <w:r>
              <w:rPr>
                <w:rFonts w:ascii="Times New Roman" w:hAnsi="Times New Roman"/>
                <w:sz w:val="22"/>
                <w:szCs w:val="22"/>
              </w:rPr>
              <w:t xml:space="preserve">Sustituir la motivación con la salida de la herramienta</w:t>
            </w:r>
          </w:p>
        </w:tc>
      </w:tr>
      <w:tr>
        <w:tc>
          <w:tcPr>
            <w:tcW w:w="4675" w:type="dxa"/>
          </w:tcPr>
          <w:p>
            <w:pPr>
              <w:spacing w:line="276" w:lineRule="auto" w:after="40"/>
              <w:jc w:val="left"/>
            </w:pPr>
            <w:r>
              <w:rPr>
                <w:rFonts w:ascii="Times New Roman" w:hAnsi="Times New Roman"/>
                <w:sz w:val="22"/>
                <w:szCs w:val="22"/>
              </w:rPr>
              <w:t xml:space="preserve">Detectar patrones para gestión interna</w:t>
            </w:r>
          </w:p>
        </w:tc>
        <w:tc>
          <w:tcPr>
            <w:tcW w:w="4675" w:type="dxa"/>
          </w:tcPr>
          <w:p>
            <w:pPr>
              <w:spacing w:line="276" w:lineRule="auto" w:after="40"/>
              <w:jc w:val="left"/>
            </w:pPr>
            <w:r>
              <w:rPr>
                <w:rFonts w:ascii="Times New Roman" w:hAnsi="Times New Roman"/>
                <w:sz w:val="22"/>
                <w:szCs w:val="22"/>
              </w:rPr>
              <w:t xml:space="preserve">Usar IA predictiva para prejuzgar a las partes</w:t>
            </w:r>
          </w:p>
        </w:tc>
      </w:tr>
    </w:tbl>
    <w:p>
      <w:pPr>
        <w:spacing w:after="120"/>
      </w:pPr>
    </w:p>
    <w:p>
      <w:pPr>
        <w:spacing w:before="240" w:after="120" w:line="360" w:lineRule="auto"/>
        <w:jc w:val="left"/>
        <w:keepNext/>
      </w:pPr>
      <w:r>
        <w:rPr>
          <w:rFonts w:ascii="Times New Roman" w:hAnsi="Times New Roman"/>
          <w:b/>
          <w:sz w:val="26"/>
          <w:szCs w:val="26"/>
        </w:rPr>
        <w:t xml:space="preserve">4.9. Reglas operativas detalladas</w:t>
      </w:r>
    </w:p>
    <w:p>
      <w:pPr>
        <w:spacing w:line="360" w:lineRule="auto" w:before="0" w:after="120"/>
        <w:jc w:val="both"/>
        <w:ind w:firstLine="708"/>
      </w:pPr>
      <w:r>
        <w:rPr>
          <w:rFonts w:ascii="Times New Roman" w:hAnsi="Times New Roman"/>
          <w:sz w:val="24"/>
          <w:szCs w:val="24"/>
          <w:b/>
        </w:rPr>
        <w:t xml:space="preserve">Reglas previas al uso de sistemas de IA:</w:t>
      </w:r>
      <w:r>
        <w:rPr>
          <w:rFonts w:ascii="Times New Roman" w:hAnsi="Times New Roman"/>
          <w:sz w:val="24"/>
          <w:szCs w:val="24"/>
        </w:rPr>
        <w:t xml:space="preserve"> autorización institucional de la herramienta; verificación de seguridad y de tratamiento de datos; definición del propósito; descarte de herramientas inadecuadas para datos sensibles.</w:t>
      </w:r>
    </w:p>
    <w:p>
      <w:pPr>
        <w:spacing w:line="360" w:lineRule="auto" w:before="0" w:after="120"/>
        <w:jc w:val="both"/>
        <w:ind w:firstLine="708"/>
      </w:pPr>
      <w:r>
        <w:rPr>
          <w:rFonts w:ascii="Times New Roman" w:hAnsi="Times New Roman"/>
          <w:sz w:val="24"/>
          <w:szCs w:val="24"/>
          <w:b/>
        </w:rPr>
        <w:t xml:space="preserve">Reglas durante la utilización de herramientas algorítmicas:</w:t>
      </w:r>
      <w:r>
        <w:rPr>
          <w:rFonts w:ascii="Times New Roman" w:hAnsi="Times New Roman"/>
          <w:sz w:val="24"/>
          <w:szCs w:val="24"/>
        </w:rPr>
        <w:t xml:space="preserve"> control humano del razonamiento; verificación de veracidad y fuentes; minimización y anonimización de datos; documentación del uso; abstención de introducir información reservada en herramientas no seguras.</w:t>
      </w:r>
    </w:p>
    <w:p>
      <w:pPr>
        <w:spacing w:line="360" w:lineRule="auto" w:before="0" w:after="120"/>
        <w:jc w:val="both"/>
        <w:ind w:firstLine="708"/>
      </w:pPr>
      <w:r>
        <w:rPr>
          <w:rFonts w:ascii="Times New Roman" w:hAnsi="Times New Roman"/>
          <w:sz w:val="24"/>
          <w:szCs w:val="24"/>
          <w:b/>
        </w:rPr>
        <w:t xml:space="preserve">Reglas para la elaboración de providencias asistidas por IA:</w:t>
      </w:r>
      <w:r>
        <w:rPr>
          <w:rFonts w:ascii="Times New Roman" w:hAnsi="Times New Roman"/>
          <w:sz w:val="24"/>
          <w:szCs w:val="24"/>
        </w:rPr>
        <w:t xml:space="preserve"> la motivación debe ser propia y verificada; debe revelarse el uso de la herramienta; debe comprobarse la existencia y vigencia de toda jurisprudencia o doctrina citada; el proyecto debe ser revisado integralmente por el operador responsable.</w:t>
      </w:r>
    </w:p>
    <w:p>
      <w:pPr>
        <w:spacing w:line="360" w:lineRule="auto" w:before="0" w:after="120"/>
        <w:jc w:val="both"/>
        <w:ind w:firstLine="708"/>
      </w:pPr>
      <w:r>
        <w:rPr>
          <w:rFonts w:ascii="Times New Roman" w:hAnsi="Times New Roman"/>
          <w:sz w:val="24"/>
          <w:szCs w:val="24"/>
          <w:b/>
        </w:rPr>
        <w:t xml:space="preserve">Criterios para la protección de derechos fundamentales:</w:t>
      </w:r>
      <w:r>
        <w:rPr>
          <w:rFonts w:ascii="Times New Roman" w:hAnsi="Times New Roman"/>
          <w:sz w:val="24"/>
          <w:szCs w:val="24"/>
        </w:rPr>
        <w:t xml:space="preserve"> atención reforzada a sujetos de especial protección; evaluación de impacto sobre la igualdad; cautela frente a los riesgos de exclusión y sesgo; primacía de la garantía de los derechos sobre la eficiencia.</w:t>
      </w:r>
    </w:p>
    <w:p>
      <w:pPr>
        <w:spacing w:line="360" w:lineRule="auto" w:before="0" w:after="120"/>
        <w:jc w:val="both"/>
        <w:ind w:firstLine="708"/>
      </w:pPr>
      <w:r>
        <w:rPr>
          <w:rFonts w:ascii="Times New Roman" w:hAnsi="Times New Roman"/>
          <w:sz w:val="24"/>
          <w:szCs w:val="24"/>
          <w:b/>
        </w:rPr>
        <w:t xml:space="preserve">Mecanismos de control, auditoría y seguimiento:</w:t>
      </w:r>
      <w:r>
        <w:rPr>
          <w:rFonts w:ascii="Times New Roman" w:hAnsi="Times New Roman"/>
          <w:sz w:val="24"/>
          <w:szCs w:val="24"/>
        </w:rPr>
        <w:t xml:space="preserve"> registro y trazabilidad del uso; auditorías periódicas de las herramientas y de sus efectos; evaluación continua de sesgos; canales de reporte de incidentes; revisión y actualización del estándar.</w:t>
      </w:r>
    </w:p>
    <w:p>
      <w:pPr>
        <w:spacing w:before="240" w:after="120" w:line="360" w:lineRule="auto"/>
        <w:jc w:val="left"/>
        <w:keepNext/>
      </w:pPr>
      <w:r>
        <w:rPr>
          <w:rFonts w:ascii="Times New Roman" w:hAnsi="Times New Roman"/>
          <w:b/>
          <w:sz w:val="26"/>
          <w:szCs w:val="26"/>
        </w:rPr>
        <w:t xml:space="preserve">4.10. Gobernanza, auditoría y responsabilidad</w:t>
      </w:r>
    </w:p>
    <w:p>
      <w:pPr>
        <w:spacing w:line="360" w:lineRule="auto" w:before="0" w:after="120"/>
        <w:jc w:val="both"/>
        <w:ind w:firstLine="708"/>
      </w:pPr>
      <w:r>
        <w:rPr>
          <w:rFonts w:ascii="Times New Roman" w:hAnsi="Times New Roman"/>
          <w:sz w:val="24"/>
          <w:szCs w:val="24"/>
        </w:rPr>
        <w:t xml:space="preserve">La sostenibilidad del estándar exige una institucionalidad de gobernanza. </w:t>
      </w:r>
      <w:r>
        <w:rPr>
          <w:rFonts w:ascii="Times New Roman" w:hAnsi="Times New Roman"/>
          <w:sz w:val="24"/>
          <w:szCs w:val="24"/>
          <w:b/>
        </w:rPr>
        <w:t xml:space="preserve">Supervisión institucional:</w:t>
      </w:r>
      <w:r>
        <w:rPr>
          <w:rFonts w:ascii="Times New Roman" w:hAnsi="Times New Roman"/>
          <w:sz w:val="24"/>
          <w:szCs w:val="24"/>
        </w:rPr>
        <w:t xml:space="preserve"> una instancia responsable de la política de IA de la jurisdicción, encargada de autorizar herramientas, definir protocolos y supervisar su cumplimiento. </w:t>
      </w:r>
      <w:r>
        <w:rPr>
          <w:rFonts w:ascii="Times New Roman" w:hAnsi="Times New Roman"/>
          <w:sz w:val="24"/>
          <w:szCs w:val="24"/>
          <w:b/>
        </w:rPr>
        <w:t xml:space="preserve">Auditorías algorítmicas:</w:t>
      </w:r>
      <w:r>
        <w:rPr>
          <w:rFonts w:ascii="Times New Roman" w:hAnsi="Times New Roman"/>
          <w:sz w:val="24"/>
          <w:szCs w:val="24"/>
        </w:rPr>
        <w:t xml:space="preserve"> evaluaciones periódicas e independientes de las herramientas —su lógica, sus tasas de error, sus sesgos y su tratamiento de datos—, con publicación de resultados en lo que sea compatible con la reserva. </w:t>
      </w:r>
      <w:r>
        <w:rPr>
          <w:rFonts w:ascii="Times New Roman" w:hAnsi="Times New Roman"/>
          <w:sz w:val="24"/>
          <w:szCs w:val="24"/>
          <w:b/>
        </w:rPr>
        <w:t xml:space="preserve">Régimen de responsabilidad del operador:</w:t>
      </w:r>
      <w:r>
        <w:rPr>
          <w:rFonts w:ascii="Times New Roman" w:hAnsi="Times New Roman"/>
          <w:sz w:val="24"/>
          <w:szCs w:val="24"/>
        </w:rPr>
        <w:t xml:space="preserve"> reglas claras que imputen al responsable humano las consecuencias del uso de IA, articuladas con el régimen disciplinario. </w:t>
      </w:r>
      <w:r>
        <w:rPr>
          <w:rFonts w:ascii="Times New Roman" w:hAnsi="Times New Roman"/>
          <w:sz w:val="24"/>
          <w:szCs w:val="24"/>
          <w:b/>
        </w:rPr>
        <w:t xml:space="preserve">Capacitación y mejora continua:</w:t>
      </w:r>
      <w:r>
        <w:rPr>
          <w:rFonts w:ascii="Times New Roman" w:hAnsi="Times New Roman"/>
          <w:sz w:val="24"/>
          <w:szCs w:val="24"/>
        </w:rPr>
        <w:t xml:space="preserve"> programas de alfabetización algorítmica para los operadores, inspirados en los marcos de competencias de la UNESCO, y revisión periódica del estándar a la luz de la evolución tecnológica y jurisprudencial.</w:t>
      </w:r>
    </w:p>
    <w:p>
      <w:pPr>
        <w:spacing w:before="360" w:after="160" w:line="360" w:lineRule="auto"/>
        <w:jc w:val="left"/>
        <w:keepNext/>
      </w:pPr>
      <w:r>
        <w:rPr>
          <w:rFonts w:ascii="Times New Roman" w:hAnsi="Times New Roman"/>
          <w:b/>
          <w:sz w:val="30"/>
          <w:szCs w:val="30"/>
        </w:rPr>
        <w:t xml:space="preserve">5. Conclusiones y recomendaciones</w:t>
      </w:r>
    </w:p>
    <w:p>
      <w:pPr>
        <w:spacing w:line="360" w:lineRule="auto" w:before="0" w:after="120"/>
        <w:jc w:val="both"/>
        <w:ind w:firstLine="708"/>
      </w:pPr>
      <w:r>
        <w:rPr>
          <w:rFonts w:ascii="Times New Roman" w:hAnsi="Times New Roman"/>
          <w:sz w:val="24"/>
          <w:szCs w:val="24"/>
          <w:b/>
        </w:rPr>
        <w:t xml:space="preserve">Primera.</w:t>
      </w:r>
      <w:r>
        <w:rPr>
          <w:rFonts w:ascii="Times New Roman" w:hAnsi="Times New Roman"/>
          <w:sz w:val="24"/>
          <w:szCs w:val="24"/>
        </w:rPr>
        <w:t xml:space="preserve"> La transformación digital de la función jurisdiccional ha entrado en una fase —la de la inteligencia artificial— que plantea desafíos inéditos al debido proceso. La eficiencia que promete la IA no puede lograrse a costa de las garantías que legitiman el ejercicio del poder judicial.</w:t>
      </w:r>
    </w:p>
    <w:p>
      <w:pPr>
        <w:spacing w:line="360" w:lineRule="auto" w:before="0" w:after="120"/>
        <w:jc w:val="both"/>
        <w:ind w:firstLine="708"/>
      </w:pPr>
      <w:r>
        <w:rPr>
          <w:rFonts w:ascii="Times New Roman" w:hAnsi="Times New Roman"/>
          <w:sz w:val="24"/>
          <w:szCs w:val="24"/>
          <w:b/>
        </w:rPr>
        <w:t xml:space="preserve">Segunda.</w:t>
      </w:r>
      <w:r>
        <w:rPr>
          <w:rFonts w:ascii="Times New Roman" w:hAnsi="Times New Roman"/>
          <w:sz w:val="24"/>
          <w:szCs w:val="24"/>
        </w:rPr>
        <w:t xml:space="preserve"> El debido proceso (artículo 29) y la protección de datos personales (artículo 15), articulados con la igualdad (artículo 13) y el acceso a la justicia (artículo 229), ofrecen fundamento suficiente para reconocer un </w:t>
      </w:r>
      <w:r>
        <w:rPr>
          <w:rFonts w:ascii="Times New Roman" w:hAnsi="Times New Roman"/>
          <w:sz w:val="24"/>
          <w:szCs w:val="24"/>
          <w:b/>
        </w:rPr>
        <w:t xml:space="preserve">estándar de debido proceso algorítmico</w:t>
      </w:r>
      <w:r>
        <w:rPr>
          <w:rFonts w:ascii="Times New Roman" w:hAnsi="Times New Roman"/>
          <w:sz w:val="24"/>
          <w:szCs w:val="24"/>
        </w:rPr>
        <w:t xml:space="preserve">. Este estándar no es un derecho autónomo, sino una relectura operativa de las garantías existentes, estructurada en cuatro garantías nucleares: saber que hay IA, explicación comprensible, contradicción e intervención humana significativa.</w:t>
      </w:r>
    </w:p>
    <w:p>
      <w:pPr>
        <w:spacing w:line="360" w:lineRule="auto" w:before="0" w:after="120"/>
        <w:jc w:val="both"/>
        <w:ind w:firstLine="708"/>
      </w:pPr>
      <w:r>
        <w:rPr>
          <w:rFonts w:ascii="Times New Roman" w:hAnsi="Times New Roman"/>
          <w:sz w:val="24"/>
          <w:szCs w:val="24"/>
          <w:b/>
        </w:rPr>
        <w:t xml:space="preserve">Tercera.</w:t>
      </w:r>
      <w:r>
        <w:rPr>
          <w:rFonts w:ascii="Times New Roman" w:hAnsi="Times New Roman"/>
          <w:sz w:val="24"/>
          <w:szCs w:val="24"/>
        </w:rPr>
        <w:t xml:space="preserve"> Los lineamientos vigentes —constitucionales, legales, de política pública y jurisprudenciales— aportan una base axiológica sólida y reconocen la licitud condicionada del uso de IA, pero adolecen de vacíos: dispersión, generalidad, ausencia de protocolos de auditoría y trazabilidad, insuficiente protección de datos y falta de diferenciación por fases y herramientas. Estos vacíos se agudizan en la jurisdicción constitucional, lo que justifica un estándar ético complementario.</w:t>
      </w:r>
    </w:p>
    <w:p>
      <w:pPr>
        <w:spacing w:line="360" w:lineRule="auto" w:before="0" w:after="120"/>
        <w:jc w:val="both"/>
        <w:ind w:firstLine="708"/>
      </w:pPr>
      <w:r>
        <w:rPr>
          <w:rFonts w:ascii="Times New Roman" w:hAnsi="Times New Roman"/>
          <w:sz w:val="24"/>
          <w:szCs w:val="24"/>
          <w:b/>
        </w:rPr>
        <w:t xml:space="preserve">Cuarta.</w:t>
      </w:r>
      <w:r>
        <w:rPr>
          <w:rFonts w:ascii="Times New Roman" w:hAnsi="Times New Roman"/>
          <w:sz w:val="24"/>
          <w:szCs w:val="24"/>
        </w:rPr>
        <w:t xml:space="preserve"> El estándar se concreta en deberes de los operadores —independencia, motivación, protección reforzada, diligencia tecnológica, verificación y control humano, confidencialidad y responsabilidad— y en un manual de buenas prácticas con principios operativos, protocolos por fases, checklists, deberes de revelación y motivación, reglas de tratamiento de datos y una matriz de lo permitido y lo prohibido.</w:t>
      </w:r>
    </w:p>
    <w:p>
      <w:pPr>
        <w:spacing w:line="360" w:lineRule="auto" w:before="0" w:after="120"/>
        <w:jc w:val="both"/>
        <w:ind w:firstLine="708"/>
      </w:pPr>
      <w:r>
        <w:rPr>
          <w:rFonts w:ascii="Times New Roman" w:hAnsi="Times New Roman"/>
          <w:sz w:val="24"/>
          <w:szCs w:val="24"/>
          <w:b/>
        </w:rPr>
        <w:t xml:space="preserve">Quinta.</w:t>
      </w:r>
      <w:r>
        <w:rPr>
          <w:rFonts w:ascii="Times New Roman" w:hAnsi="Times New Roman"/>
          <w:sz w:val="24"/>
          <w:szCs w:val="24"/>
        </w:rPr>
        <w:t xml:space="preserve"> La consolidación del estándar reclama una gobernanza permanente: supervisión institucional, auditorías algorítmicas, un régimen claro de responsabilidad y programas de capacitación. La legitimidad del uso de la IA judicial no es un dato estático, sino el resultado de una vigilancia continua.</w:t>
      </w:r>
    </w:p>
    <w:p>
      <w:pPr>
        <w:spacing w:line="360" w:lineRule="auto" w:before="0" w:after="120"/>
        <w:jc w:val="both"/>
        <w:ind w:firstLine="708"/>
      </w:pPr>
      <w:r>
        <w:rPr>
          <w:rFonts w:ascii="Times New Roman" w:hAnsi="Times New Roman"/>
          <w:sz w:val="24"/>
          <w:szCs w:val="24"/>
          <w:b/>
        </w:rPr>
        <w:t xml:space="preserve">Recomendaciones.</w:t>
      </w:r>
      <w:r>
        <w:rPr>
          <w:rFonts w:ascii="Times New Roman" w:hAnsi="Times New Roman"/>
          <w:sz w:val="24"/>
          <w:szCs w:val="24"/>
        </w:rPr>
        <w:t xml:space="preserve"> Se sugiere: (i) adoptar formalmente el estándar y el manual como instrumento de la jurisdicción constitucional; (ii) crear una instancia de gobernanza de la IA con funciones de autorización, supervisión y auditoría; (iii) institucionalizar la trazabilidad y las auditorías de sesgos; (iv) expedir protocolos de protección de datos articulados con las reglas de reserva procesal; (v) implementar programas de alfabetización algorítmica para los operadores; y (vi) revisar periódicamente el estándar a la luz de la evolución tecnológica y jurisprudencial. Solo así la IA podrá consolidarse como un instrumento al servicio —y no en detrimento— de la eficacia de los derechos fundamentales.</w:t>
      </w:r>
    </w:p>
    <w:p>
      <w:r>
        <w:br w:type="page"/>
      </w:r>
    </w:p>
    <w:p>
      <w:pPr>
        <w:spacing w:before="360" w:after="160" w:line="360" w:lineRule="auto"/>
        <w:jc w:val="left"/>
        <w:keepNext/>
      </w:pPr>
      <w:r>
        <w:rPr>
          <w:rFonts w:ascii="Times New Roman" w:hAnsi="Times New Roman"/>
          <w:b/>
          <w:sz w:val="30"/>
          <w:szCs w:val="30"/>
        </w:rPr>
        <w:t xml:space="preserve">Referencias</w:t>
      </w:r>
    </w:p>
    <w:p>
      <w:pPr>
        <w:spacing w:line="360" w:lineRule="auto" w:after="120"/>
        <w:jc w:val="both"/>
        <w:ind w:left="708" w:hanging="708"/>
      </w:pPr>
      <w:r>
        <w:rPr>
          <w:rFonts w:ascii="Times New Roman" w:hAnsi="Times New Roman"/>
          <w:sz w:val="24"/>
          <w:szCs w:val="24"/>
        </w:rPr>
        <w:t xml:space="preserve">AP760 de 2026, Corte Suprema de Justicia de Colombia.</w:t>
      </w:r>
    </w:p>
    <w:p>
      <w:pPr>
        <w:spacing w:line="360" w:lineRule="auto" w:after="120"/>
        <w:jc w:val="both"/>
        <w:ind w:left="708" w:hanging="708"/>
      </w:pPr>
      <w:r>
        <w:rPr>
          <w:rFonts w:ascii="Times New Roman" w:hAnsi="Times New Roman"/>
          <w:sz w:val="24"/>
          <w:szCs w:val="24"/>
        </w:rPr>
        <w:t xml:space="preserve">AC739 de 2026, Corte Suprema de Justicia de Colombia.</w:t>
      </w:r>
    </w:p>
    <w:p>
      <w:pPr>
        <w:spacing w:line="360" w:lineRule="auto" w:after="120"/>
        <w:jc w:val="both"/>
        <w:ind w:left="708" w:hanging="708"/>
      </w:pPr>
      <w:r>
        <w:rPr>
          <w:rFonts w:ascii="Times New Roman" w:hAnsi="Times New Roman"/>
          <w:sz w:val="24"/>
          <w:szCs w:val="24"/>
        </w:rPr>
        <w:t xml:space="preserve">Asamblea Nacional Constituyente. (1991). </w:t>
      </w:r>
      <w:r>
        <w:rPr>
          <w:rFonts w:ascii="Times New Roman" w:hAnsi="Times New Roman"/>
          <w:sz w:val="24"/>
          <w:szCs w:val="24"/>
          <w:i/>
        </w:rPr>
        <w:t xml:space="preserve">Constitución Política de Colombia</w:t>
      </w:r>
      <w:r>
        <w:rPr>
          <w:rFonts w:ascii="Times New Roman" w:hAnsi="Times New Roman"/>
          <w:sz w:val="24"/>
          <w:szCs w:val="24"/>
        </w:rPr>
        <w:t xml:space="preserve">. Gaceta Constitucional No. 116.</w:t>
      </w:r>
    </w:p>
    <w:p>
      <w:pPr>
        <w:spacing w:line="360" w:lineRule="auto" w:after="120"/>
        <w:jc w:val="both"/>
        <w:ind w:left="708" w:hanging="708"/>
      </w:pPr>
      <w:r>
        <w:rPr>
          <w:rFonts w:ascii="Times New Roman" w:hAnsi="Times New Roman"/>
          <w:sz w:val="24"/>
          <w:szCs w:val="24"/>
        </w:rPr>
        <w:t xml:space="preserve">Comisión Nacional de Disciplina Judicial. (2026). </w:t>
      </w:r>
      <w:r>
        <w:rPr>
          <w:rFonts w:ascii="Times New Roman" w:hAnsi="Times New Roman"/>
          <w:sz w:val="24"/>
          <w:szCs w:val="24"/>
          <w:i/>
        </w:rPr>
        <w:t xml:space="preserve">Decisión Rad. 11001080200020250124100, del 13 de mayo de 2026</w:t>
      </w:r>
      <w:r>
        <w:rPr>
          <w:rFonts w:ascii="Times New Roman" w:hAnsi="Times New Roman"/>
          <w:sz w:val="24"/>
          <w:szCs w:val="24"/>
        </w:rPr>
        <w:t xml:space="preserve">.</w:t>
      </w:r>
    </w:p>
    <w:p>
      <w:pPr>
        <w:spacing w:line="360" w:lineRule="auto" w:after="120"/>
        <w:jc w:val="both"/>
        <w:ind w:left="708" w:hanging="708"/>
      </w:pPr>
      <w:r>
        <w:rPr>
          <w:rFonts w:ascii="Times New Roman" w:hAnsi="Times New Roman"/>
          <w:sz w:val="24"/>
          <w:szCs w:val="24"/>
        </w:rPr>
        <w:t xml:space="preserve">Congreso de la República de Colombia. (2009). </w:t>
      </w:r>
      <w:r>
        <w:rPr>
          <w:rFonts w:ascii="Times New Roman" w:hAnsi="Times New Roman"/>
          <w:sz w:val="24"/>
          <w:szCs w:val="24"/>
          <w:i/>
        </w:rPr>
        <w:t xml:space="preserve">Ley 1341 de 2009, por la cual se definen principios y conceptos sobre la sociedad de la información y la organización de las Tecnologías de la Información y las Comunicaciones –TIC–</w:t>
      </w:r>
      <w:r>
        <w:rPr>
          <w:rFonts w:ascii="Times New Roman" w:hAnsi="Times New Roman"/>
          <w:sz w:val="24"/>
          <w:szCs w:val="24"/>
        </w:rPr>
        <w:t xml:space="preserve">. Diario Oficial No. 47.426.</w:t>
      </w:r>
    </w:p>
    <w:p>
      <w:pPr>
        <w:spacing w:line="360" w:lineRule="auto" w:after="120"/>
        <w:jc w:val="both"/>
        <w:ind w:left="708" w:hanging="708"/>
      </w:pPr>
      <w:r>
        <w:rPr>
          <w:rFonts w:ascii="Times New Roman" w:hAnsi="Times New Roman"/>
          <w:sz w:val="24"/>
          <w:szCs w:val="24"/>
        </w:rPr>
        <w:t xml:space="preserve">Congreso de la República de Colombia. (2012). </w:t>
      </w:r>
      <w:r>
        <w:rPr>
          <w:rFonts w:ascii="Times New Roman" w:hAnsi="Times New Roman"/>
          <w:sz w:val="24"/>
          <w:szCs w:val="24"/>
          <w:i/>
        </w:rPr>
        <w:t xml:space="preserve">Ley Estatutaria 1581 de 2012, por la cual se dictan disposiciones generales para la protección de datos personales</w:t>
      </w:r>
      <w:r>
        <w:rPr>
          <w:rFonts w:ascii="Times New Roman" w:hAnsi="Times New Roman"/>
          <w:sz w:val="24"/>
          <w:szCs w:val="24"/>
        </w:rPr>
        <w:t xml:space="preserve">. Diario Oficial No. 48.587.</w:t>
      </w:r>
    </w:p>
    <w:p>
      <w:pPr>
        <w:spacing w:line="360" w:lineRule="auto" w:after="120"/>
        <w:jc w:val="both"/>
        <w:ind w:left="708" w:hanging="708"/>
      </w:pPr>
      <w:r>
        <w:rPr>
          <w:rFonts w:ascii="Times New Roman" w:hAnsi="Times New Roman"/>
          <w:sz w:val="24"/>
          <w:szCs w:val="24"/>
        </w:rPr>
        <w:t xml:space="preserve">Congreso de la República de Colombia. (2014). </w:t>
      </w:r>
      <w:r>
        <w:rPr>
          <w:rFonts w:ascii="Times New Roman" w:hAnsi="Times New Roman"/>
          <w:sz w:val="24"/>
          <w:szCs w:val="24"/>
          <w:i/>
        </w:rPr>
        <w:t xml:space="preserve">Ley 1712 de 2014, por medio de la cual se crea la Ley de Transparencia y del Derecho de Acceso a la Información Pública Nacional</w:t>
      </w:r>
      <w:r>
        <w:rPr>
          <w:rFonts w:ascii="Times New Roman" w:hAnsi="Times New Roman"/>
          <w:sz w:val="24"/>
          <w:szCs w:val="24"/>
        </w:rPr>
        <w:t xml:space="preserve">. Diario Oficial No. 49.084.</w:t>
      </w:r>
    </w:p>
    <w:p>
      <w:pPr>
        <w:spacing w:line="360" w:lineRule="auto" w:after="120"/>
        <w:jc w:val="both"/>
        <w:ind w:left="708" w:hanging="708"/>
      </w:pPr>
      <w:r>
        <w:rPr>
          <w:rFonts w:ascii="Times New Roman" w:hAnsi="Times New Roman"/>
          <w:sz w:val="24"/>
          <w:szCs w:val="24"/>
        </w:rPr>
        <w:t xml:space="preserve">Congreso de la República de Colombia. (2022). </w:t>
      </w:r>
      <w:r>
        <w:rPr>
          <w:rFonts w:ascii="Times New Roman" w:hAnsi="Times New Roman"/>
          <w:sz w:val="24"/>
          <w:szCs w:val="24"/>
          <w:i/>
        </w:rPr>
        <w:t xml:space="preserve">Ley 2213 de 2022, por medio de la cual se establece la vigencia permanente del Decreto Legislativo 806 de 2020</w:t>
      </w:r>
      <w:r>
        <w:rPr>
          <w:rFonts w:ascii="Times New Roman" w:hAnsi="Times New Roman"/>
          <w:sz w:val="24"/>
          <w:szCs w:val="24"/>
        </w:rPr>
        <w:t xml:space="preserve">. Diario Oficial No. 52.043.</w:t>
      </w:r>
    </w:p>
    <w:p>
      <w:pPr>
        <w:spacing w:line="360" w:lineRule="auto" w:after="120"/>
        <w:jc w:val="both"/>
        <w:ind w:left="708" w:hanging="708"/>
      </w:pPr>
      <w:r>
        <w:rPr>
          <w:rFonts w:ascii="Times New Roman" w:hAnsi="Times New Roman"/>
          <w:sz w:val="24"/>
          <w:szCs w:val="24"/>
        </w:rPr>
        <w:t xml:space="preserve">Consejo de Estado de Colombia, Sección Tercera. (2026). </w:t>
      </w:r>
      <w:r>
        <w:rPr>
          <w:rFonts w:ascii="Times New Roman" w:hAnsi="Times New Roman"/>
          <w:sz w:val="24"/>
          <w:szCs w:val="24"/>
          <w:i/>
        </w:rPr>
        <w:t xml:space="preserve">Sentencia del 26 de mayo de 2026</w:t>
      </w:r>
      <w:r>
        <w:rPr>
          <w:rFonts w:ascii="Times New Roman" w:hAnsi="Times New Roman"/>
          <w:sz w:val="24"/>
          <w:szCs w:val="24"/>
        </w:rPr>
        <w:t xml:space="preserve">.</w:t>
      </w:r>
    </w:p>
    <w:p>
      <w:pPr>
        <w:spacing w:line="360" w:lineRule="auto" w:after="120"/>
        <w:jc w:val="both"/>
        <w:ind w:left="708" w:hanging="708"/>
      </w:pPr>
      <w:r>
        <w:rPr>
          <w:rFonts w:ascii="Times New Roman" w:hAnsi="Times New Roman"/>
          <w:sz w:val="24"/>
          <w:szCs w:val="24"/>
        </w:rPr>
        <w:t xml:space="preserve">Consejo de Europa. (2024). </w:t>
      </w:r>
      <w:r>
        <w:rPr>
          <w:rFonts w:ascii="Times New Roman" w:hAnsi="Times New Roman"/>
          <w:sz w:val="24"/>
          <w:szCs w:val="24"/>
          <w:i/>
        </w:rPr>
        <w:t xml:space="preserve">Convenio Marco sobre Inteligencia Artificial y los Derechos Humanos, la Democracia y el Estado de Derecho</w:t>
      </w:r>
      <w:r>
        <w:rPr>
          <w:rFonts w:ascii="Times New Roman" w:hAnsi="Times New Roman"/>
          <w:sz w:val="24"/>
          <w:szCs w:val="24"/>
        </w:rPr>
        <w:t xml:space="preserve"> (CETS No. 225). https://www.coe.int/en/web/artificial-intelligence/the-framework-convention-on-artificial-intelligence</w:t>
      </w:r>
    </w:p>
    <w:p>
      <w:pPr>
        <w:spacing w:line="360" w:lineRule="auto" w:after="120"/>
        <w:jc w:val="both"/>
        <w:ind w:left="708" w:hanging="708"/>
      </w:pPr>
      <w:r>
        <w:rPr>
          <w:rFonts w:ascii="Times New Roman" w:hAnsi="Times New Roman"/>
          <w:sz w:val="24"/>
          <w:szCs w:val="24"/>
        </w:rPr>
        <w:t xml:space="preserve">Consejo Nacional de Política Económica y Social. (2019). </w:t>
      </w:r>
      <w:r>
        <w:rPr>
          <w:rFonts w:ascii="Times New Roman" w:hAnsi="Times New Roman"/>
          <w:sz w:val="24"/>
          <w:szCs w:val="24"/>
          <w:i/>
        </w:rPr>
        <w:t xml:space="preserve">Documento CONPES 3975. Política Nacional para la Transformación Digital e Inteligencia Artificial</w:t>
      </w:r>
      <w:r>
        <w:rPr>
          <w:rFonts w:ascii="Times New Roman" w:hAnsi="Times New Roman"/>
          <w:sz w:val="24"/>
          <w:szCs w:val="24"/>
        </w:rPr>
        <w:t xml:space="preserve">. Departamento Nacional de Planeación.</w:t>
      </w:r>
    </w:p>
    <w:p>
      <w:pPr>
        <w:spacing w:line="360" w:lineRule="auto" w:after="120"/>
        <w:jc w:val="both"/>
        <w:ind w:left="708" w:hanging="708"/>
      </w:pPr>
      <w:r>
        <w:rPr>
          <w:rFonts w:ascii="Times New Roman" w:hAnsi="Times New Roman"/>
          <w:sz w:val="24"/>
          <w:szCs w:val="24"/>
        </w:rPr>
        <w:t xml:space="preserve">Consejo Nacional de Política Económica y Social. (2025). </w:t>
      </w:r>
      <w:r>
        <w:rPr>
          <w:rFonts w:ascii="Times New Roman" w:hAnsi="Times New Roman"/>
          <w:sz w:val="24"/>
          <w:szCs w:val="24"/>
          <w:i/>
        </w:rPr>
        <w:t xml:space="preserve">Documento CONPES 4144. Política Nacional de Inteligencia Artificial</w:t>
      </w:r>
      <w:r>
        <w:rPr>
          <w:rFonts w:ascii="Times New Roman" w:hAnsi="Times New Roman"/>
          <w:sz w:val="24"/>
          <w:szCs w:val="24"/>
        </w:rPr>
        <w:t xml:space="preserve">. Departamento Nacional de Planeación.</w:t>
      </w:r>
    </w:p>
    <w:p>
      <w:pPr>
        <w:spacing w:line="360" w:lineRule="auto" w:after="120"/>
        <w:jc w:val="both"/>
        <w:ind w:left="708" w:hanging="708"/>
      </w:pPr>
      <w:r>
        <w:rPr>
          <w:rFonts w:ascii="Times New Roman" w:hAnsi="Times New Roman"/>
          <w:sz w:val="24"/>
          <w:szCs w:val="24"/>
        </w:rPr>
        <w:t xml:space="preserve">Corte Constitucional de Colombia. (2002). </w:t>
      </w:r>
      <w:r>
        <w:rPr>
          <w:rFonts w:ascii="Times New Roman" w:hAnsi="Times New Roman"/>
          <w:sz w:val="24"/>
          <w:szCs w:val="24"/>
          <w:i/>
        </w:rPr>
        <w:t xml:space="preserve">Sentencia T-729 de 2002</w:t>
      </w:r>
      <w:r>
        <w:rPr>
          <w:rFonts w:ascii="Times New Roman" w:hAnsi="Times New Roman"/>
          <w:sz w:val="24"/>
          <w:szCs w:val="24"/>
        </w:rPr>
        <w:t xml:space="preserve"> [M. P. Eduardo Montealegre Lynett].</w:t>
      </w:r>
    </w:p>
    <w:p>
      <w:pPr>
        <w:spacing w:line="360" w:lineRule="auto" w:after="120"/>
        <w:jc w:val="both"/>
        <w:ind w:left="708" w:hanging="708"/>
      </w:pPr>
      <w:r>
        <w:rPr>
          <w:rFonts w:ascii="Times New Roman" w:hAnsi="Times New Roman"/>
          <w:sz w:val="24"/>
          <w:szCs w:val="24"/>
        </w:rPr>
        <w:t xml:space="preserve">Corte Constitucional de Colombia. (2011). </w:t>
      </w:r>
      <w:r>
        <w:rPr>
          <w:rFonts w:ascii="Times New Roman" w:hAnsi="Times New Roman"/>
          <w:sz w:val="24"/>
          <w:szCs w:val="24"/>
          <w:i/>
        </w:rPr>
        <w:t xml:space="preserve">Sentencia C-748 de 2011</w:t>
      </w:r>
      <w:r>
        <w:rPr>
          <w:rFonts w:ascii="Times New Roman" w:hAnsi="Times New Roman"/>
          <w:sz w:val="24"/>
          <w:szCs w:val="24"/>
        </w:rPr>
        <w:t xml:space="preserve"> [M. P. Jorge Ignacio Pretelt Chaljub] (revisión de constitucionalidad de la Ley Estatutaria 1581 de 2012).</w:t>
      </w:r>
    </w:p>
    <w:p>
      <w:pPr>
        <w:spacing w:line="360" w:lineRule="auto" w:after="120"/>
        <w:jc w:val="both"/>
        <w:ind w:left="708" w:hanging="708"/>
      </w:pPr>
      <w:r>
        <w:rPr>
          <w:rFonts w:ascii="Times New Roman" w:hAnsi="Times New Roman"/>
          <w:sz w:val="24"/>
          <w:szCs w:val="24"/>
        </w:rPr>
        <w:t xml:space="preserve">Corte Constitucional de Colombia. (2024). </w:t>
      </w:r>
      <w:r>
        <w:rPr>
          <w:rFonts w:ascii="Times New Roman" w:hAnsi="Times New Roman"/>
          <w:sz w:val="24"/>
          <w:szCs w:val="24"/>
          <w:i/>
        </w:rPr>
        <w:t xml:space="preserve">Sentencia T-323 de 2024</w:t>
      </w:r>
      <w:r>
        <w:rPr>
          <w:rFonts w:ascii="Times New Roman" w:hAnsi="Times New Roman"/>
          <w:sz w:val="24"/>
          <w:szCs w:val="24"/>
        </w:rPr>
        <w:t xml:space="preserve"> [M. P. José Fernando Reyes Cuartas]. https://www.corteconstitucional.gov.co/relatoria/</w:t>
      </w:r>
    </w:p>
    <w:p>
      <w:pPr>
        <w:spacing w:line="360" w:lineRule="auto" w:after="120"/>
        <w:jc w:val="both"/>
        <w:ind w:left="708" w:hanging="708"/>
      </w:pPr>
      <w:r>
        <w:rPr>
          <w:rFonts w:ascii="Times New Roman" w:hAnsi="Times New Roman"/>
          <w:sz w:val="24"/>
          <w:szCs w:val="24"/>
        </w:rPr>
        <w:t xml:space="preserve">Corte Constitucional de Colombia. (2025). </w:t>
      </w:r>
      <w:r>
        <w:rPr>
          <w:rFonts w:ascii="Times New Roman" w:hAnsi="Times New Roman"/>
          <w:sz w:val="24"/>
          <w:szCs w:val="24"/>
          <w:i/>
        </w:rPr>
        <w:t xml:space="preserve">Sentencia T-067 de 2025</w:t>
      </w:r>
      <w:r>
        <w:rPr>
          <w:rFonts w:ascii="Times New Roman" w:hAnsi="Times New Roman"/>
          <w:sz w:val="24"/>
          <w:szCs w:val="24"/>
        </w:rPr>
        <w:t xml:space="preserve">. https://www.corteconstitucional.gov.co/relatoria/</w:t>
      </w:r>
    </w:p>
    <w:p>
      <w:pPr>
        <w:spacing w:line="360" w:lineRule="auto" w:after="120"/>
        <w:jc w:val="both"/>
        <w:ind w:left="708" w:hanging="708"/>
      </w:pPr>
      <w:r>
        <w:rPr>
          <w:rFonts w:ascii="Times New Roman" w:hAnsi="Times New Roman"/>
          <w:sz w:val="24"/>
          <w:szCs w:val="24"/>
        </w:rPr>
        <w:t xml:space="preserve">Corte Constitucional de Colombia. (2026). </w:t>
      </w:r>
      <w:r>
        <w:rPr>
          <w:rFonts w:ascii="Times New Roman" w:hAnsi="Times New Roman"/>
          <w:sz w:val="24"/>
          <w:szCs w:val="24"/>
          <w:i/>
        </w:rPr>
        <w:t xml:space="preserve">Sentencia T-008 de 2026</w:t>
      </w:r>
      <w:r>
        <w:rPr>
          <w:rFonts w:ascii="Times New Roman" w:hAnsi="Times New Roman"/>
          <w:sz w:val="24"/>
          <w:szCs w:val="24"/>
        </w:rPr>
        <w:t xml:space="preserve">.</w:t>
      </w:r>
    </w:p>
    <w:p>
      <w:pPr>
        <w:spacing w:line="360" w:lineRule="auto" w:after="120"/>
        <w:jc w:val="both"/>
        <w:ind w:left="708" w:hanging="708"/>
      </w:pPr>
      <w:r>
        <w:rPr>
          <w:rFonts w:ascii="Times New Roman" w:hAnsi="Times New Roman"/>
          <w:sz w:val="24"/>
          <w:szCs w:val="24"/>
          <w:i/>
        </w:rPr>
        <w:t xml:space="preserve">Ewert v. Canada</w:t>
      </w:r>
      <w:r>
        <w:rPr>
          <w:rFonts w:ascii="Times New Roman" w:hAnsi="Times New Roman"/>
          <w:sz w:val="24"/>
          <w:szCs w:val="24"/>
        </w:rPr>
        <w:t xml:space="preserve">, 2018 SCC 30 (Supreme Court of Canada).</w:t>
      </w:r>
    </w:p>
    <w:p>
      <w:pPr>
        <w:spacing w:line="360" w:lineRule="auto" w:after="120"/>
        <w:jc w:val="both"/>
        <w:ind w:left="708" w:hanging="708"/>
      </w:pPr>
      <w:r>
        <w:rPr>
          <w:rFonts w:ascii="Times New Roman" w:hAnsi="Times New Roman"/>
          <w:sz w:val="24"/>
          <w:szCs w:val="24"/>
        </w:rPr>
        <w:t xml:space="preserve">Organización para la Cooperación y el Desarrollo Económicos (OCDE). (2019, actualizada en 2024). </w:t>
      </w:r>
      <w:r>
        <w:rPr>
          <w:rFonts w:ascii="Times New Roman" w:hAnsi="Times New Roman"/>
          <w:sz w:val="24"/>
          <w:szCs w:val="24"/>
          <w:i/>
        </w:rPr>
        <w:t xml:space="preserve">Recommendation of the Council on Artificial Intelligence</w:t>
      </w:r>
      <w:r>
        <w:rPr>
          <w:rFonts w:ascii="Times New Roman" w:hAnsi="Times New Roman"/>
          <w:sz w:val="24"/>
          <w:szCs w:val="24"/>
        </w:rPr>
        <w:t xml:space="preserve"> (OECD/LEGAL/0449). https://oecd.ai/</w:t>
      </w:r>
    </w:p>
    <w:p>
      <w:pPr>
        <w:spacing w:line="360" w:lineRule="auto" w:after="120"/>
        <w:jc w:val="both"/>
        <w:ind w:left="708" w:hanging="708"/>
      </w:pPr>
      <w:r>
        <w:rPr>
          <w:rFonts w:ascii="Times New Roman" w:hAnsi="Times New Roman"/>
          <w:sz w:val="24"/>
          <w:szCs w:val="24"/>
        </w:rPr>
        <w:t xml:space="preserve">Tribunal Superior de Bogotá, Sala Penal. (2025). </w:t>
      </w:r>
      <w:r>
        <w:rPr>
          <w:rFonts w:ascii="Times New Roman" w:hAnsi="Times New Roman"/>
          <w:sz w:val="24"/>
          <w:szCs w:val="24"/>
          <w:i/>
        </w:rPr>
        <w:t xml:space="preserve">Sentencia 1714 del 2 de diciembre de 2025</w:t>
      </w:r>
      <w:r>
        <w:rPr>
          <w:rFonts w:ascii="Times New Roman" w:hAnsi="Times New Roman"/>
          <w:sz w:val="24"/>
          <w:szCs w:val="24"/>
        </w:rPr>
        <w:t xml:space="preserve">.</w:t>
      </w:r>
    </w:p>
    <w:p>
      <w:pPr>
        <w:spacing w:line="360" w:lineRule="auto" w:after="120"/>
        <w:jc w:val="both"/>
        <w:ind w:left="708" w:hanging="708"/>
      </w:pPr>
      <w:r>
        <w:rPr>
          <w:rFonts w:ascii="Times New Roman" w:hAnsi="Times New Roman"/>
          <w:sz w:val="24"/>
          <w:szCs w:val="24"/>
        </w:rPr>
        <w:t xml:space="preserve">Tribunal Superior de Cali. (2026). </w:t>
      </w:r>
      <w:r>
        <w:rPr>
          <w:rFonts w:ascii="Times New Roman" w:hAnsi="Times New Roman"/>
          <w:sz w:val="24"/>
          <w:szCs w:val="24"/>
          <w:i/>
        </w:rPr>
        <w:t xml:space="preserve">Decisión del 13 de marzo de 2026</w:t>
      </w:r>
      <w:r>
        <w:rPr>
          <w:rFonts w:ascii="Times New Roman" w:hAnsi="Times New Roman"/>
          <w:sz w:val="24"/>
          <w:szCs w:val="24"/>
        </w:rPr>
        <w:t xml:space="preserve">.</w:t>
      </w:r>
    </w:p>
    <w:p>
      <w:pPr>
        <w:spacing w:line="360" w:lineRule="auto" w:after="120"/>
        <w:jc w:val="both"/>
        <w:ind w:left="708" w:hanging="708"/>
      </w:pPr>
      <w:r>
        <w:rPr>
          <w:rFonts w:ascii="Times New Roman" w:hAnsi="Times New Roman"/>
          <w:sz w:val="24"/>
          <w:szCs w:val="24"/>
        </w:rPr>
        <w:t xml:space="preserve">UNESCO. (2021). </w:t>
      </w:r>
      <w:r>
        <w:rPr>
          <w:rFonts w:ascii="Times New Roman" w:hAnsi="Times New Roman"/>
          <w:sz w:val="24"/>
          <w:szCs w:val="24"/>
          <w:i/>
        </w:rPr>
        <w:t xml:space="preserve">Recomendación sobre la ética de la inteligencia artificial</w:t>
      </w:r>
      <w:r>
        <w:rPr>
          <w:rFonts w:ascii="Times New Roman" w:hAnsi="Times New Roman"/>
          <w:sz w:val="24"/>
          <w:szCs w:val="24"/>
        </w:rPr>
        <w:t xml:space="preserve">. https://unesdoc.unesco.org/ark:/48223/pf0000381137_spa</w:t>
      </w:r>
    </w:p>
    <w:p>
      <w:pPr>
        <w:spacing w:line="360" w:lineRule="auto" w:after="120"/>
        <w:jc w:val="both"/>
        <w:ind w:left="708" w:hanging="708"/>
      </w:pPr>
      <w:r>
        <w:rPr>
          <w:rFonts w:ascii="Times New Roman" w:hAnsi="Times New Roman"/>
          <w:sz w:val="24"/>
          <w:szCs w:val="24"/>
        </w:rPr>
        <w:t xml:space="preserve">UNESCO. (2023). </w:t>
      </w:r>
      <w:r>
        <w:rPr>
          <w:rFonts w:ascii="Times New Roman" w:hAnsi="Times New Roman"/>
          <w:sz w:val="24"/>
          <w:szCs w:val="24"/>
          <w:i/>
        </w:rPr>
        <w:t xml:space="preserve">Guidance for generative AI in education and research</w:t>
      </w:r>
      <w:r>
        <w:rPr>
          <w:rFonts w:ascii="Times New Roman" w:hAnsi="Times New Roman"/>
          <w:sz w:val="24"/>
          <w:szCs w:val="24"/>
        </w:rPr>
        <w:t xml:space="preserve">. https://unesdoc.unesco.org/ark:/48223/pf0000386693</w:t>
      </w:r>
    </w:p>
    <w:p>
      <w:pPr>
        <w:spacing w:line="360" w:lineRule="auto" w:after="120"/>
        <w:jc w:val="both"/>
        <w:ind w:left="708" w:hanging="708"/>
      </w:pPr>
      <w:r>
        <w:rPr>
          <w:rFonts w:ascii="Times New Roman" w:hAnsi="Times New Roman"/>
          <w:sz w:val="24"/>
          <w:szCs w:val="24"/>
        </w:rPr>
        <w:t xml:space="preserve">UNESCO. (2024). </w:t>
      </w:r>
      <w:r>
        <w:rPr>
          <w:rFonts w:ascii="Times New Roman" w:hAnsi="Times New Roman"/>
          <w:sz w:val="24"/>
          <w:szCs w:val="24"/>
          <w:i/>
        </w:rPr>
        <w:t xml:space="preserve">AI competency framework for students</w:t>
      </w:r>
      <w:r>
        <w:rPr>
          <w:rFonts w:ascii="Times New Roman" w:hAnsi="Times New Roman"/>
          <w:sz w:val="24"/>
          <w:szCs w:val="24"/>
        </w:rPr>
        <w:t xml:space="preserve">. https://unesdoc.unesco.org/ark:/48223/pf0000391105</w:t>
      </w:r>
    </w:p>
    <w:p>
      <w:pPr>
        <w:spacing w:line="360" w:lineRule="auto" w:after="120"/>
        <w:jc w:val="both"/>
        <w:ind w:left="708" w:hanging="708"/>
      </w:pPr>
      <w:r>
        <w:rPr>
          <w:rFonts w:ascii="Times New Roman" w:hAnsi="Times New Roman"/>
          <w:sz w:val="24"/>
          <w:szCs w:val="24"/>
        </w:rPr>
        <w:t xml:space="preserve">Unión Europea. (2016). </w:t>
      </w:r>
      <w:r>
        <w:rPr>
          <w:rFonts w:ascii="Times New Roman" w:hAnsi="Times New Roman"/>
          <w:sz w:val="24"/>
          <w:szCs w:val="24"/>
          <w:i/>
        </w:rPr>
        <w:t xml:space="preserve">Reglamento (UE) 2016/679, General de Protección de Datos (GDPR)</w:t>
      </w:r>
      <w:r>
        <w:rPr>
          <w:rFonts w:ascii="Times New Roman" w:hAnsi="Times New Roman"/>
          <w:sz w:val="24"/>
          <w:szCs w:val="24"/>
        </w:rPr>
        <w:t xml:space="preserve">. Diario Oficial de la Unión Europea, L 119.</w:t>
      </w:r>
    </w:p>
    <w:p>
      <w:pPr>
        <w:spacing w:line="360" w:lineRule="auto" w:after="120"/>
        <w:jc w:val="both"/>
        <w:ind w:left="708" w:hanging="708"/>
      </w:pPr>
      <w:r>
        <w:rPr>
          <w:rFonts w:ascii="Times New Roman" w:hAnsi="Times New Roman"/>
          <w:sz w:val="24"/>
          <w:szCs w:val="24"/>
        </w:rPr>
        <w:t xml:space="preserve">Unión Europea. (2024). </w:t>
      </w:r>
      <w:r>
        <w:rPr>
          <w:rFonts w:ascii="Times New Roman" w:hAnsi="Times New Roman"/>
          <w:sz w:val="24"/>
          <w:szCs w:val="24"/>
          <w:i/>
        </w:rPr>
        <w:t xml:space="preserve">Reglamento (UE) 2024/1689, por el que se establecen normas armonizadas en materia de inteligencia artificial (Reglamento de Inteligencia Artificial)</w:t>
      </w:r>
      <w:r>
        <w:rPr>
          <w:rFonts w:ascii="Times New Roman" w:hAnsi="Times New Roman"/>
          <w:sz w:val="24"/>
          <w:szCs w:val="24"/>
        </w:rPr>
        <w:t xml:space="preserve">. Diario Oficial de la Unión Europea, L, 12 de julio de 2024.</w:t>
      </w:r>
    </w:p>
    <w:p>
      <w:pPr>
        <w:spacing w:line="360" w:lineRule="auto" w:before="0" w:after="120"/>
        <w:jc w:val="both"/>
      </w:pPr>
      <w:r>
        <w:rPr>
          <w:rFonts w:ascii="Times New Roman" w:hAnsi="Times New Roman"/>
          <w:sz w:val="24"/>
          <w:szCs w:val="24"/>
          <w:i/>
        </w:rPr>
        <w:t xml:space="preserve">Nota sobre las fuentes:</w:t>
      </w:r>
      <w:r>
        <w:rPr>
          <w:rFonts w:ascii="Times New Roman" w:hAnsi="Times New Roman"/>
          <w:sz w:val="24"/>
          <w:szCs w:val="24"/>
        </w:rPr>
        <w:t xml:space="preserve"> Esta ponencia integra fuentes normativas, jurisprudenciales y de política pública nacionales e internacionales. La descripción de los criterios jurisprudenciales sobre el uso de inteligencia artificial en la actividad judicial se elaboró a partir de las providencias citadas y de fuentes secundarias verificables. Los contenidos provenientes de fuentes externas fueron reformulados y sintetizados para efectos de esta ponencia. Se recomienda al lector consultar el texto íntegro de las decisiones citadas —en particular las más recientes— en las respectivas relatorías oficiales para verificar las reglas y subreglas allí establecidas.</w:t>
      </w:r>
    </w:p>
    <w:sectPr>
      <w:footerReference w:type="default" r:id="rIdFooter"/>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w:docDefaults>
    <w:rPrDefault>
      <w:rPr>
        <w:rFonts w:ascii="Times New Roman" w:hAnsi="Times New Roman"/>
        <w:sz w:val="24"/>
        <w:szCs w:val="24"/>
        <w:lang w:val="es-CO"/>
      </w:rPr>
    </w:rPrDefault>
  </w:docDefaults>
  <w:style w:type="paragraph" w:default="1" w:styleId="Normal">
    <w:name w:val="Normal"/>
    <w:pPr>
      <w:spacing w:line="360" w:lineRule="auto"/>
    </w:pPr>
    <w:rPr>
      <w:rFonts w:ascii="Times New Roman" w:hAnsi="Times New Roman"/>
      <w:sz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oter" Type="http://schemas.openxmlformats.org/officeDocument/2006/relationships/footer" Target="footer1.xml"/>
</Relationships>
</file>

<file path=docProps/core.xml><?xml version="1.0" encoding="utf-8"?>
<cp:coreProperties xmlns:cp="http://schemas.openxmlformats.org/package/2006/metadata/core-properties" xmlns:dc="http://purl.org/dc/elements/1.1/">
  <dc:title>Estándar ético del debido proceso algorítmico en la jurisdicción constitucional</dc:title>
  <dc:creator>Ponencia</dc:creator>
  <dc:language>es-CO</dc:language>
</cp:coreProperties>
</file>