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240" w:after="160" w:line="240" w:lineRule="auto"/>
        <w:jc w:val="center"/>
        <w:keepNext/>
      </w:pPr>
      <w:r>
        <w:rPr>
          <w:b/>
          <w:sz w:val="32"/>
          <w:szCs w:val="32"/>
        </w:rPr>
        <w:t xml:space="preserve">UNIVERSIDAD COLEGIO MAYOR DE CUNDINAMARCA</w:t>
      </w:r>
    </w:p>
    <w:p>
      <w:pPr>
        <w:spacing w:before="200" w:after="120" w:line="240" w:lineRule="auto"/>
        <w:jc w:val="left"/>
        <w:keepNext/>
      </w:pPr>
      <w:r>
        <w:rPr>
          <w:b/>
          <w:sz w:val="28"/>
          <w:szCs w:val="28"/>
        </w:rPr>
        <w:t xml:space="preserve">FACULTAD DE DERECHO</w:t>
      </w:r>
    </w:p>
    <w:p>
      <w:pPr>
        <w:spacing w:before="0" w:after="120" w:line="240" w:lineRule="auto"/>
        <w:pBdr>
          <w:bottom w:val="single" w:sz="6" w:space="1" w:color="999999"/>
        </w:pBdr>
      </w:pPr>
    </w:p>
    <w:p>
      <w:pPr>
        <w:spacing w:before="240" w:after="160" w:line="240" w:lineRule="auto"/>
        <w:jc w:val="center"/>
        <w:keepNext/>
      </w:pPr>
      <w:r>
        <w:rPr>
          <w:b/>
          <w:sz w:val="32"/>
          <w:szCs w:val="32"/>
        </w:rPr>
        <w:t xml:space="preserve">LA INTELIGENCIA ARTIFICIAL EN LA ADMINISTRACIÓN DE JUSTICIA CON ENFOQUE GARANTISTA DE LOS PRINCIPIOS DEL DERECHO PENAL</w:t>
      </w:r>
    </w:p>
    <w:p>
      <w:pPr>
        <w:spacing w:before="160" w:after="100" w:line="240" w:lineRule="auto"/>
        <w:jc w:val="left"/>
        <w:keepNext/>
      </w:pPr>
      <w:r>
        <w:rPr>
          <w:b/>
          <w:sz w:val="26"/>
          <w:szCs w:val="26"/>
        </w:rPr>
        <w:t xml:space="preserve">Hacia un modelo de justicia aumentada: parámetros constitucionales y protocolo de transparencia algorítmica para el proceso penal colombiano</w:t>
      </w:r>
    </w:p>
    <w:p>
      <w:pPr>
        <w:spacing w:before="0" w:after="120" w:line="480" w:lineRule="auto"/>
        <w:jc w:val="center"/>
      </w:pPr>
      <w:r>
        <w:t xml:space="preserve">&lt;br&gt;</w:t>
      </w:r>
    </w:p>
    <w:p>
      <w:pPr>
        <w:spacing w:before="0" w:after="120" w:line="480" w:lineRule="auto"/>
        <w:jc w:val="center"/>
      </w:pPr>
      <w:r>
        <w:rPr>
          <w:b/>
        </w:rPr>
        <w:t xml:space="preserve">Trabajo de grado presentado como requisito para optar al título de Abogado(a)</w:t>
      </w:r>
    </w:p>
    <w:p>
      <w:pPr>
        <w:spacing w:before="0" w:after="120" w:line="480" w:lineRule="auto"/>
        <w:jc w:val="center"/>
      </w:pPr>
      <w:r>
        <w:t xml:space="preserve">&lt;br&gt;</w:t>
      </w:r>
    </w:p>
    <w:p>
      <w:pPr>
        <w:spacing w:before="0" w:after="120" w:line="480" w:lineRule="auto"/>
        <w:jc w:val="center"/>
      </w:pPr>
      <w:r>
        <w:rPr>
          <w:b/>
        </w:rPr>
        <w:t xml:space="preserve">Autores:</w:t>
      </w:r>
    </w:p>
    <w:p>
      <w:pPr>
        <w:spacing w:before="0" w:after="120" w:line="480" w:lineRule="auto"/>
        <w:jc w:val="center"/>
      </w:pPr>
      <w:r>
        <w:t xml:space="preserve">María Fernanda Aldana Rojas</w:t>
      </w:r>
    </w:p>
    <w:p>
      <w:pPr>
        <w:spacing w:before="0" w:after="120" w:line="480" w:lineRule="auto"/>
        <w:jc w:val="center"/>
      </w:pPr>
      <w:r>
        <w:t xml:space="preserve">Jesús Esneider Prieto Soto</w:t>
      </w:r>
    </w:p>
    <w:p>
      <w:pPr>
        <w:spacing w:before="0" w:after="120" w:line="480" w:lineRule="auto"/>
        <w:jc w:val="center"/>
      </w:pPr>
      <w:r>
        <w:t xml:space="preserve">&lt;br&gt;</w:t>
      </w:r>
    </w:p>
    <w:p>
      <w:pPr>
        <w:spacing w:before="0" w:after="120" w:line="480" w:lineRule="auto"/>
        <w:jc w:val="center"/>
      </w:pPr>
      <w:r>
        <w:rPr>
          <w:b/>
        </w:rPr>
        <w:t xml:space="preserve">Director de trabajo de grado:</w:t>
      </w:r>
    </w:p>
    <w:p>
      <w:pPr>
        <w:spacing w:before="0" w:after="120" w:line="480" w:lineRule="auto"/>
        <w:jc w:val="center"/>
      </w:pPr>
      <w:r>
        <w:t xml:space="preserve">Dr. Daniel Ríos Sarmiento</w:t>
      </w:r>
    </w:p>
    <w:p>
      <w:pPr>
        <w:spacing w:before="0" w:after="120" w:line="480" w:lineRule="auto"/>
        <w:jc w:val="center"/>
      </w:pPr>
      <w:r>
        <w:t xml:space="preserve">&lt;br&gt;</w:t>
      </w:r>
    </w:p>
    <w:p>
      <w:pPr>
        <w:spacing w:before="0" w:after="120" w:line="480" w:lineRule="auto"/>
        <w:jc w:val="center"/>
      </w:pPr>
      <w:r>
        <w:t xml:space="preserve">Universidad Colegio Mayor de Cundinamarca</w:t>
      </w:r>
    </w:p>
    <w:p>
      <w:pPr>
        <w:spacing w:before="0" w:after="120" w:line="480" w:lineRule="auto"/>
        <w:jc w:val="center"/>
      </w:pPr>
      <w:r>
        <w:t xml:space="preserve">Facultad de Derecho</w:t>
      </w:r>
    </w:p>
    <w:p>
      <w:pPr>
        <w:spacing w:before="0" w:after="120" w:line="480" w:lineRule="auto"/>
        <w:jc w:val="center"/>
      </w:pPr>
      <w:r>
        <w:t xml:space="preserve">Bogotá, D. C.</w:t>
      </w:r>
    </w:p>
    <w:p>
      <w:pPr>
        <w:spacing w:before="0" w:after="120" w:line="480" w:lineRule="auto"/>
        <w:jc w:val="center"/>
      </w:pPr>
      <w:r>
        <w:t xml:space="preserve">2026</w:t>
      </w:r>
    </w:p>
    <w:p>
      <w:pPr>
        <w:spacing w:before="0" w:after="120" w:line="240" w:lineRule="auto"/>
        <w:pBdr>
          <w:bottom w:val="single" w:sz="6" w:space="1" w:color="999999"/>
        </w:pBdr>
      </w:pPr>
    </w:p>
    <w:p>
      <w:r>
        <w:br w:type="page"/>
      </w:r>
    </w:p>
    <w:p>
      <w:pPr>
        <w:spacing w:before="200" w:after="120" w:line="240" w:lineRule="auto"/>
        <w:jc w:val="left"/>
        <w:keepNext/>
      </w:pPr>
      <w:r>
        <w:rPr>
          <w:b/>
          <w:sz w:val="28"/>
          <w:szCs w:val="28"/>
        </w:rPr>
        <w:t xml:space="preserve">DEDICATORIA</w:t>
      </w:r>
    </w:p>
    <w:p>
      <w:pPr>
        <w:spacing w:before="0" w:after="120" w:line="480" w:lineRule="auto"/>
        <w:jc w:val="both"/>
      </w:pPr>
      <w:r>
        <w:t xml:space="preserve">A quienes creen que la tecnología solo es legítima cuando se pone al servicio de la dignidad humana y no al revés.</w:t>
      </w:r>
    </w:p>
    <w:p>
      <w:pPr>
        <w:spacing w:before="0" w:after="120" w:line="480" w:lineRule="auto"/>
        <w:jc w:val="both"/>
      </w:pPr>
      <w:r>
        <w:t xml:space="preserve">A nuestras familias, soporte silencioso de cada jornada de estudio, y a los jueces, fiscales y defensores de Colombia que, en medio de la congestión y la incertidumbre, siguen entendiendo que detrás de cada expediente penal hay una libertad, un nombre y una vida.</w:t>
      </w:r>
    </w:p>
    <w:p>
      <w:r>
        <w:br w:type="page"/>
      </w:r>
    </w:p>
    <w:p>
      <w:pPr>
        <w:spacing w:before="200" w:after="120" w:line="240" w:lineRule="auto"/>
        <w:jc w:val="left"/>
        <w:keepNext/>
      </w:pPr>
      <w:r>
        <w:rPr>
          <w:b/>
          <w:sz w:val="28"/>
          <w:szCs w:val="28"/>
        </w:rPr>
        <w:t xml:space="preserve">AGRADECIMIENTOS</w:t>
      </w:r>
    </w:p>
    <w:p>
      <w:pPr>
        <w:spacing w:before="0" w:after="120" w:line="480" w:lineRule="auto"/>
        <w:jc w:val="both"/>
      </w:pPr>
      <w:r>
        <w:t xml:space="preserve">Expresamos nuestra gratitud a la Universidad Colegio Mayor de Cundinamarca y a su Facultad de Derecho, por la formación crítica y humanista que hizo posible esta investigación.</w:t>
      </w:r>
    </w:p>
    <w:p>
      <w:pPr>
        <w:spacing w:before="0" w:after="120" w:line="480" w:lineRule="auto"/>
        <w:jc w:val="both"/>
      </w:pPr>
      <w:r>
        <w:t xml:space="preserve">Al Dr. Daniel Ríos Sarmiento, director de este trabajo, por su rigor, su generosidad intelectual y su permanente exigencia de excelencia.</w:t>
      </w:r>
    </w:p>
    <w:p>
      <w:pPr>
        <w:spacing w:before="0" w:after="120" w:line="480" w:lineRule="auto"/>
        <w:jc w:val="both"/>
      </w:pPr>
      <w:r>
        <w:t xml:space="preserve">A los docentes de las áreas de Derecho Constitucional, Derecho Penal y Derecho Procesal Penal, cuyas enseñanzas constituyen el sustrato teórico de estas páginas, y a las personas operadoras jurídicas que, con sus reflexiones, enriquecieron el componente cualitativo de la investigación.</w:t>
      </w:r>
    </w:p>
    <w:p>
      <w:r>
        <w:br w:type="page"/>
      </w:r>
    </w:p>
    <w:p>
      <w:pPr>
        <w:spacing w:before="200" w:after="120" w:line="240" w:lineRule="auto"/>
        <w:jc w:val="left"/>
        <w:keepNext/>
      </w:pPr>
      <w:r>
        <w:rPr>
          <w:b/>
          <w:sz w:val="28"/>
          <w:szCs w:val="28"/>
        </w:rPr>
        <w:t xml:space="preserve">NOTA DE ACEPTACIÓN</w:t>
      </w:r>
    </w:p>
    <w:p>
      <w:pPr>
        <w:spacing w:before="0" w:after="120" w:line="480" w:lineRule="auto"/>
        <w:jc w:val="center"/>
      </w:pPr>
      <w:r>
        <w:t xml:space="preserve">_______________________________________</w:t>
      </w:r>
    </w:p>
    <w:p>
      <w:pPr>
        <w:spacing w:before="0" w:after="120" w:line="480" w:lineRule="auto"/>
        <w:jc w:val="center"/>
      </w:pPr>
      <w:r>
        <w:t xml:space="preserve">_______________________________________</w:t>
      </w:r>
    </w:p>
    <w:p>
      <w:pPr>
        <w:spacing w:before="0" w:after="120" w:line="480" w:lineRule="auto"/>
        <w:jc w:val="center"/>
      </w:pPr>
      <w:r>
        <w:t xml:space="preserve">_______________________________________</w:t>
      </w:r>
    </w:p>
    <w:p>
      <w:pPr>
        <w:spacing w:before="0" w:after="120" w:line="480" w:lineRule="auto"/>
        <w:jc w:val="center"/>
      </w:pPr>
      <w:r>
        <w:t xml:space="preserve">&lt;br&gt;&lt;br&gt;</w:t>
      </w:r>
    </w:p>
    <w:p>
      <w:pPr>
        <w:spacing w:before="0" w:after="120" w:line="480" w:lineRule="auto"/>
        <w:jc w:val="center"/>
      </w:pPr>
      <w:r>
        <w:t xml:space="preserve">_______________________________________</w:t>
      </w:r>
    </w:p>
    <w:p>
      <w:pPr>
        <w:spacing w:before="0" w:after="120" w:line="480" w:lineRule="auto"/>
        <w:jc w:val="center"/>
      </w:pPr>
      <w:r>
        <w:t xml:space="preserve">Firma del Director</w:t>
      </w:r>
    </w:p>
    <w:p>
      <w:pPr>
        <w:spacing w:before="0" w:after="120" w:line="480" w:lineRule="auto"/>
        <w:jc w:val="center"/>
      </w:pPr>
      <w:r>
        <w:t xml:space="preserve">&lt;br&gt;</w:t>
      </w:r>
    </w:p>
    <w:p>
      <w:pPr>
        <w:spacing w:before="0" w:after="120" w:line="480" w:lineRule="auto"/>
        <w:jc w:val="center"/>
      </w:pPr>
      <w:r>
        <w:t xml:space="preserve">_______________________________________</w:t>
      </w:r>
    </w:p>
    <w:p>
      <w:pPr>
        <w:spacing w:before="0" w:after="120" w:line="480" w:lineRule="auto"/>
        <w:jc w:val="center"/>
      </w:pPr>
      <w:r>
        <w:t xml:space="preserve">Firma del Jurado</w:t>
      </w:r>
    </w:p>
    <w:p>
      <w:pPr>
        <w:spacing w:before="0" w:after="120" w:line="480" w:lineRule="auto"/>
        <w:jc w:val="center"/>
      </w:pPr>
      <w:r>
        <w:t xml:space="preserve">&lt;br&gt;</w:t>
      </w:r>
    </w:p>
    <w:p>
      <w:pPr>
        <w:spacing w:before="0" w:after="120" w:line="480" w:lineRule="auto"/>
        <w:jc w:val="center"/>
      </w:pPr>
      <w:r>
        <w:t xml:space="preserve">_______________________________________</w:t>
      </w:r>
    </w:p>
    <w:p>
      <w:pPr>
        <w:spacing w:before="0" w:after="120" w:line="480" w:lineRule="auto"/>
        <w:jc w:val="center"/>
      </w:pPr>
      <w:r>
        <w:t xml:space="preserve">Firma del Jurado</w:t>
      </w:r>
    </w:p>
    <w:p>
      <w:pPr>
        <w:spacing w:before="0" w:after="120" w:line="480" w:lineRule="auto"/>
        <w:jc w:val="center"/>
      </w:pPr>
      <w:r>
        <w:t xml:space="preserve">&lt;br&gt;&lt;br&gt;</w:t>
      </w:r>
    </w:p>
    <w:p>
      <w:pPr>
        <w:spacing w:before="0" w:after="120" w:line="480" w:lineRule="auto"/>
        <w:jc w:val="center"/>
      </w:pPr>
      <w:r>
        <w:t xml:space="preserve">Bogotá, D. C., _____ de _______________ de 2026</w:t>
      </w:r>
    </w:p>
    <w:p>
      <w:r>
        <w:br w:type="page"/>
      </w:r>
    </w:p>
    <w:p>
      <w:pPr>
        <w:spacing w:before="200" w:after="120" w:line="240" w:lineRule="auto"/>
        <w:jc w:val="left"/>
        <w:keepNext/>
      </w:pPr>
      <w:r>
        <w:rPr>
          <w:b/>
          <w:sz w:val="28"/>
          <w:szCs w:val="28"/>
        </w:rPr>
        <w:t xml:space="preserve">RESUMEN</w:t>
      </w:r>
    </w:p>
    <w:p>
      <w:pPr>
        <w:spacing w:before="0" w:after="120" w:line="480" w:lineRule="auto"/>
        <w:jc w:val="both"/>
      </w:pPr>
      <w:r>
        <w:t xml:space="preserve">La incorporación de la inteligencia artificial (IA) en la administración de justicia constituye uno de los desafíos jurídicos más relevantes del constitucionalismo contemporáneo. Esta investigación examina, desde el garantismo penal de Luigi Ferrajoli, los parámetros constitucionales y convencionales que deben regir el uso de herramientas de IA por parte de los operadores del proceso penal colombiano, de modo que dicho uso fortalezca la administración de justicia sin erosionar los principios del debido proceso, la presunción de inocencia, la inmediación, la sana crítica, el juez natural y el deber de motivación. A partir de un enfoque cualitativo de naturaleza socio-jurídica, con diseño descriptivo-propositivo, el estudio sistematiza el marco normativo, jurisprudencial y doctrinal colombiano —con eje en la Sentencia T-323 de 2024 de la Corte Constitucional—, categoriza los riesgos de "alucinaciones" algorítmicas y de sesgos sistémicos en el proceso penal, y analiza comparativamente las respuestas de la Unión Europea, los Estados Unidos, Argentina y Brasil. Como contribución original, la investigación propone un modelo de "justicia aumentada" y un Protocolo de Transparencia Algorítmica y Garantías Penales (PTAG), que articula deberes de revelación, trazabilidad, contradicción algorítmica y verificación humana reforzada, junto con un test de compatibilidad constitucional escalonado por niveles de riesgo. Se concluye que la IA es constitucionalmente admisible en la justicia penal únicamente como herramienta de apoyo sujeta a control humano significativo, y que su uso actual, en ausencia de regulación integral y de protocolos verificables, genera riesgos ciertos de vulneración de derechos fundamentales del imputado o acusado.</w:t>
      </w:r>
    </w:p>
    <w:p>
      <w:pPr>
        <w:spacing w:before="0" w:after="120" w:line="480" w:lineRule="auto"/>
        <w:jc w:val="both"/>
      </w:pPr>
      <w:r>
        <w:rPr>
          <w:b/>
        </w:rPr>
        <w:t xml:space="preserve">Palabras clave:</w:t>
      </w:r>
      <w:r>
        <w:t xml:space="preserve"> inteligencia artificial; administración de justicia; garantismo penal; debido proceso; transparencia algorítmica; sesgos algorítmicos.</w:t>
      </w:r>
    </w:p>
    <w:p>
      <w:pPr>
        <w:spacing w:before="200" w:after="120" w:line="240" w:lineRule="auto"/>
        <w:jc w:val="left"/>
        <w:keepNext/>
      </w:pPr>
      <w:r>
        <w:rPr>
          <w:b/>
          <w:sz w:val="28"/>
          <w:szCs w:val="28"/>
        </w:rPr>
        <w:t xml:space="preserve">ABSTRACT</w:t>
      </w:r>
    </w:p>
    <w:p>
      <w:pPr>
        <w:spacing w:before="0" w:after="120" w:line="480" w:lineRule="auto"/>
        <w:jc w:val="both"/>
      </w:pPr>
      <w:r>
        <w:t xml:space="preserve">The integration of artificial intelligence (AI) into the administration of justice is one of the most significant legal challenges of contemporary constitutionalism. Drawing on Luigi Ferrajoli's penal guarantee theory (garantismo), this research examines the constitutional and conventional parameters that should govern the use of AI tools by actors in the Colombian criminal process, so that such use strengthens the administration of justice without eroding the principles of due process, the presumption of innocence, immediacy, sound judicial discretion (sana crítica), the natural judge, and the duty to provide reasoned decisions. Using a qualitative socio-legal approach with a descriptive-propositional design, the study systematizes the Colombian normative, case-law, and doctrinal framework—centered on Constitutional Court Judgment T-323 of 2024—categorizes the risks of algorithmic "hallucinations" and systemic bias in criminal proceedings, and comparatively analyzes the responses of the European Union, the United States, Argentina, and Brazil. As an original contribution, the research proposes an "augmented justice" model and an Algorithmic Transparency and Criminal Guarantees Protocol (PTAG), which combines duties of disclosure, traceability, algorithmic adversarial review, and reinforced human verification, together with a tiered constitutional compatibility test based on risk levels. It concludes that AI is constitutionally admissible in criminal justice only as a support tool subject to meaningful human control, and that its current use, absent comprehensive regulation and verifiable protocols, poses real risks to the fundamental rights of the accused.</w:t>
      </w:r>
    </w:p>
    <w:p>
      <w:pPr>
        <w:spacing w:before="0" w:after="120" w:line="480" w:lineRule="auto"/>
        <w:jc w:val="both"/>
      </w:pPr>
      <w:r>
        <w:rPr>
          <w:b/>
        </w:rPr>
        <w:t xml:space="preserve">Keywords:</w:t>
      </w:r>
      <w:r>
        <w:t xml:space="preserve"> artificial intelligence; administration of justice; penal guarantee theory; due process; algorithmic transparency; algorithmic bias.</w:t>
      </w:r>
    </w:p>
    <w:p>
      <w:r>
        <w:br w:type="page"/>
      </w:r>
    </w:p>
    <w:p>
      <w:pPr>
        <w:spacing w:before="200" w:after="120" w:line="240" w:lineRule="auto"/>
        <w:jc w:val="left"/>
        <w:keepNext/>
      </w:pPr>
      <w:r>
        <w:rPr>
          <w:b/>
          <w:sz w:val="28"/>
          <w:szCs w:val="28"/>
        </w:rPr>
        <w:t xml:space="preserve">TABLA DE CONTENIDO</w:t>
      </w:r>
    </w:p>
    <w:p>
      <w:pPr>
        <w:ind w:left="360"/>
        <w:spacing w:before="0" w:after="40" w:line="360" w:lineRule="auto"/>
      </w:pPr>
      <w:r>
        <w:t xml:space="preserve">•  INTRODUCCIÓN</w:t>
      </w:r>
    </w:p>
    <w:p>
      <w:pPr>
        <w:ind w:left="360"/>
        <w:spacing w:before="0" w:after="40" w:line="360" w:lineRule="auto"/>
      </w:pPr>
      <w:r>
        <w:t xml:space="preserve">•  ASPECTOS GENERALES DE LA INVESTIGACIÓN</w:t>
      </w:r>
    </w:p>
    <w:p>
      <w:pPr>
        <w:ind w:left="360"/>
        <w:spacing w:before="0" w:after="40" w:line="360" w:lineRule="auto"/>
      </w:pPr>
      <w:r>
        <w:t xml:space="preserve">•  A.1 Ubicación y descripción del problema</w:t>
      </w:r>
    </w:p>
    <w:p>
      <w:pPr>
        <w:ind w:left="360"/>
        <w:spacing w:before="0" w:after="40" w:line="360" w:lineRule="auto"/>
      </w:pPr>
      <w:r>
        <w:t xml:space="preserve">•  A.2 Formulación del problema</w:t>
      </w:r>
    </w:p>
    <w:p>
      <w:pPr>
        <w:ind w:left="360"/>
        <w:spacing w:before="0" w:after="40" w:line="360" w:lineRule="auto"/>
      </w:pPr>
      <w:r>
        <w:t xml:space="preserve">•  A.3 Justificación</w:t>
      </w:r>
    </w:p>
    <w:p>
      <w:pPr>
        <w:ind w:left="360"/>
        <w:spacing w:before="0" w:after="40" w:line="360" w:lineRule="auto"/>
      </w:pPr>
      <w:r>
        <w:t xml:space="preserve">•  A.4 Objetivos (general y específicos)</w:t>
      </w:r>
    </w:p>
    <w:p>
      <w:pPr>
        <w:ind w:left="360"/>
        <w:spacing w:before="0" w:after="40" w:line="360" w:lineRule="auto"/>
      </w:pPr>
      <w:r>
        <w:t xml:space="preserve">•  A.5 Hipótesis</w:t>
      </w:r>
    </w:p>
    <w:p>
      <w:pPr>
        <w:ind w:left="360"/>
        <w:spacing w:before="0" w:after="40" w:line="360" w:lineRule="auto"/>
      </w:pPr>
      <w:r>
        <w:t xml:space="preserve">•  A.6 Tratamiento de variables</w:t>
      </w:r>
    </w:p>
    <w:p>
      <w:pPr>
        <w:ind w:left="360"/>
        <w:spacing w:before="0" w:after="40" w:line="360" w:lineRule="auto"/>
      </w:pPr>
      <w:r>
        <w:t xml:space="preserve">•  A.7 Diseño metodológico</w:t>
      </w:r>
    </w:p>
    <w:p>
      <w:pPr>
        <w:ind w:left="360"/>
        <w:spacing w:before="0" w:after="40" w:line="360" w:lineRule="auto"/>
      </w:pPr>
      <w:r>
        <w:t xml:space="preserve">•  CAPÍTULO 1. MARCO NORMATIVO, JURISPRUDENCIAL Y DOCTRINAL DE LA IA EN LA ADMINISTRACIÓN DE JUSTICIA EN COLOMBIA</w:t>
      </w:r>
    </w:p>
    <w:p>
      <w:pPr>
        <w:ind w:left="360"/>
        <w:spacing w:before="0" w:after="40" w:line="360" w:lineRule="auto"/>
      </w:pPr>
      <w:r>
        <w:t xml:space="preserve">•  1.1 Planteamiento y delimitación conceptual</w:t>
      </w:r>
    </w:p>
    <w:p>
      <w:pPr>
        <w:ind w:left="360"/>
        <w:spacing w:before="0" w:after="40" w:line="360" w:lineRule="auto"/>
      </w:pPr>
      <w:r>
        <w:t xml:space="preserve">•  1.2 Marco histórico: tecnología y administración de justicia</w:t>
      </w:r>
    </w:p>
    <w:p>
      <w:pPr>
        <w:ind w:left="360"/>
        <w:spacing w:before="0" w:after="40" w:line="360" w:lineRule="auto"/>
      </w:pPr>
      <w:r>
        <w:t xml:space="preserve">•  1.3 Marco teórico-conceptual: garantismo, IA jurídica y derechos fundamentales en la era digital</w:t>
      </w:r>
    </w:p>
    <w:p>
      <w:pPr>
        <w:ind w:left="360"/>
        <w:spacing w:before="0" w:after="40" w:line="360" w:lineRule="auto"/>
      </w:pPr>
      <w:r>
        <w:t xml:space="preserve">•  1.4 Marco normativo y jurisprudencial colombiano</w:t>
      </w:r>
    </w:p>
    <w:p>
      <w:pPr>
        <w:ind w:left="360"/>
        <w:spacing w:before="0" w:after="40" w:line="360" w:lineRule="auto"/>
      </w:pPr>
      <w:r>
        <w:t xml:space="preserve">•  1.5 Marco institucional y doctrinal</w:t>
      </w:r>
    </w:p>
    <w:p>
      <w:pPr>
        <w:ind w:left="360"/>
        <w:spacing w:before="0" w:after="40" w:line="360" w:lineRule="auto"/>
      </w:pPr>
      <w:r>
        <w:t xml:space="preserve">•  CAPÍTULO 2. RIESGOS DE ALUCINACIONES ALGORÍTMICAS Y SESGOS EN EL PROCESO PENAL</w:t>
      </w:r>
    </w:p>
    <w:p>
      <w:pPr>
        <w:ind w:left="360"/>
        <w:spacing w:before="0" w:after="40" w:line="360" w:lineRule="auto"/>
      </w:pPr>
      <w:r>
        <w:t xml:space="preserve">•  2.1 Fundamentos técnicos de los riesgos</w:t>
      </w:r>
    </w:p>
    <w:p>
      <w:pPr>
        <w:ind w:left="360"/>
        <w:spacing w:before="0" w:after="40" w:line="360" w:lineRule="auto"/>
      </w:pPr>
      <w:r>
        <w:t xml:space="preserve">•  2.2 Alucinaciones algorítmicas y deber de motivación</w:t>
      </w:r>
    </w:p>
    <w:p>
      <w:pPr>
        <w:ind w:left="360"/>
        <w:spacing w:before="0" w:after="40" w:line="360" w:lineRule="auto"/>
      </w:pPr>
      <w:r>
        <w:t xml:space="preserve">•  2.3 Sesgos algorítmicos e igualdad procesal</w:t>
      </w:r>
    </w:p>
    <w:p>
      <w:pPr>
        <w:ind w:left="360"/>
        <w:spacing w:before="0" w:after="40" w:line="360" w:lineRule="auto"/>
      </w:pPr>
      <w:r>
        <w:t xml:space="preserve">•  2.4 La "caja negra" y el derecho de contradicción</w:t>
      </w:r>
    </w:p>
    <w:p>
      <w:pPr>
        <w:ind w:left="360"/>
        <w:spacing w:before="0" w:after="40" w:line="360" w:lineRule="auto"/>
      </w:pPr>
      <w:r>
        <w:t xml:space="preserve">•  2.5 Matriz de riesgos por actor procesal y por etapa</w:t>
      </w:r>
    </w:p>
    <w:p>
      <w:pPr>
        <w:ind w:left="360"/>
        <w:spacing w:before="0" w:after="40" w:line="360" w:lineRule="auto"/>
      </w:pPr>
      <w:r>
        <w:t xml:space="preserve">•  CAPÍTULO 3. DERECHO COMPARADO Y PARÁMETROS DE IMPLEMENTACIÓN</w:t>
      </w:r>
    </w:p>
    <w:p>
      <w:pPr>
        <w:ind w:left="360"/>
        <w:spacing w:before="0" w:after="40" w:line="360" w:lineRule="auto"/>
      </w:pPr>
      <w:r>
        <w:t xml:space="preserve">•  3.1 Unión Europea: el enfoque basado en riesgos</w:t>
      </w:r>
    </w:p>
    <w:p>
      <w:pPr>
        <w:ind w:left="360"/>
        <w:spacing w:before="0" w:after="40" w:line="360" w:lineRule="auto"/>
      </w:pPr>
      <w:r>
        <w:t xml:space="preserve">•  3.2 Estados Unidos: el caso State v. Loomis y la justicia actuarial</w:t>
      </w:r>
    </w:p>
    <w:p>
      <w:pPr>
        <w:ind w:left="360"/>
        <w:spacing w:before="0" w:after="40" w:line="360" w:lineRule="auto"/>
      </w:pPr>
      <w:r>
        <w:t xml:space="preserve">•  3.3 Argentina: PROMETEA y la experiencia regional</w:t>
      </w:r>
    </w:p>
    <w:p>
      <w:pPr>
        <w:ind w:left="360"/>
        <w:spacing w:before="0" w:after="40" w:line="360" w:lineRule="auto"/>
      </w:pPr>
      <w:r>
        <w:t xml:space="preserve">•  3.4 Brasil: Resolución CNJ y el Sistema VICTOR</w:t>
      </w:r>
    </w:p>
    <w:p>
      <w:pPr>
        <w:ind w:left="360"/>
        <w:spacing w:before="0" w:after="40" w:line="360" w:lineRule="auto"/>
      </w:pPr>
      <w:r>
        <w:t xml:space="preserve">•  3.5 Lecciones para Colombia</w:t>
      </w:r>
    </w:p>
    <w:p>
      <w:pPr>
        <w:ind w:left="360"/>
        <w:spacing w:before="0" w:after="40" w:line="360" w:lineRule="auto"/>
      </w:pPr>
      <w:r>
        <w:t xml:space="preserve">•  CAPÍTULO 4. PROPUESTA: MODELO DE JUSTICIA AUMENTADA Y PROTOCOLO DE TRANSPARENCIA ALGORÍTMICA Y GARANTÍAS PENALES (PTAG)</w:t>
      </w:r>
    </w:p>
    <w:p>
      <w:pPr>
        <w:ind w:left="360"/>
        <w:spacing w:before="0" w:after="40" w:line="360" w:lineRule="auto"/>
      </w:pPr>
      <w:r>
        <w:t xml:space="preserve">•  4.1 El test de compatibilidad constitucional escalonado</w:t>
      </w:r>
    </w:p>
    <w:p>
      <w:pPr>
        <w:ind w:left="360"/>
        <w:spacing w:before="0" w:after="40" w:line="360" w:lineRule="auto"/>
      </w:pPr>
      <w:r>
        <w:t xml:space="preserve">•  4.2 El Protocolo de Transparencia Algorítmica y Garantías Penales (PTAG)</w:t>
      </w:r>
    </w:p>
    <w:p>
      <w:pPr>
        <w:ind w:left="360"/>
        <w:spacing w:before="0" w:after="40" w:line="360" w:lineRule="auto"/>
      </w:pPr>
      <w:r>
        <w:t xml:space="preserve">•  4.3 La contradicción algorítmica como nueva garantía procesal</w:t>
      </w:r>
    </w:p>
    <w:p>
      <w:pPr>
        <w:ind w:left="360"/>
        <w:spacing w:before="0" w:after="40" w:line="360" w:lineRule="auto"/>
      </w:pPr>
      <w:r>
        <w:t xml:space="preserve">•  4.4 Implementación institucional</w:t>
      </w:r>
    </w:p>
    <w:p>
      <w:pPr>
        <w:ind w:left="360"/>
        <w:spacing w:before="0" w:after="40" w:line="360" w:lineRule="auto"/>
      </w:pPr>
      <w:r>
        <w:t xml:space="preserve">•  CONCLUSIONES</w:t>
      </w:r>
    </w:p>
    <w:p>
      <w:pPr>
        <w:ind w:left="360"/>
        <w:spacing w:before="0" w:after="40" w:line="360" w:lineRule="auto"/>
      </w:pPr>
      <w:r>
        <w:t xml:space="preserve">•  RECOMENDACIONES</w:t>
      </w:r>
    </w:p>
    <w:p>
      <w:pPr>
        <w:ind w:left="360"/>
        <w:spacing w:before="0" w:after="40" w:line="360" w:lineRule="auto"/>
      </w:pPr>
      <w:r>
        <w:t xml:space="preserve">•  IMPACTO ESPERADO</w:t>
      </w:r>
    </w:p>
    <w:p>
      <w:pPr>
        <w:ind w:left="360"/>
        <w:spacing w:before="0" w:after="40" w:line="360" w:lineRule="auto"/>
      </w:pPr>
      <w:r>
        <w:t xml:space="preserve">•  CRONOGRAMA DE ACTIVIDADES</w:t>
      </w:r>
    </w:p>
    <w:p>
      <w:pPr>
        <w:ind w:left="360"/>
        <w:spacing w:before="0" w:after="40" w:line="360" w:lineRule="auto"/>
      </w:pPr>
      <w:r>
        <w:t xml:space="preserve">•  REFERENCIAS</w:t>
      </w:r>
    </w:p>
    <w:p>
      <w:pPr>
        <w:ind w:left="360"/>
        <w:spacing w:before="0" w:after="40" w:line="360" w:lineRule="auto"/>
      </w:pPr>
      <w:r>
        <w:t xml:space="preserve">•  ANEXOS</w:t>
      </w:r>
    </w:p>
    <w:p>
      <w:pPr>
        <w:spacing w:before="200" w:after="120" w:line="240" w:lineRule="auto"/>
        <w:jc w:val="left"/>
        <w:keepNext/>
      </w:pPr>
      <w:r>
        <w:rPr>
          <w:b/>
          <w:sz w:val="28"/>
          <w:szCs w:val="28"/>
        </w:rPr>
        <w:t xml:space="preserve">LISTA DE TABLAS</w:t>
      </w:r>
    </w:p>
    <w:p>
      <w:pPr>
        <w:ind w:left="360"/>
        <w:spacing w:before="0" w:after="40" w:line="360" w:lineRule="auto"/>
      </w:pPr>
      <w:r>
        <w:t xml:space="preserve">•  Tabla 1. Hitos históricos de la relación entre tecnología y justicia</w:t>
      </w:r>
    </w:p>
    <w:p>
      <w:pPr>
        <w:ind w:left="360"/>
        <w:spacing w:before="0" w:after="40" w:line="360" w:lineRule="auto"/>
      </w:pPr>
      <w:r>
        <w:t xml:space="preserve">•  Tabla 2. Marco normativo e institucional colombiano sobre IA y justicia</w:t>
      </w:r>
    </w:p>
    <w:p>
      <w:pPr>
        <w:ind w:left="360"/>
        <w:spacing w:before="0" w:after="40" w:line="360" w:lineRule="auto"/>
      </w:pPr>
      <w:r>
        <w:t xml:space="preserve">•  Tabla 3. Operacionalización de variables analíticas</w:t>
      </w:r>
    </w:p>
    <w:p>
      <w:pPr>
        <w:ind w:left="360"/>
        <w:spacing w:before="0" w:after="40" w:line="360" w:lineRule="auto"/>
      </w:pPr>
      <w:r>
        <w:t xml:space="preserve">•  Tabla 4. Matriz de riesgos por actor procesal y etapa del proceso penal</w:t>
      </w:r>
    </w:p>
    <w:p>
      <w:pPr>
        <w:ind w:left="360"/>
        <w:spacing w:before="0" w:after="40" w:line="360" w:lineRule="auto"/>
      </w:pPr>
      <w:r>
        <w:t xml:space="preserve">•  Tabla 5. Análisis de derecho comparado</w:t>
      </w:r>
    </w:p>
    <w:p>
      <w:pPr>
        <w:ind w:left="360"/>
        <w:spacing w:before="0" w:after="40" w:line="360" w:lineRule="auto"/>
      </w:pPr>
      <w:r>
        <w:t xml:space="preserve">•  Tabla 6. Test de compatibilidad constitucional escalonado por niveles de riesgo</w:t>
      </w:r>
    </w:p>
    <w:p>
      <w:pPr>
        <w:ind w:left="360"/>
        <w:spacing w:before="0" w:after="40" w:line="360" w:lineRule="auto"/>
      </w:pPr>
      <w:r>
        <w:t xml:space="preserve">•  Tabla 7. Cronograma de actividades</w:t>
      </w:r>
    </w:p>
    <w:p>
      <w:pPr>
        <w:spacing w:before="200" w:after="120" w:line="240" w:lineRule="auto"/>
        <w:jc w:val="left"/>
        <w:keepNext/>
      </w:pPr>
      <w:r>
        <w:rPr>
          <w:b/>
          <w:sz w:val="28"/>
          <w:szCs w:val="28"/>
        </w:rPr>
        <w:t xml:space="preserve">LISTA DE FIGURAS</w:t>
      </w:r>
    </w:p>
    <w:p>
      <w:pPr>
        <w:ind w:left="360"/>
        <w:spacing w:before="0" w:after="40" w:line="360" w:lineRule="auto"/>
      </w:pPr>
      <w:r>
        <w:t xml:space="preserve">•  Figura 1. Modelo de justicia aumentada con control humano significativo</w:t>
      </w:r>
    </w:p>
    <w:p>
      <w:pPr>
        <w:ind w:left="360"/>
        <w:spacing w:before="0" w:after="40" w:line="360" w:lineRule="auto"/>
      </w:pPr>
      <w:r>
        <w:t xml:space="preserve">•  Figura 2. Flujo del Protocolo de Transparencia Algorítmica y Garantías Penales (PTAG)</w:t>
      </w:r>
    </w:p>
    <w:p>
      <w:r>
        <w:br w:type="page"/>
      </w:r>
    </w:p>
    <w:p>
      <w:pPr>
        <w:spacing w:before="240" w:after="160" w:line="240" w:lineRule="auto"/>
        <w:jc w:val="center"/>
        <w:keepNext/>
      </w:pPr>
      <w:r>
        <w:rPr>
          <w:b/>
          <w:sz w:val="32"/>
          <w:szCs w:val="32"/>
        </w:rPr>
        <w:t xml:space="preserve">INTRODUCCIÓN</w:t>
      </w:r>
    </w:p>
    <w:p>
      <w:pPr>
        <w:spacing w:before="0" w:after="120" w:line="480" w:lineRule="auto"/>
        <w:jc w:val="both"/>
      </w:pPr>
      <w:r>
        <w:t xml:space="preserve">La implementación de la inteligencia artificial (en adelante, IA) en la administración de justicia —escenario en el cual interviene el Estado como garante de los derechos fundamentales— constituye uno de los fenómenos de mayor trascendencia jurídica, política y filosófica de las últimas décadas. El uso cada vez más frecuente de estas herramientas por parte de los actores y partes en los procesos judiciales representa una transformación profunda de la función jurisdiccional, especialmente en el ámbito del derecho penal, donde la incorporación de la IA enfrenta desafíos singulares por el riesgo inminente de desplazar la racionalidad humana, la racionalidad jurídica, la sana crítica, la dignidad humana y la materialización del Estado social de derecho. El encuentro entre el derecho penal y los algoritmos de aprendizaje automático exige una rigurosidad reforzada en la aplicación de los principios constitucionales y penales, pues están en juego garantías que el constituyente y el legislador han considerado inderogables. En la práctica judicial, el uso de algoritmos opacos —conocidos como "cajas negras"— representa un riesgo latente para la valoración probatoria y la proyección de fallos, tensión que esta investigación se propone examinar de manera sistemática, rigurosa y crítica.</w:t>
      </w:r>
    </w:p>
    <w:p>
      <w:pPr>
        <w:spacing w:before="0" w:after="120" w:line="480" w:lineRule="auto"/>
        <w:jc w:val="both"/>
      </w:pPr>
      <w:r>
        <w:t xml:space="preserve">Desde una perspectiva histórica, la relación entre la tecnología y la justicia ha estado siempre presente como un desafío: la imprenta transformó la codificación y la difusión del derecho; la grabación magnetofónica renovó la práctica del juicio oral y permitió "refrescar la memoria" de los jueces; los sistemas de gestión electrónica de expedientes modificaron la tramitación procesal y redujeron el desgaste de los profesionales del derecho en los desplazamientos. Sin embargo, la IA generativa y los sistemas de soporte a la decisión judicial representan un salto cualitativo sin precedentes: ya no se trata de herramientas que únicamente almacenan o transmiten información, sino de sistemas capaces de procesar, inferir y, en ciertos modelos de despliegue, proponer soluciones jurídicas de manera autónoma. Esta capacidad autoinferencial del algoritmo interpela directamente el razonamiento jurídico y la motivación judicial, entendida como el deber constitucional del juez de explicitar las razones que sostienen su decisión (Corte Constitucional de Colombia, 1996).</w:t>
      </w:r>
    </w:p>
    <w:p>
      <w:pPr>
        <w:spacing w:before="0" w:after="120" w:line="480" w:lineRule="auto"/>
        <w:jc w:val="both"/>
      </w:pPr>
      <w:r>
        <w:t xml:space="preserve">En Colombia, el fenómeno adquiere rasgos particulares. El sistema judicial enfrenta una crisis estructural de congestión que, según el Consejo Superior de la Judicatura (2023), supera los cuatro millones de procesos represados. Ante esa realidad, la incorporación de herramientas como PretorIA o PROMETEA se presenta como una solución atractiva para la descongestión. No obstante, la Corte Constitucional, mediante la Sentencia T-323 de 2024, fijó un precedente fundamental al establecer que el uso de IA generativa en la administración de justicia debe sujetarse a los principios de transparencia, responsabilidad, privacidad, no sustitución de la racionalidad humana y control humano significativo, preservando la autonomía e independencia del juez natural y la inmediación. Este fallo hito constituye el eje normativo de la presente investigación.</w:t>
      </w:r>
    </w:p>
    <w:p>
      <w:pPr>
        <w:spacing w:before="0" w:after="120" w:line="480" w:lineRule="auto"/>
        <w:jc w:val="both"/>
      </w:pPr>
      <w:r>
        <w:t xml:space="preserve">El derecho penal, por la especificidad de los bienes jurídicos comprometidos —la libertad personal, la presunción de inocencia, el debido proceso, entre otros—, exige un análisis diferenciado frente a otras ramas del ordenamiento. Los errores algorítmicos, conocidos en la doctrina como "alucinaciones" (Bender et al., 2021), o los sesgos sistemáticos incorporados a través del </w:t>
      </w:r>
      <w:r>
        <w:rPr>
          <w:i/>
        </w:rPr>
        <w:t xml:space="preserve">big data</w:t>
      </w:r>
      <w:r>
        <w:t xml:space="preserve"> (Angwin et al., 2016), pueden derivar en privaciones injustas de la libertad, en la vulneración del principio de igualdad procesal o en la desnaturalización de la sana crítica como método de valoración probatoria. El antecedente estadounidense del caso </w:t>
      </w:r>
      <w:r>
        <w:rPr>
          <w:i/>
        </w:rPr>
        <w:t xml:space="preserve">State v. Loomis</w:t>
      </w:r>
      <w:r>
        <w:t xml:space="preserve"> (2016), en el que la Corte Suprema de Wisconsin avaló —con importantes matices— el uso del sistema COMPAS para orientar decisiones sobre la condena, resulta paradigmático del debate que aquí se aborda, anticipando los riesgos de alucinaciones y sesgos que su implementación supondría en Colombia.</w:t>
      </w:r>
    </w:p>
    <w:p>
      <w:pPr>
        <w:spacing w:before="0" w:after="120" w:line="480" w:lineRule="auto"/>
        <w:jc w:val="both"/>
      </w:pPr>
      <w:r>
        <w:t xml:space="preserve">La presente investigación se estructura bajo un enfoque garantista del derecho penal, perspectiva teórica desarrollada principalmente por Luigi Ferrajoli (1995), según la cual la legitimidad del sistema penal depende de la estricta sujeción a los derechos y garantías fundamentales. Desde esta óptica, la IA no puede ser adoptada como mera eficiencia administrativa, sino que debe someterse a un riguroso test de compatibilidad constitucional que evalúe si su uso fortalece o erosiona las garantías procesales penales. La tesis que aquí se sostiene es que la IA es constitucionalmente admisible en la justicia penal únicamente bajo la forma de una </w:t>
      </w:r>
      <w:r>
        <w:rPr>
          <w:i/>
        </w:rPr>
        <w:t xml:space="preserve">justicia aumentada</w:t>
      </w:r>
      <w:r>
        <w:t xml:space="preserve">: un modelo en el que la tecnología potencia las capacidades del operador jurídico sin sustituir, en ningún caso, el juicio humano que la Constitución reserva al juez natural.</w:t>
      </w:r>
    </w:p>
    <w:p>
      <w:pPr>
        <w:spacing w:before="0" w:after="120" w:line="480" w:lineRule="auto"/>
        <w:jc w:val="both"/>
      </w:pPr>
      <w:r>
        <w:t xml:space="preserve">A diferencia de aproximaciones previas que abordan la IA en el derecho colombiano de manera general (Suárez Manrique &amp; De León Vargas, 2019; Suárez Manrique et al., 2023), esta investigación ofrece tres contribuciones originales orientadas a un impacto social y académico verificable. En primer lugar, traslada y especifica los parámetros de la Sentencia T-323 de 2024 al terreno propio del proceso penal acusatorio, identificando las zonas de tensión con la inmediación, la sana crítica, el juez natural y el deber de motivación. En segundo lugar, construye una matriz de riesgos diferenciada por actor procesal (juez, fiscalía y defensa) y por etapa del proceso. En tercer lugar, y como aporte propositivo central, formula un </w:t>
      </w:r>
      <w:r>
        <w:rPr>
          <w:i/>
        </w:rPr>
        <w:t xml:space="preserve">Protocolo de Transparencia Algorítmica y Garantías Penales</w:t>
      </w:r>
      <w:r>
        <w:t xml:space="preserve"> (PTAG) acompañado de un </w:t>
      </w:r>
      <w:r>
        <w:rPr>
          <w:i/>
        </w:rPr>
        <w:t xml:space="preserve">test de compatibilidad constitucional escalonado por niveles de riesgo</w:t>
      </w:r>
      <w:r>
        <w:t xml:space="preserve">, instrumentos diseñados para ser apropiados por la Rama Judicial, la Fiscalía General de la Nación, la Defensoría del Pueblo y el legislador.</w:t>
      </w:r>
    </w:p>
    <w:p>
      <w:pPr>
        <w:spacing w:before="0" w:after="120" w:line="480" w:lineRule="auto"/>
        <w:jc w:val="both"/>
      </w:pPr>
      <w:r>
        <w:t xml:space="preserve">El documento se organiza en cuatro capítulos que desarrollan, respectivamente, los cuatro objetivos específicos de la investigación. El Capítulo 1 sistematiza el marco normativo, jurisprudencial y doctrinal colombiano. El Capítulo 2 categoriza los riesgos de alucinaciones algorítmicas y de sesgos en el proceso penal. El Capítulo 3 analiza comparativamente las experiencias de la Unión Europea, los Estados Unidos, Argentina y Brasil. El Capítulo 4 presenta la propuesta de modelo de justicia aumentada y el protocolo de transparencia. El trabajo cierra con conclusiones, recomendaciones, una estimación del impacto esperado, el cronograma de actividades, las referencias en formato APA y los anexos.</w:t>
      </w:r>
    </w:p>
    <w:p>
      <w:r>
        <w:br w:type="page"/>
      </w:r>
    </w:p>
    <w:p>
      <w:pPr>
        <w:spacing w:before="240" w:after="160" w:line="240" w:lineRule="auto"/>
        <w:jc w:val="center"/>
        <w:keepNext/>
      </w:pPr>
      <w:r>
        <w:rPr>
          <w:b/>
          <w:sz w:val="32"/>
          <w:szCs w:val="32"/>
        </w:rPr>
        <w:t xml:space="preserve">ASPECTOS GENERALES DE LA INVESTIGACIÓN</w:t>
      </w:r>
    </w:p>
    <w:p>
      <w:pPr>
        <w:spacing w:before="200" w:after="120" w:line="240" w:lineRule="auto"/>
        <w:jc w:val="left"/>
        <w:keepNext/>
      </w:pPr>
      <w:r>
        <w:rPr>
          <w:b/>
          <w:sz w:val="28"/>
          <w:szCs w:val="28"/>
        </w:rPr>
        <w:t xml:space="preserve">A.1 Ubicación y descripción del problema</w:t>
      </w:r>
    </w:p>
    <w:p>
      <w:pPr>
        <w:spacing w:before="0" w:after="120" w:line="480" w:lineRule="auto"/>
        <w:jc w:val="both"/>
      </w:pPr>
      <w:r>
        <w:t xml:space="preserve">El sistema de administración de justicia en Colombia atraviesa una transformación estructural impulsada por el avance exponencial de las tecnologías de la información y las comunicaciones (TIC) y, en particular, por el auge de la inteligencia artificial aplicada al derecho. Esta transformación, que en principio podría concebirse como una oportunidad para mejorar la eficiencia del sistema judicial, genera tensiones significativas cuando se proyecta sobre el ámbito del derecho procesal penal, donde la actuación del Estado compromete de manera directa la libertad y la dignidad de las personas.</w:t>
      </w:r>
    </w:p>
    <w:p>
      <w:pPr>
        <w:spacing w:before="0" w:after="120" w:line="480" w:lineRule="auto"/>
        <w:jc w:val="both"/>
      </w:pPr>
      <w:r>
        <w:t xml:space="preserve">El proceso penal exige una rigurosidad reforzada en la incorporación de herramientas de IA, precisamente por las garantías constitucionales y fundamentales que deben preservarse. El propósito legítimo de su implementación no puede ser otro que el de servir de apoyo a la función jurisdiccional, nunca el de sustituirla. La problemática central que motiva esta investigación se articula en torno a tres dimensiones interrelacionadas.</w:t>
      </w:r>
    </w:p>
    <w:p>
      <w:pPr>
        <w:spacing w:before="0" w:after="120" w:line="480" w:lineRule="auto"/>
        <w:jc w:val="both"/>
      </w:pPr>
      <w:r>
        <w:rPr>
          <w:b/>
        </w:rPr>
        <w:t xml:space="preserve">Dimensión tecnológica.</w:t>
      </w:r>
      <w:r>
        <w:t xml:space="preserve"> Los sistemas de IA disponibles para el ámbito judicial —tanto los de uso general (como ChatGPT, Gemini o Copilot) como los especializados en el campo jurídico (como PROMETEA o PretorIA)— operan, en mayor o menor medida, mediante modelos de aprendizaje automático que procesan grandes volúmenes de datos que no son necesariamente verídicos ni jurídicamente correctos. Los modelos generativos de lenguaje funcionan sobre una lógica probabilística de predicción de secuencias de texto, no sobre una comprensión semántica del derecho, lo que explica la aparición de "alucinaciones" (información plausible pero falsa) y la reproducción de sesgos contenidos en los datos de entrenamiento.</w:t>
      </w:r>
    </w:p>
    <w:p>
      <w:pPr>
        <w:spacing w:before="0" w:after="120" w:line="480" w:lineRule="auto"/>
        <w:jc w:val="both"/>
      </w:pPr>
      <w:r>
        <w:rPr>
          <w:b/>
        </w:rPr>
        <w:t xml:space="preserve">Dimensión normativa.</w:t>
      </w:r>
      <w:r>
        <w:t xml:space="preserve"> Colombia carece, a la fecha de elaboración de esta investigación, de una regulación legal integral que determine con precisión los límites, las condiciones y los procedimientos bajo los cuales los operadores judiciales pueden utilizar herramientas de IA en los procesos penales. Si bien la Sentencia T-323 de 2024 de la Corte Constitucional establece parámetros relevantes, lo hace en términos generales y no mediante una ley estatutaria específica; los desarrollos reglamentarios posteriores (Acuerdo PCSJA24-12243 y Circular PCSJC24-37 de 2024) constituyen avances importantes, pero de alcance interno de la Rama Judicial.</w:t>
      </w:r>
    </w:p>
    <w:p>
      <w:pPr>
        <w:spacing w:before="0" w:after="120" w:line="480" w:lineRule="auto"/>
        <w:jc w:val="both"/>
      </w:pPr>
      <w:r>
        <w:rPr>
          <w:b/>
        </w:rPr>
        <w:t xml:space="preserve">Dimensión garantista.</w:t>
      </w:r>
      <w:r>
        <w:t xml:space="preserve"> El proceso penal acusatorio se construye sobre un conjunto de principios constitucionales y convencionales —el debido proceso (art. 29 de la Constitución Política), la presunción de inocencia, la inmediación probatoria, el principio del juez natural y la sana crítica como método de valoración— que podrían verse afectados por la incorporación acrítica de algoritmos en las decisiones judiciales. La Corte Interamericana de Derechos Humanos ha sido enfática al señalar que las garantías del debido proceso resultan exigibles incluso frente a situaciones de urgencia institucional (Corte IDH, </w:t>
      </w:r>
      <w:r>
        <w:rPr>
          <w:i/>
        </w:rPr>
        <w:t xml:space="preserve">Caso Barreto Leiva vs. Venezuela</w:t>
      </w:r>
      <w:r>
        <w:t xml:space="preserve">, 2009), criterio que debe proyectarse sobre la incorporación de tecnologías en la justicia penal.</w:t>
      </w:r>
    </w:p>
    <w:p>
      <w:pPr>
        <w:spacing w:before="0" w:after="120" w:line="480" w:lineRule="auto"/>
        <w:jc w:val="both"/>
      </w:pPr>
      <w:r>
        <w:t xml:space="preserve">La identificación del problema también debe examinarse desde la perspectiva de los actores procesales. Para el juez, el riesgo consiste en la delegación implícita del razonamiento judicial en el algoritmo. Para el fiscal, la tentación de apoyarse en predicciones algorítmicas de reincidencia o peligrosidad. Para la defensa técnica, la opacidad de los algoritmos —el fenómeno de la "caja negra"— dificulta el ejercicio del derecho de contradicción.</w:t>
      </w:r>
    </w:p>
    <w:p>
      <w:pPr>
        <w:spacing w:before="0" w:after="120" w:line="480" w:lineRule="auto"/>
        <w:jc w:val="both"/>
      </w:pPr>
      <w:r>
        <w:t xml:space="preserve">Lo anterior evidencia que el problema no es meramente técnico ni exclusivamente normativo, sino que constituye un desafío sistémico que interpela los límites del poder punitivo del Estado en la era algorítmica. La pregunta de fondo es si un sistema de IA puede reemplazar o condicionar el juicio humano en materias que comprometen la libertad y la dignidad de las personas.</w:t>
      </w:r>
    </w:p>
    <w:p>
      <w:pPr>
        <w:spacing w:before="200" w:after="120" w:line="240" w:lineRule="auto"/>
        <w:jc w:val="left"/>
        <w:keepNext/>
      </w:pPr>
      <w:r>
        <w:rPr>
          <w:b/>
          <w:sz w:val="28"/>
          <w:szCs w:val="28"/>
        </w:rPr>
        <w:t xml:space="preserve">A.2 Formulación del problema</w:t>
      </w:r>
    </w:p>
    <w:p>
      <w:pPr>
        <w:spacing w:before="0" w:after="120" w:line="480" w:lineRule="auto"/>
        <w:jc w:val="both"/>
      </w:pPr>
      <w:r>
        <w:t xml:space="preserve">Existe una desincronización entre el avance exponencial de la inteligencia artificial y la capacidad de respuesta normativa del derecho. En el ámbito penal, el uso de algoritmos opacos —las "cajas negras"— para la valoración de pruebas o la proyección de fallos genera riesgos de sesgos discriminatorios y de vulneración del deber de motivación judicial. La problemática radica en determinar si las herramientas de IA propuestas para su implementación en el derecho (como PretorIA o PROMETEA) ofrecen una eficiencia que justifique el eventual sacrificio de garantías procesales como la inmediación, la sana crítica y el principio del juez natural. De allí se desprende la pregunta principal de investigación:</w:t>
      </w:r>
    </w:p>
    <w:p>
      <w:pPr>
        <w:spacing w:before="40" w:after="120" w:line="360" w:lineRule="auto"/>
        <w:jc w:val="left"/>
      </w:pPr>
      <w:r>
        <w:rPr>
          <w:b/>
          <w:i/>
          <w:sz w:val="22"/>
          <w:szCs w:val="22"/>
        </w:rPr>
        <w:t xml:space="preserve">¿Cuáles son los parámetros jurídicos, constitucionales y garantistas que deben regir el uso de la inteligencia artificial por parte de los actores procesales en el proceso penal colombiano, de manera que dicho uso fortalezca la administración de justicia sin vulnerar los principios fundamentales del derecho penal y procesal penal?</w:t>
      </w:r>
    </w:p>
    <w:p>
      <w:pPr>
        <w:spacing w:before="0" w:after="120" w:line="480" w:lineRule="auto"/>
        <w:jc w:val="both"/>
      </w:pPr>
      <w:r>
        <w:t xml:space="preserve">De esta pregunta principal se derivan tres interrogantes subordinados que orientan el desarrollo metodológico:</w:t>
      </w:r>
    </w:p>
    <w:p>
      <w:pPr>
        <w:ind w:left="360"/>
        <w:spacing w:before="0" w:after="40" w:line="360" w:lineRule="auto"/>
      </w:pPr>
      <w:r>
        <w:t xml:space="preserve">1. ¿Qué riesgos específicos genera el uso de algoritmos opacos en la valoración probatoria y en la proyección de fallos en materia penal, y cómo se relacionan con las garantías del debido proceso y la presunción de inocencia?</w:t>
      </w:r>
    </w:p>
    <w:p>
      <w:pPr>
        <w:ind w:left="360"/>
        <w:spacing w:before="0" w:after="40" w:line="360" w:lineRule="auto"/>
      </w:pPr>
      <w:r>
        <w:t xml:space="preserve">2. ¿Cómo han abordado otros ordenamientos —particularmente la Unión Europea, los Estados Unidos, Argentina y Brasil— la regulación de la IA en la administración de justicia penal, y qué lecciones pueden extraerse para Colombia?</w:t>
      </w:r>
    </w:p>
    <w:p>
      <w:pPr>
        <w:ind w:left="360"/>
        <w:spacing w:before="0" w:after="40" w:line="360" w:lineRule="auto"/>
      </w:pPr>
      <w:r>
        <w:t xml:space="preserve">3. ¿Qué protocolo de transparencia algorítmica, compatible con el debido proceso penal, debe implementarse para los operadores jurídicos que utilicen herramientas de IA en el marco de un proceso penal?</w:t>
      </w:r>
    </w:p>
    <w:p>
      <w:pPr>
        <w:spacing w:before="200" w:after="120" w:line="240" w:lineRule="auto"/>
        <w:jc w:val="left"/>
        <w:keepNext/>
      </w:pPr>
      <w:r>
        <w:rPr>
          <w:b/>
          <w:sz w:val="28"/>
          <w:szCs w:val="28"/>
        </w:rPr>
        <w:t xml:space="preserve">A.3 Justificación</w:t>
      </w:r>
    </w:p>
    <w:p>
      <w:pPr>
        <w:spacing w:before="0" w:after="120" w:line="480" w:lineRule="auto"/>
        <w:jc w:val="both"/>
      </w:pPr>
      <w:r>
        <w:t xml:space="preserve">La incorporación de la IA en la administración de justicia constituye uno de los mayores desafíos para el derecho procesal y constitucional contemporáneo, especialmente en el ámbito penal, donde se hallan comprometidos derechos fundamentales de primer orden. La relevancia de esta investigación radica en la necesidad de analizar los límites, alcances y parámetros que deben regir el uso de la IA por parte de jueces, fiscales, defensores y demás intervinientes, evitando que dichas herramientas sustituyan el razonamiento jurídico humano o generen decisiones automatizadas incompatibles con los principios garantistas del derecho penal colombiano.</w:t>
      </w:r>
    </w:p>
    <w:p>
      <w:pPr>
        <w:spacing w:before="0" w:after="120" w:line="480" w:lineRule="auto"/>
        <w:jc w:val="both"/>
      </w:pPr>
      <w:r>
        <w:t xml:space="preserve">La investigación es imperativa ante la ausencia de una regulación legal integral y la aparición de decisiones que cuestionan el uso indebido de la IA. El precedente lo marca la Sentencia T-323 de 2024, que establece que la IA solo puede emplearse como herramienta de apoyo y no como sustituto de la función jurisdiccional, máxime en materia penal, donde la libertad es la regla general y donde se traza una verdadera frontera ética para la tecnología.</w:t>
      </w:r>
    </w:p>
    <w:p>
      <w:pPr>
        <w:spacing w:before="0" w:after="120" w:line="480" w:lineRule="auto"/>
        <w:jc w:val="both"/>
      </w:pPr>
      <w:r>
        <w:t xml:space="preserve">Esta investigación opera en cuatro planos que se complementan mutuamente:</w:t>
      </w:r>
    </w:p>
    <w:p>
      <w:pPr>
        <w:ind w:left="360"/>
        <w:spacing w:before="0" w:after="40" w:line="360" w:lineRule="auto"/>
      </w:pPr>
      <w:r>
        <w:t xml:space="preserve">•  </w:t>
      </w:r>
      <w:r>
        <w:rPr>
          <w:b/>
        </w:rPr>
        <w:t xml:space="preserve">Plano científico.</w:t>
      </w:r>
      <w:r>
        <w:t xml:space="preserve"> Aporta al desarrollo de una doctrina jurídica específica sobre el uso de la IA en el derecho procesal penal colombiano. Si bien existen trabajos pioneros (Suárez Manrique &amp; De León Vargas, 2019; Suárez Manrique et al., 2023), estos se centran en el derecho colombiano en general, sin profundizar en las especificidades del proceso penal acusatorio. La presente investigación desarrolla un análisis sistemático que combina derecho constitucional, derecho procesal penal y teoría de la IA aplicada al derecho.</w:t>
      </w:r>
    </w:p>
    <w:p>
      <w:pPr>
        <w:ind w:left="360"/>
        <w:spacing w:before="0" w:after="40" w:line="360" w:lineRule="auto"/>
      </w:pPr>
      <w:r>
        <w:t xml:space="preserve">•  </w:t>
      </w:r>
      <w:r>
        <w:rPr>
          <w:b/>
        </w:rPr>
        <w:t xml:space="preserve">Plano jurídico-constitucional.</w:t>
      </w:r>
      <w:r>
        <w:t xml:space="preserve"> Clarifica el alcance de los principios procesales penales frente al desafío algorítmico. La Sentencia T-323 de 2024 es un hito jurisprudencial, pero sus efectos sobre el proceso penal no han sido suficientemente estudiados; la investigación propone un análisis detallado del fallo en relación con la inmediación, la sana crítica, el juez natural y el deber de motivación, identificando zonas de tensión y parámetros de compatibilidad constitucional.</w:t>
      </w:r>
    </w:p>
    <w:p>
      <w:pPr>
        <w:ind w:left="360"/>
        <w:spacing w:before="0" w:after="40" w:line="360" w:lineRule="auto"/>
      </w:pPr>
      <w:r>
        <w:t xml:space="preserve">•  </w:t>
      </w:r>
      <w:r>
        <w:rPr>
          <w:b/>
        </w:rPr>
        <w:t xml:space="preserve">Plano social.</w:t>
      </w:r>
      <w:r>
        <w:t xml:space="preserve"> Responde a la necesidad de afrontar la congestión judicial —más de cuatro millones de procesos represados, según el Consejo Superior de la Judicatura (2023)— sin que la búsqueda de eficiencia se traduzca en la erosión de garantías. El impacto social de la propuesta se concreta en la protección reforzada de las personas sometidas al poder punitivo, en especial de las poblaciones históricamente discriminadas, que son las más expuestas a los sesgos algorítmicos.</w:t>
      </w:r>
    </w:p>
    <w:p>
      <w:pPr>
        <w:ind w:left="360"/>
        <w:spacing w:before="0" w:after="40" w:line="360" w:lineRule="auto"/>
      </w:pPr>
      <w:r>
        <w:t xml:space="preserve">•  </w:t>
      </w:r>
      <w:r>
        <w:rPr>
          <w:b/>
        </w:rPr>
        <w:t xml:space="preserve">Plano institucional.</w:t>
      </w:r>
      <w:r>
        <w:t xml:space="preserve"> Ofrece a la Rama Judicial, la Fiscalía General de la Nación, la Defensoría del Pueblo y el legislador un instrumento concreto —el Protocolo de Transparencia Algorítmica y Garantías Penales— susceptible de apropiación normativa y operativa.</w:t>
      </w:r>
    </w:p>
    <w:p>
      <w:pPr>
        <w:spacing w:before="200" w:after="120" w:line="240" w:lineRule="auto"/>
        <w:jc w:val="left"/>
        <w:keepNext/>
      </w:pPr>
      <w:r>
        <w:rPr>
          <w:b/>
          <w:sz w:val="28"/>
          <w:szCs w:val="28"/>
        </w:rPr>
        <w:t xml:space="preserve">A.4 Objetivos</w:t>
      </w:r>
    </w:p>
    <w:p>
      <w:pPr>
        <w:spacing w:before="160" w:after="100" w:line="240" w:lineRule="auto"/>
        <w:jc w:val="left"/>
        <w:keepNext/>
      </w:pPr>
      <w:r>
        <w:rPr>
          <w:b/>
          <w:sz w:val="26"/>
          <w:szCs w:val="26"/>
        </w:rPr>
        <w:t xml:space="preserve">A.4.1 Objetivo general</w:t>
      </w:r>
    </w:p>
    <w:p>
      <w:pPr>
        <w:spacing w:before="0" w:after="120" w:line="480" w:lineRule="auto"/>
        <w:jc w:val="both"/>
      </w:pPr>
      <w:r>
        <w:t xml:space="preserve">Analizar el uso de la inteligencia artificial en la administración de justicia penal bajo un enfoque de </w:t>
      </w:r>
      <w:r>
        <w:rPr>
          <w:i/>
        </w:rPr>
        <w:t xml:space="preserve">justicia aumentada</w:t>
      </w:r>
      <w:r>
        <w:t xml:space="preserve">, que conciba la incorporación de tecnologías como potenciación del derecho sin sustituir el razonamiento humano, con el fin de proponer parámetros constitucionales y garantistas para su implementación en el proceso penal colombiano.</w:t>
      </w:r>
    </w:p>
    <w:p>
      <w:pPr>
        <w:spacing w:before="160" w:after="100" w:line="240" w:lineRule="auto"/>
        <w:jc w:val="left"/>
        <w:keepNext/>
      </w:pPr>
      <w:r>
        <w:rPr>
          <w:b/>
          <w:sz w:val="26"/>
          <w:szCs w:val="26"/>
        </w:rPr>
        <w:t xml:space="preserve">A.4.2 Objetivos específicos</w:t>
      </w:r>
    </w:p>
    <w:p>
      <w:pPr>
        <w:ind w:left="360"/>
        <w:spacing w:before="0" w:after="40" w:line="360" w:lineRule="auto"/>
      </w:pPr>
      <w:r>
        <w:t xml:space="preserve">1. Identificar el marco normativo, jurisprudencial y doctrinal mediante el cual se ha regulado o analizado en Colombia el uso de la inteligencia artificial en el marco de los procesos judiciales.</w:t>
      </w:r>
    </w:p>
    <w:p>
      <w:pPr>
        <w:ind w:left="360"/>
        <w:spacing w:before="0" w:after="40" w:line="360" w:lineRule="auto"/>
      </w:pPr>
      <w:r>
        <w:t xml:space="preserve">2. Categorizar los riesgos de alucinaciones algorítmicas y de sesgos en el proceso penal.</w:t>
      </w:r>
    </w:p>
    <w:p>
      <w:pPr>
        <w:ind w:left="360"/>
        <w:spacing w:before="0" w:after="40" w:line="360" w:lineRule="auto"/>
      </w:pPr>
      <w:r>
        <w:t xml:space="preserve">3. Determinar los parámetros y garantías empleados en la implementación de la inteligencia artificial por las partes que intervienen en un proceso judicial, a partir del análisis de derecho comparado.</w:t>
      </w:r>
    </w:p>
    <w:p>
      <w:pPr>
        <w:ind w:left="360"/>
        <w:spacing w:before="0" w:after="40" w:line="360" w:lineRule="auto"/>
      </w:pPr>
      <w:r>
        <w:t xml:space="preserve">4. Proponer los parámetros que deben implementarse para el uso de la inteligencia artificial por las partes procesales, mediante un protocolo de transparencia conforme al debido proceso.</w:t>
      </w:r>
    </w:p>
    <w:p>
      <w:pPr>
        <w:spacing w:before="200" w:after="120" w:line="240" w:lineRule="auto"/>
        <w:jc w:val="left"/>
        <w:keepNext/>
      </w:pPr>
      <w:r>
        <w:rPr>
          <w:b/>
          <w:sz w:val="28"/>
          <w:szCs w:val="28"/>
        </w:rPr>
        <w:t xml:space="preserve">A.5 Hipótesis</w:t>
      </w:r>
    </w:p>
    <w:p>
      <w:pPr>
        <w:spacing w:before="0" w:after="120" w:line="480" w:lineRule="auto"/>
        <w:jc w:val="both"/>
      </w:pPr>
      <w:r>
        <w:t xml:space="preserve">El uso de la inteligencia artificial en el proceso penal colombiano, tal como se viene practicando en la actualidad, no cumple con los requisitos de transparencia, verificabilidad y supervisión humana exigidos por la Sentencia T-323 de 2024 y por los principios garantistas del derecho penal, lo que genera riesgos de vulneración de los derechos fundamentales de los intervinientes en el proceso, en particular del imputado o acusado. En consecuencia, solo un modelo de </w:t>
      </w:r>
      <w:r>
        <w:rPr>
          <w:i/>
        </w:rPr>
        <w:t xml:space="preserve">justicia aumentada</w:t>
      </w:r>
      <w:r>
        <w:t xml:space="preserve"> —sustentado en un protocolo de transparencia algorítmica y en un test de compatibilidad constitucional escalonado— permite armonizar la eficiencia tecnológica con las garantías del debido proceso penal.</w:t>
      </w:r>
    </w:p>
    <w:p>
      <w:pPr>
        <w:spacing w:before="200" w:after="120" w:line="240" w:lineRule="auto"/>
        <w:jc w:val="left"/>
        <w:keepNext/>
      </w:pPr>
      <w:r>
        <w:rPr>
          <w:b/>
          <w:sz w:val="28"/>
          <w:szCs w:val="28"/>
        </w:rPr>
        <w:t xml:space="preserve">A.6 Tratamiento de variables</w:t>
      </w:r>
    </w:p>
    <w:p>
      <w:pPr>
        <w:spacing w:before="0" w:after="120" w:line="480" w:lineRule="auto"/>
        <w:jc w:val="both"/>
      </w:pPr>
      <w:r>
        <w:t xml:space="preserve">Dada la naturaleza cualitativa del estudio, las variables se conciben como categorías analíticas que orientan la indagación, no como magnitudes susceptibles de cuantificación simple. La Tabla 3 presenta su operacionalización.</w:t>
      </w:r>
    </w:p>
    <w:p>
      <w:pPr>
        <w:spacing w:before="0" w:after="120" w:line="480" w:lineRule="auto"/>
        <w:jc w:val="both"/>
      </w:pPr>
      <w:r>
        <w:rPr>
          <w:b/>
        </w:rPr>
        <w:t xml:space="preserve">Tabla 3</w:t>
      </w:r>
    </w:p>
    <w:p>
      <w:pPr>
        <w:spacing w:before="0" w:after="120" w:line="480" w:lineRule="auto"/>
        <w:jc w:val="both"/>
      </w:pPr>
      <w:r>
        <w:rPr>
          <w:i/>
        </w:rPr>
        <w:t xml:space="preserve">Operacionalización de variables analíticas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340"/>
        <w:gridCol w:w="2340"/>
        <w:gridCol w:w="2340"/>
        <w:gridCol w:w="2340"/>
      </w:tblGrid>
      <w:tr>
        <w:tc>
          <w:tcPr>
            <w:tcW w:w="2340" w:type="dxa"/>
            <w:shd w:val="clear" w:color="auto" w:fill="E7E6E6"/>
            <w:vAlign w:val="center"/>
          </w:tcPr>
          <w:p>
            <w:pPr>
              <w:spacing w:before="0" w:after="20" w:line="240" w:lineRule="auto"/>
            </w:pPr>
            <w:r>
              <w:rPr>
                <w:b/>
                <w:sz w:val="22"/>
                <w:szCs w:val="22"/>
              </w:rPr>
              <w:t xml:space="preserve">Variable</w:t>
            </w:r>
          </w:p>
        </w:tc>
        <w:tc>
          <w:tcPr>
            <w:tcW w:w="2340" w:type="dxa"/>
            <w:shd w:val="clear" w:color="auto" w:fill="E7E6E6"/>
            <w:vAlign w:val="center"/>
          </w:tcPr>
          <w:p>
            <w:pPr>
              <w:spacing w:before="0" w:after="20" w:line="240" w:lineRule="auto"/>
            </w:pPr>
            <w:r>
              <w:rPr>
                <w:b/>
                <w:sz w:val="22"/>
                <w:szCs w:val="22"/>
              </w:rPr>
              <w:t xml:space="preserve">Tipo</w:t>
            </w:r>
          </w:p>
        </w:tc>
        <w:tc>
          <w:tcPr>
            <w:tcW w:w="2340" w:type="dxa"/>
            <w:shd w:val="clear" w:color="auto" w:fill="E7E6E6"/>
            <w:vAlign w:val="center"/>
          </w:tcPr>
          <w:p>
            <w:pPr>
              <w:spacing w:before="0" w:after="20" w:line="240" w:lineRule="auto"/>
            </w:pPr>
            <w:r>
              <w:rPr>
                <w:b/>
                <w:sz w:val="22"/>
                <w:szCs w:val="22"/>
              </w:rPr>
              <w:t xml:space="preserve">Definición operativa</w:t>
            </w:r>
          </w:p>
        </w:tc>
        <w:tc>
          <w:tcPr>
            <w:tcW w:w="2340" w:type="dxa"/>
            <w:shd w:val="clear" w:color="auto" w:fill="E7E6E6"/>
            <w:vAlign w:val="center"/>
          </w:tcPr>
          <w:p>
            <w:pPr>
              <w:spacing w:before="0" w:after="20" w:line="240" w:lineRule="auto"/>
            </w:pPr>
            <w:r>
              <w:rPr>
                <w:b/>
                <w:sz w:val="22"/>
                <w:szCs w:val="22"/>
              </w:rPr>
              <w:t xml:space="preserve">Indicadores / categorías de análisis</w:t>
            </w:r>
          </w:p>
        </w:tc>
      </w:tr>
      <w:tr>
        <w:tc>
          <w:tcPr>
            <w:tcW w:w="2340" w:type="dxa"/>
            <w:vAlign w:val="center"/>
          </w:tcPr>
          <w:p>
            <w:pPr>
              <w:spacing w:before="0" w:after="20" w:line="240" w:lineRule="auto"/>
            </w:pPr>
            <w:r>
              <w:rPr>
                <w:sz w:val="22"/>
                <w:szCs w:val="22"/>
              </w:rPr>
              <w:t xml:space="preserve">Uso de IA en el proceso penal</w:t>
            </w:r>
          </w:p>
        </w:tc>
        <w:tc>
          <w:tcPr>
            <w:tcW w:w="2340" w:type="dxa"/>
            <w:vAlign w:val="center"/>
          </w:tcPr>
          <w:p>
            <w:pPr>
              <w:spacing w:before="0" w:after="20" w:line="240" w:lineRule="auto"/>
            </w:pPr>
            <w:r>
              <w:rPr>
                <w:sz w:val="22"/>
                <w:szCs w:val="22"/>
              </w:rPr>
              <w:t xml:space="preserve">Independiente</w:t>
            </w:r>
          </w:p>
        </w:tc>
        <w:tc>
          <w:tcPr>
            <w:tcW w:w="2340" w:type="dxa"/>
            <w:vAlign w:val="center"/>
          </w:tcPr>
          <w:p>
            <w:pPr>
              <w:spacing w:before="0" w:after="20" w:line="240" w:lineRule="auto"/>
            </w:pPr>
            <w:r>
              <w:rPr>
                <w:sz w:val="22"/>
                <w:szCs w:val="22"/>
              </w:rPr>
              <w:t xml:space="preserve">Empleo de herramientas de IA por jueces, fiscales y defensores en actuaciones penales</w:t>
            </w:r>
          </w:p>
        </w:tc>
        <w:tc>
          <w:tcPr>
            <w:tcW w:w="2340" w:type="dxa"/>
            <w:vAlign w:val="center"/>
          </w:tcPr>
          <w:p>
            <w:pPr>
              <w:spacing w:before="0" w:after="20" w:line="240" w:lineRule="auto"/>
            </w:pPr>
            <w:r>
              <w:rPr>
                <w:sz w:val="22"/>
                <w:szCs w:val="22"/>
              </w:rPr>
              <w:t xml:space="preserve">Tipo de herramienta; etapa procesal; finalidad (apoyo vs. decisión); revelación del uso</w:t>
            </w:r>
          </w:p>
        </w:tc>
      </w:tr>
      <w:tr>
        <w:tc>
          <w:tcPr>
            <w:tcW w:w="2340" w:type="dxa"/>
            <w:vAlign w:val="center"/>
          </w:tcPr>
          <w:p>
            <w:pPr>
              <w:spacing w:before="0" w:after="20" w:line="240" w:lineRule="auto"/>
            </w:pPr>
            <w:r>
              <w:rPr>
                <w:sz w:val="22"/>
                <w:szCs w:val="22"/>
              </w:rPr>
              <w:t xml:space="preserve">Garantías del debido proceso penal</w:t>
            </w:r>
          </w:p>
        </w:tc>
        <w:tc>
          <w:tcPr>
            <w:tcW w:w="2340" w:type="dxa"/>
            <w:vAlign w:val="center"/>
          </w:tcPr>
          <w:p>
            <w:pPr>
              <w:spacing w:before="0" w:after="20" w:line="240" w:lineRule="auto"/>
            </w:pPr>
            <w:r>
              <w:rPr>
                <w:sz w:val="22"/>
                <w:szCs w:val="22"/>
              </w:rPr>
              <w:t xml:space="preserve">Dependiente</w:t>
            </w:r>
          </w:p>
        </w:tc>
        <w:tc>
          <w:tcPr>
            <w:tcW w:w="2340" w:type="dxa"/>
            <w:vAlign w:val="center"/>
          </w:tcPr>
          <w:p>
            <w:pPr>
              <w:spacing w:before="0" w:after="20" w:line="240" w:lineRule="auto"/>
            </w:pPr>
            <w:r>
              <w:rPr>
                <w:sz w:val="22"/>
                <w:szCs w:val="22"/>
              </w:rPr>
              <w:t xml:space="preserve">Vigencia efectiva de los principios procesales penales</w:t>
            </w:r>
          </w:p>
        </w:tc>
        <w:tc>
          <w:tcPr>
            <w:tcW w:w="2340" w:type="dxa"/>
            <w:vAlign w:val="center"/>
          </w:tcPr>
          <w:p>
            <w:pPr>
              <w:spacing w:before="0" w:after="20" w:line="240" w:lineRule="auto"/>
            </w:pPr>
            <w:r>
              <w:rPr>
                <w:sz w:val="22"/>
                <w:szCs w:val="22"/>
              </w:rPr>
              <w:t xml:space="preserve">Inmediación; presunción de inocencia; sana crítica; juez natural; deber de motivación; contradicción</w:t>
            </w:r>
          </w:p>
        </w:tc>
      </w:tr>
      <w:tr>
        <w:tc>
          <w:tcPr>
            <w:tcW w:w="2340" w:type="dxa"/>
            <w:vAlign w:val="center"/>
          </w:tcPr>
          <w:p>
            <w:pPr>
              <w:spacing w:before="0" w:after="20" w:line="240" w:lineRule="auto"/>
            </w:pPr>
            <w:r>
              <w:rPr>
                <w:sz w:val="22"/>
                <w:szCs w:val="22"/>
              </w:rPr>
              <w:t xml:space="preserve">Transparencia algorítmica</w:t>
            </w:r>
          </w:p>
        </w:tc>
        <w:tc>
          <w:tcPr>
            <w:tcW w:w="2340" w:type="dxa"/>
            <w:vAlign w:val="center"/>
          </w:tcPr>
          <w:p>
            <w:pPr>
              <w:spacing w:before="0" w:after="20" w:line="240" w:lineRule="auto"/>
            </w:pPr>
            <w:r>
              <w:rPr>
                <w:sz w:val="22"/>
                <w:szCs w:val="22"/>
              </w:rPr>
              <w:t xml:space="preserve">Interviniente</w:t>
            </w:r>
          </w:p>
        </w:tc>
        <w:tc>
          <w:tcPr>
            <w:tcW w:w="2340" w:type="dxa"/>
            <w:vAlign w:val="center"/>
          </w:tcPr>
          <w:p>
            <w:pPr>
              <w:spacing w:before="0" w:after="20" w:line="240" w:lineRule="auto"/>
            </w:pPr>
            <w:r>
              <w:rPr>
                <w:sz w:val="22"/>
                <w:szCs w:val="22"/>
              </w:rPr>
              <w:t xml:space="preserve">Grado de explicabilidad, trazabilidad y revelación del uso de IA</w:t>
            </w:r>
          </w:p>
        </w:tc>
        <w:tc>
          <w:tcPr>
            <w:tcW w:w="2340" w:type="dxa"/>
            <w:vAlign w:val="center"/>
          </w:tcPr>
          <w:p>
            <w:pPr>
              <w:spacing w:before="0" w:after="20" w:line="240" w:lineRule="auto"/>
            </w:pPr>
            <w:r>
              <w:rPr>
                <w:sz w:val="22"/>
                <w:szCs w:val="22"/>
              </w:rPr>
              <w:t xml:space="preserve">Revelación documentada; explicabilidad; auditabilidad; acceso de la defensa</w:t>
            </w:r>
          </w:p>
        </w:tc>
      </w:tr>
      <w:tr>
        <w:tc>
          <w:tcPr>
            <w:tcW w:w="2340" w:type="dxa"/>
            <w:vAlign w:val="center"/>
          </w:tcPr>
          <w:p>
            <w:pPr>
              <w:spacing w:before="0" w:after="20" w:line="240" w:lineRule="auto"/>
            </w:pPr>
            <w:r>
              <w:rPr>
                <w:sz w:val="22"/>
                <w:szCs w:val="22"/>
              </w:rPr>
              <w:t xml:space="preserve">Riesgos algorítmicos</w:t>
            </w:r>
          </w:p>
        </w:tc>
        <w:tc>
          <w:tcPr>
            <w:tcW w:w="2340" w:type="dxa"/>
            <w:vAlign w:val="center"/>
          </w:tcPr>
          <w:p>
            <w:pPr>
              <w:spacing w:before="0" w:after="20" w:line="240" w:lineRule="auto"/>
            </w:pPr>
            <w:r>
              <w:rPr>
                <w:sz w:val="22"/>
                <w:szCs w:val="22"/>
              </w:rPr>
              <w:t xml:space="preserve">Interviniente</w:t>
            </w:r>
          </w:p>
        </w:tc>
        <w:tc>
          <w:tcPr>
            <w:tcW w:w="2340" w:type="dxa"/>
            <w:vAlign w:val="center"/>
          </w:tcPr>
          <w:p>
            <w:pPr>
              <w:spacing w:before="0" w:after="20" w:line="240" w:lineRule="auto"/>
            </w:pPr>
            <w:r>
              <w:rPr>
                <w:sz w:val="22"/>
                <w:szCs w:val="22"/>
              </w:rPr>
              <w:t xml:space="preserve">Probabilidad de alucinaciones y sesgos</w:t>
            </w:r>
          </w:p>
        </w:tc>
        <w:tc>
          <w:tcPr>
            <w:tcW w:w="2340" w:type="dxa"/>
            <w:vAlign w:val="center"/>
          </w:tcPr>
          <w:p>
            <w:pPr>
              <w:spacing w:before="0" w:after="20" w:line="240" w:lineRule="auto"/>
            </w:pPr>
            <w:r>
              <w:rPr>
                <w:sz w:val="22"/>
                <w:szCs w:val="22"/>
              </w:rPr>
              <w:t xml:space="preserve">Tasa de error; sesgos en datos de entrenamiento; opacidad ("caja negra")</w:t>
            </w:r>
          </w:p>
        </w:tc>
      </w:tr>
      <w:tr>
        <w:tc>
          <w:tcPr>
            <w:tcW w:w="2340" w:type="dxa"/>
            <w:vAlign w:val="center"/>
          </w:tcPr>
          <w:p>
            <w:pPr>
              <w:spacing w:before="0" w:after="20" w:line="240" w:lineRule="auto"/>
            </w:pPr>
            <w:r>
              <w:rPr>
                <w:sz w:val="22"/>
                <w:szCs w:val="22"/>
              </w:rPr>
              <w:t xml:space="preserve">Control humano significativo</w:t>
            </w:r>
          </w:p>
        </w:tc>
        <w:tc>
          <w:tcPr>
            <w:tcW w:w="2340" w:type="dxa"/>
            <w:vAlign w:val="center"/>
          </w:tcPr>
          <w:p>
            <w:pPr>
              <w:spacing w:before="0" w:after="20" w:line="240" w:lineRule="auto"/>
            </w:pPr>
            <w:r>
              <w:rPr>
                <w:sz w:val="22"/>
                <w:szCs w:val="22"/>
              </w:rPr>
              <w:t xml:space="preserve">Moderadora</w:t>
            </w:r>
          </w:p>
        </w:tc>
        <w:tc>
          <w:tcPr>
            <w:tcW w:w="2340" w:type="dxa"/>
            <w:vAlign w:val="center"/>
          </w:tcPr>
          <w:p>
            <w:pPr>
              <w:spacing w:before="0" w:after="20" w:line="240" w:lineRule="auto"/>
            </w:pPr>
            <w:r>
              <w:rPr>
                <w:sz w:val="22"/>
                <w:szCs w:val="22"/>
              </w:rPr>
              <w:t xml:space="preserve">Capacidad real del operador de verificar, corregir o descartar la salida del sistema</w:t>
            </w:r>
          </w:p>
        </w:tc>
        <w:tc>
          <w:tcPr>
            <w:tcW w:w="2340" w:type="dxa"/>
            <w:vAlign w:val="center"/>
          </w:tcPr>
          <w:p>
            <w:pPr>
              <w:spacing w:before="0" w:after="20" w:line="240" w:lineRule="auto"/>
            </w:pPr>
            <w:r>
              <w:rPr>
                <w:sz w:val="22"/>
                <w:szCs w:val="22"/>
              </w:rPr>
              <w:t xml:space="preserve">Verificación de fuentes; motivación autónoma; decisión final humana</w:t>
            </w:r>
          </w:p>
        </w:tc>
      </w:tr>
    </w:tbl>
    <w:p>
      <w:pPr>
        <w:spacing w:before="0" w:after="120" w:line="240" w:lineRule="auto"/>
      </w:pPr>
    </w:p>
    <w:p>
      <w:pPr>
        <w:spacing w:before="0" w:after="120" w:line="480" w:lineRule="auto"/>
        <w:jc w:val="both"/>
      </w:pPr>
      <w:r>
        <w:rPr>
          <w:i/>
        </w:rPr>
        <w:t xml:space="preserve">Nota.</w:t>
      </w:r>
      <w:r>
        <w:t xml:space="preserve"> Elaboración propia.</w:t>
      </w:r>
    </w:p>
    <w:p>
      <w:pPr>
        <w:spacing w:before="200" w:after="120" w:line="240" w:lineRule="auto"/>
        <w:jc w:val="left"/>
        <w:keepNext/>
      </w:pPr>
      <w:r>
        <w:rPr>
          <w:b/>
          <w:sz w:val="28"/>
          <w:szCs w:val="28"/>
        </w:rPr>
        <w:t xml:space="preserve">A.7 Diseño metodológico</w:t>
      </w:r>
    </w:p>
    <w:p>
      <w:pPr>
        <w:spacing w:before="160" w:after="100" w:line="240" w:lineRule="auto"/>
        <w:jc w:val="left"/>
        <w:keepNext/>
      </w:pPr>
      <w:r>
        <w:rPr>
          <w:b/>
          <w:sz w:val="26"/>
          <w:szCs w:val="26"/>
        </w:rPr>
        <w:t xml:space="preserve">A.7.1 Enfoque y tipo de investigación</w:t>
      </w:r>
    </w:p>
    <w:p>
      <w:pPr>
        <w:spacing w:before="0" w:after="120" w:line="480" w:lineRule="auto"/>
        <w:jc w:val="both"/>
      </w:pPr>
      <w:r>
        <w:t xml:space="preserve">La investigación adopta un </w:t>
      </w:r>
      <w:r>
        <w:rPr>
          <w:b/>
        </w:rPr>
        <w:t xml:space="preserve">enfoque cualitativo de naturaleza jurídica</w:t>
      </w:r>
      <w:r>
        <w:t xml:space="preserve">, fundamentado en la investigación socio-jurídica y el análisis documental. El diseño es </w:t>
      </w:r>
      <w:r>
        <w:rPr>
          <w:b/>
        </w:rPr>
        <w:t xml:space="preserve">descriptivo-propositivo</w:t>
      </w:r>
      <w:r>
        <w:t xml:space="preserve">: descriptivo, en cuanto identifica y sistematiza el estado actual del uso de la IA en la justicia penal colombiana; y propositivo, en cuanto formula parámetros y protocolos específicos para su regulación. El método predominante es el </w:t>
      </w:r>
      <w:r>
        <w:rPr>
          <w:b/>
        </w:rPr>
        <w:t xml:space="preserve">analítico-sintético</w:t>
      </w:r>
      <w:r>
        <w:t xml:space="preserve">, complementado con el </w:t>
      </w:r>
      <w:r>
        <w:rPr>
          <w:b/>
        </w:rPr>
        <w:t xml:space="preserve">método hermenéutico</w:t>
      </w:r>
      <w:r>
        <w:t xml:space="preserve"> (para la interpretación de normas y jurisprudencia) y el </w:t>
      </w:r>
      <w:r>
        <w:rPr>
          <w:b/>
        </w:rPr>
        <w:t xml:space="preserve">método comparado</w:t>
      </w:r>
      <w:r>
        <w:t xml:space="preserve"> (para el análisis de ordenamientos extranjeros).</w:t>
      </w:r>
    </w:p>
    <w:p>
      <w:pPr>
        <w:spacing w:before="160" w:after="100" w:line="240" w:lineRule="auto"/>
        <w:jc w:val="left"/>
        <w:keepNext/>
      </w:pPr>
      <w:r>
        <w:rPr>
          <w:b/>
          <w:sz w:val="26"/>
          <w:szCs w:val="26"/>
        </w:rPr>
        <w:t xml:space="preserve">A.7.2 Técnicas e instrumentos</w:t>
      </w:r>
    </w:p>
    <w:p>
      <w:pPr>
        <w:spacing w:before="0" w:after="120" w:line="480" w:lineRule="auto"/>
        <w:jc w:val="both"/>
      </w:pPr>
      <w:r>
        <w:t xml:space="preserve">Se emplean tres técnicas: (i) el </w:t>
      </w:r>
      <w:r>
        <w:rPr>
          <w:b/>
        </w:rPr>
        <w:t xml:space="preserve">análisis documental</w:t>
      </w:r>
      <w:r>
        <w:t xml:space="preserve"> de fuentes normativas, jurisprudenciales y doctrinales, mediante fichas de análisis; (ii) el </w:t>
      </w:r>
      <w:r>
        <w:rPr>
          <w:b/>
        </w:rPr>
        <w:t xml:space="preserve">análisis jurisprudencial</w:t>
      </w:r>
      <w:r>
        <w:t xml:space="preserve"> estructurado de la Sentencia T-323 de 2024 y de los precedentes relevantes, identificando hechos, problema jurídico, </w:t>
      </w:r>
      <w:r>
        <w:rPr>
          <w:i/>
        </w:rPr>
        <w:t xml:space="preserve">ratio decidendi</w:t>
      </w:r>
      <w:r>
        <w:t xml:space="preserve"> y </w:t>
      </w:r>
      <w:r>
        <w:rPr>
          <w:i/>
        </w:rPr>
        <w:t xml:space="preserve">obiter dicta</w:t>
      </w:r>
      <w:r>
        <w:t xml:space="preserve">; y (iii) el </w:t>
      </w:r>
      <w:r>
        <w:rPr>
          <w:b/>
        </w:rPr>
        <w:t xml:space="preserve">análisis de derecho comparado</w:t>
      </w:r>
      <w:r>
        <w:t xml:space="preserve">, mediante una matriz que contrasta los ordenamientos seleccionados según criterios homogéneos.</w:t>
      </w:r>
    </w:p>
    <w:p>
      <w:pPr>
        <w:spacing w:before="160" w:after="100" w:line="240" w:lineRule="auto"/>
        <w:jc w:val="left"/>
        <w:keepNext/>
      </w:pPr>
      <w:r>
        <w:rPr>
          <w:b/>
          <w:sz w:val="26"/>
          <w:szCs w:val="26"/>
        </w:rPr>
        <w:t xml:space="preserve">A.7.3 Selección de los ordenamientos comparados</w:t>
      </w:r>
    </w:p>
    <w:p>
      <w:pPr>
        <w:spacing w:before="0" w:after="120" w:line="480" w:lineRule="auto"/>
        <w:jc w:val="both"/>
      </w:pPr>
      <w:r>
        <w:t xml:space="preserve">La selección de la Unión Europea, los Estados Unidos, Argentina y Brasil responde a criterios de </w:t>
      </w:r>
      <w:r>
        <w:rPr>
          <w:b/>
        </w:rPr>
        <w:t xml:space="preserve">relevancia normativa</w:t>
      </w:r>
      <w:r>
        <w:t xml:space="preserve"> (existencia de regulación o jurisprudencia significativa sobre IA judicial) y de </w:t>
      </w:r>
      <w:r>
        <w:rPr>
          <w:b/>
        </w:rPr>
        <w:t xml:space="preserve">relevancia contextual</w:t>
      </w:r>
      <w:r>
        <w:t xml:space="preserve"> (proximidad jurídica o influencia sobre el constitucionalismo colombiano).</w:t>
      </w:r>
    </w:p>
    <w:p>
      <w:pPr>
        <w:spacing w:before="160" w:after="100" w:line="240" w:lineRule="auto"/>
        <w:jc w:val="left"/>
        <w:keepNext/>
      </w:pPr>
      <w:r>
        <w:rPr>
          <w:b/>
          <w:sz w:val="26"/>
          <w:szCs w:val="26"/>
        </w:rPr>
        <w:t xml:space="preserve">A.7.4 Fases de la investigación</w:t>
      </w:r>
    </w:p>
    <w:p>
      <w:pPr>
        <w:ind w:left="360"/>
        <w:spacing w:before="0" w:after="40" w:line="360" w:lineRule="auto"/>
      </w:pPr>
      <w:r>
        <w:t xml:space="preserve">1. </w:t>
      </w:r>
      <w:r>
        <w:rPr>
          <w:b/>
        </w:rPr>
        <w:t xml:space="preserve">Fase de sistematización</w:t>
      </w:r>
      <w:r>
        <w:t xml:space="preserve"> del marco normativo, jurisprudencial y doctrinal (Capítulo 1).</w:t>
      </w:r>
    </w:p>
    <w:p>
      <w:pPr>
        <w:ind w:left="360"/>
        <w:spacing w:before="0" w:after="40" w:line="360" w:lineRule="auto"/>
      </w:pPr>
      <w:r>
        <w:t xml:space="preserve">2. </w:t>
      </w:r>
      <w:r>
        <w:rPr>
          <w:b/>
        </w:rPr>
        <w:t xml:space="preserve">Fase de categorización</w:t>
      </w:r>
      <w:r>
        <w:t xml:space="preserve"> de los riesgos algorítmicos en el proceso penal (Capítulo 2).</w:t>
      </w:r>
    </w:p>
    <w:p>
      <w:pPr>
        <w:ind w:left="360"/>
        <w:spacing w:before="0" w:after="40" w:line="360" w:lineRule="auto"/>
      </w:pPr>
      <w:r>
        <w:t xml:space="preserve">3. </w:t>
      </w:r>
      <w:r>
        <w:rPr>
          <w:b/>
        </w:rPr>
        <w:t xml:space="preserve">Fase comparada</w:t>
      </w:r>
      <w:r>
        <w:t xml:space="preserve"> de identificación de parámetros y garantías (Capítulo 3).</w:t>
      </w:r>
    </w:p>
    <w:p>
      <w:pPr>
        <w:ind w:left="360"/>
        <w:spacing w:before="0" w:after="40" w:line="360" w:lineRule="auto"/>
      </w:pPr>
      <w:r>
        <w:t xml:space="preserve">4. </w:t>
      </w:r>
      <w:r>
        <w:rPr>
          <w:b/>
        </w:rPr>
        <w:t xml:space="preserve">Fase propositiva</w:t>
      </w:r>
      <w:r>
        <w:t xml:space="preserve"> de formulación del protocolo de transparencia y del test de compatibilidad constitucional (Capítulo 4).</w:t>
      </w:r>
    </w:p>
    <w:p>
      <w:r>
        <w:br w:type="page"/>
      </w:r>
    </w:p>
    <w:p>
      <w:pPr>
        <w:spacing w:before="240" w:after="160" w:line="240" w:lineRule="auto"/>
        <w:jc w:val="center"/>
        <w:keepNext/>
      </w:pPr>
      <w:r>
        <w:rPr>
          <w:b/>
          <w:sz w:val="32"/>
          <w:szCs w:val="32"/>
        </w:rPr>
        <w:t xml:space="preserve">CAPÍTULO 1. MARCO NORMATIVO, JURISPRUDENCIAL Y DOCTRINAL DE LA IA EN LA ADMINISTRACIÓN DE JUSTICIA EN COLOMBIA</w:t>
      </w:r>
    </w:p>
    <w:p>
      <w:pPr>
        <w:spacing w:before="40" w:after="120" w:line="360" w:lineRule="auto"/>
        <w:jc w:val="left"/>
      </w:pPr>
      <w:r>
        <w:rPr>
          <w:sz w:val="22"/>
          <w:szCs w:val="22"/>
        </w:rPr>
        <w:t xml:space="preserve">Este capítulo desarrolla el primer objetivo específico: identificar el marco normativo, jurisprudencial y doctrinal mediante el cual se ha regulado o analizado en Colombia el uso de la inteligencia artificial en los procesos judiciales.</w:t>
      </w:r>
    </w:p>
    <w:p>
      <w:pPr>
        <w:spacing w:before="200" w:after="120" w:line="240" w:lineRule="auto"/>
        <w:jc w:val="left"/>
        <w:keepNext/>
      </w:pPr>
      <w:r>
        <w:rPr>
          <w:b/>
          <w:sz w:val="28"/>
          <w:szCs w:val="28"/>
        </w:rPr>
        <w:t xml:space="preserve">1.1 Planteamiento y delimitación conceptual</w:t>
      </w:r>
    </w:p>
    <w:p>
      <w:pPr>
        <w:spacing w:before="0" w:after="120" w:line="480" w:lineRule="auto"/>
        <w:jc w:val="both"/>
      </w:pPr>
      <w:r>
        <w:t xml:space="preserve">Antes de abordar el marco jurídico, conviene precisar el objeto de estudio. Por </w:t>
      </w:r>
      <w:r>
        <w:rPr>
          <w:b/>
        </w:rPr>
        <w:t xml:space="preserve">inteligencia artificial</w:t>
      </w:r>
      <w:r>
        <w:t xml:space="preserve"> se entiende, siguiendo la definición del Reglamento (UE) 2024/1689, un sistema basado en máquinas diseñado para funcionar con distintos grados de autonomía y que, a partir de la información que recibe, genera resultados —como predicciones, contenidos, recomendaciones o decisiones— capaces de influir en entornos físicos o virtuales (Unión Europea, 2024). En el ámbito judicial interesan dos grandes familias: (i) los </w:t>
      </w:r>
      <w:r>
        <w:rPr>
          <w:b/>
        </w:rPr>
        <w:t xml:space="preserve">sistemas de IA generativa</w:t>
      </w:r>
      <w:r>
        <w:t xml:space="preserve"> (modelos extensos de lenguaje, como ChatGPT o Gemini), que producen texto a partir de inferencias probabilísticas; y (ii) los </w:t>
      </w:r>
      <w:r>
        <w:rPr>
          <w:b/>
        </w:rPr>
        <w:t xml:space="preserve">sistemas predictivos o actuariales</w:t>
      </w:r>
      <w:r>
        <w:t xml:space="preserve"> (como COMPAS o PretorIA), que clasifican, priorizan o estiman riesgos a partir de datos históricos.</w:t>
      </w:r>
    </w:p>
    <w:p>
      <w:pPr>
        <w:spacing w:before="0" w:after="120" w:line="480" w:lineRule="auto"/>
        <w:jc w:val="both"/>
      </w:pPr>
      <w:r>
        <w:t xml:space="preserve">La delimitación temática del estudio se circunscribe al </w:t>
      </w:r>
      <w:r>
        <w:rPr>
          <w:b/>
        </w:rPr>
        <w:t xml:space="preserve">proceso penal acusatorio colombiano</w:t>
      </w:r>
      <w:r>
        <w:t xml:space="preserve"> (Ley 906 de 2004) y a la actuación de sus tres actores principales —juez, fiscal y defensa—. Quedan excluidas, por exceder el alcance, las aplicaciones de IA en la gestión meramente administrativa de la Rama Judicial que no inciden en la decisión.</w:t>
      </w:r>
    </w:p>
    <w:p>
      <w:pPr>
        <w:spacing w:before="200" w:after="120" w:line="240" w:lineRule="auto"/>
        <w:jc w:val="left"/>
        <w:keepNext/>
      </w:pPr>
      <w:r>
        <w:rPr>
          <w:b/>
          <w:sz w:val="28"/>
          <w:szCs w:val="28"/>
        </w:rPr>
        <w:t xml:space="preserve">1.2 Marco histórico: tecnología y administración de justicia</w:t>
      </w:r>
    </w:p>
    <w:p>
      <w:pPr>
        <w:spacing w:before="0" w:after="120" w:line="480" w:lineRule="auto"/>
        <w:jc w:val="both"/>
      </w:pPr>
      <w:r>
        <w:t xml:space="preserve">La relación entre tecnología y administración de justicia se remonta a los primeros esfuerzos de racionalización y sistematización del derecho. Sin embargo, la incorporación de sistemas computacionales en la toma de decisiones judiciales constituye un fenómeno relativamente reciente, jalonado por hitos que conviene reconstruir para comprender la naturaleza del salto cualitativo que representa la IA generativa.</w:t>
      </w:r>
    </w:p>
    <w:p>
      <w:pPr>
        <w:spacing w:before="0" w:after="120" w:line="480" w:lineRule="auto"/>
        <w:jc w:val="both"/>
      </w:pPr>
      <w:r>
        <w:t xml:space="preserve">La invención de la imprenta de tipos móviles transformó la codificación y la difusión del derecho, posibilitando la circulación de cuerpos normativos uniformes. Siglos después, la grabación magnetofónica y, más tarde, la videograbación renovaron la práctica del juicio oral, permitiendo documentar la inmediación y "refrescar la memoria" de los jueces. En la segunda mitad del siglo XX, la informática jurídica documental dio lugar a las primeras bases de datos de jurisprudencia y legislación. Ya en el siglo XXI, los sistemas de gestión electrónica de expedientes modificaron la tramitación procesal, redujeron los desplazamientos físicos y optimizaron el trabajo de los despachos. La pandemia de 2020 aceleró esta digitalización: en Colombia, el Decreto Legislativo 806 de 2020 —luego incorporado de forma permanente por la Ley 2213 de 2022— consolidó el uso de las TIC en las actuaciones judiciales.</w:t>
      </w:r>
    </w:p>
    <w:p>
      <w:pPr>
        <w:spacing w:before="0" w:after="120" w:line="480" w:lineRule="auto"/>
        <w:jc w:val="both"/>
      </w:pPr>
      <w:r>
        <w:t xml:space="preserve">El punto de inflexión contemporáneo es la irrupción de la </w:t>
      </w:r>
      <w:r>
        <w:rPr>
          <w:b/>
        </w:rPr>
        <w:t xml:space="preserve">IA generativa y de los sistemas de soporte a la decisión</w:t>
      </w:r>
      <w:r>
        <w:t xml:space="preserve">. A diferencia de las tecnologías anteriores, de naturaleza instrumental o documental, estos sistemas son capaces de procesar, inferir y proponer contenidos jurídicos de manera autónoma, lo que interpela directamente el núcleo de la función jurisdiccional. En el plano internacional, el hito paradigmático es el caso </w:t>
      </w:r>
      <w:r>
        <w:rPr>
          <w:i/>
        </w:rPr>
        <w:t xml:space="preserve">State v. Loomis</w:t>
      </w:r>
      <w:r>
        <w:t xml:space="preserve"> (2016), en el que la Corte Suprema de Wisconsin avaló —con matices— el uso del algoritmo propietario COMPAS en la determinación de la pena, sentando el primer gran precedente sobre los riesgos de los algoritmos opacos en la justicia penal (caso que se analiza en detalle en el Capítulo 3). En Colombia, el hito es la utilización de ChatGPT por un juez de Cartagena en 2023, antecedente fáctico de la Sentencia T-323 de 2024.</w:t>
      </w:r>
    </w:p>
    <w:p>
      <w:pPr>
        <w:spacing w:before="0" w:after="120" w:line="480" w:lineRule="auto"/>
        <w:jc w:val="both"/>
      </w:pPr>
      <w:r>
        <w:rPr>
          <w:b/>
        </w:rPr>
        <w:t xml:space="preserve">Tabla 1</w:t>
      </w:r>
    </w:p>
    <w:p>
      <w:pPr>
        <w:spacing w:before="0" w:after="120" w:line="480" w:lineRule="auto"/>
        <w:jc w:val="both"/>
      </w:pPr>
      <w:r>
        <w:rPr>
          <w:i/>
        </w:rPr>
        <w:t xml:space="preserve">Hitos históricos de la relación entre tecnología y justicia</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3120"/>
        <w:gridCol w:w="3120"/>
        <w:gridCol w:w="3120"/>
      </w:tblGrid>
      <w:tr>
        <w:tc>
          <w:tcPr>
            <w:tcW w:w="3120" w:type="dxa"/>
            <w:shd w:val="clear" w:color="auto" w:fill="E7E6E6"/>
            <w:vAlign w:val="center"/>
          </w:tcPr>
          <w:p>
            <w:pPr>
              <w:spacing w:before="0" w:after="20" w:line="240" w:lineRule="auto"/>
            </w:pPr>
            <w:r>
              <w:rPr>
                <w:b/>
                <w:sz w:val="22"/>
                <w:szCs w:val="22"/>
              </w:rPr>
              <w:t xml:space="preserve">Etapa</w:t>
            </w:r>
          </w:p>
        </w:tc>
        <w:tc>
          <w:tcPr>
            <w:tcW w:w="3120" w:type="dxa"/>
            <w:shd w:val="clear" w:color="auto" w:fill="E7E6E6"/>
            <w:vAlign w:val="center"/>
          </w:tcPr>
          <w:p>
            <w:pPr>
              <w:spacing w:before="0" w:after="20" w:line="240" w:lineRule="auto"/>
            </w:pPr>
            <w:r>
              <w:rPr>
                <w:b/>
                <w:sz w:val="22"/>
                <w:szCs w:val="22"/>
              </w:rPr>
              <w:t xml:space="preserve">Tecnología</w:t>
            </w:r>
          </w:p>
        </w:tc>
        <w:tc>
          <w:tcPr>
            <w:tcW w:w="3120" w:type="dxa"/>
            <w:shd w:val="clear" w:color="auto" w:fill="E7E6E6"/>
            <w:vAlign w:val="center"/>
          </w:tcPr>
          <w:p>
            <w:pPr>
              <w:spacing w:before="0" w:after="20" w:line="240" w:lineRule="auto"/>
            </w:pPr>
            <w:r>
              <w:rPr>
                <w:b/>
                <w:sz w:val="22"/>
                <w:szCs w:val="22"/>
              </w:rPr>
              <w:t xml:space="preserve">Impacto en la función judicial</w:t>
            </w:r>
          </w:p>
        </w:tc>
      </w:tr>
      <w:tr>
        <w:tc>
          <w:tcPr>
            <w:tcW w:w="3120" w:type="dxa"/>
            <w:vAlign w:val="center"/>
          </w:tcPr>
          <w:p>
            <w:pPr>
              <w:spacing w:before="0" w:after="20" w:line="240" w:lineRule="auto"/>
            </w:pPr>
            <w:r>
              <w:rPr>
                <w:sz w:val="22"/>
                <w:szCs w:val="22"/>
              </w:rPr>
              <w:t xml:space="preserve">Imprenta</w:t>
            </w:r>
          </w:p>
        </w:tc>
        <w:tc>
          <w:tcPr>
            <w:tcW w:w="3120" w:type="dxa"/>
            <w:vAlign w:val="center"/>
          </w:tcPr>
          <w:p>
            <w:pPr>
              <w:spacing w:before="0" w:after="20" w:line="240" w:lineRule="auto"/>
            </w:pPr>
            <w:r>
              <w:rPr>
                <w:sz w:val="22"/>
                <w:szCs w:val="22"/>
              </w:rPr>
              <w:t xml:space="preserve">Tipos móviles</w:t>
            </w:r>
          </w:p>
        </w:tc>
        <w:tc>
          <w:tcPr>
            <w:tcW w:w="3120" w:type="dxa"/>
            <w:vAlign w:val="center"/>
          </w:tcPr>
          <w:p>
            <w:pPr>
              <w:spacing w:before="0" w:after="20" w:line="240" w:lineRule="auto"/>
            </w:pPr>
            <w:r>
              <w:rPr>
                <w:sz w:val="22"/>
                <w:szCs w:val="22"/>
              </w:rPr>
              <w:t xml:space="preserve">Codificación y difusión uniforme del derecho</w:t>
            </w:r>
          </w:p>
        </w:tc>
      </w:tr>
      <w:tr>
        <w:tc>
          <w:tcPr>
            <w:tcW w:w="3120" w:type="dxa"/>
            <w:vAlign w:val="center"/>
          </w:tcPr>
          <w:p>
            <w:pPr>
              <w:spacing w:before="0" w:after="20" w:line="240" w:lineRule="auto"/>
            </w:pPr>
            <w:r>
              <w:rPr>
                <w:sz w:val="22"/>
                <w:szCs w:val="22"/>
              </w:rPr>
              <w:t xml:space="preserve">Siglo XX</w:t>
            </w:r>
          </w:p>
        </w:tc>
        <w:tc>
          <w:tcPr>
            <w:tcW w:w="3120" w:type="dxa"/>
            <w:vAlign w:val="center"/>
          </w:tcPr>
          <w:p>
            <w:pPr>
              <w:spacing w:before="0" w:after="20" w:line="240" w:lineRule="auto"/>
            </w:pPr>
            <w:r>
              <w:rPr>
                <w:sz w:val="22"/>
                <w:szCs w:val="22"/>
              </w:rPr>
              <w:t xml:space="preserve">Grabación magnetofónica y video</w:t>
            </w:r>
          </w:p>
        </w:tc>
        <w:tc>
          <w:tcPr>
            <w:tcW w:w="3120" w:type="dxa"/>
            <w:vAlign w:val="center"/>
          </w:tcPr>
          <w:p>
            <w:pPr>
              <w:spacing w:before="0" w:after="20" w:line="240" w:lineRule="auto"/>
            </w:pPr>
            <w:r>
              <w:rPr>
                <w:sz w:val="22"/>
                <w:szCs w:val="22"/>
              </w:rPr>
              <w:t xml:space="preserve">Documentación de la inmediación en el juicio oral</w:t>
            </w:r>
          </w:p>
        </w:tc>
      </w:tr>
      <w:tr>
        <w:tc>
          <w:tcPr>
            <w:tcW w:w="3120" w:type="dxa"/>
            <w:vAlign w:val="center"/>
          </w:tcPr>
          <w:p>
            <w:pPr>
              <w:spacing w:before="0" w:after="20" w:line="240" w:lineRule="auto"/>
            </w:pPr>
            <w:r>
              <w:rPr>
                <w:sz w:val="22"/>
                <w:szCs w:val="22"/>
              </w:rPr>
              <w:t xml:space="preserve">Finales del s. XX</w:t>
            </w:r>
          </w:p>
        </w:tc>
        <w:tc>
          <w:tcPr>
            <w:tcW w:w="3120" w:type="dxa"/>
            <w:vAlign w:val="center"/>
          </w:tcPr>
          <w:p>
            <w:pPr>
              <w:spacing w:before="0" w:after="20" w:line="240" w:lineRule="auto"/>
            </w:pPr>
            <w:r>
              <w:rPr>
                <w:sz w:val="22"/>
                <w:szCs w:val="22"/>
              </w:rPr>
              <w:t xml:space="preserve">Informática jurídica documental</w:t>
            </w:r>
          </w:p>
        </w:tc>
        <w:tc>
          <w:tcPr>
            <w:tcW w:w="3120" w:type="dxa"/>
            <w:vAlign w:val="center"/>
          </w:tcPr>
          <w:p>
            <w:pPr>
              <w:spacing w:before="0" w:after="20" w:line="240" w:lineRule="auto"/>
            </w:pPr>
            <w:r>
              <w:rPr>
                <w:sz w:val="22"/>
                <w:szCs w:val="22"/>
              </w:rPr>
              <w:t xml:space="preserve">Bases de datos de legislación y jurisprudencia</w:t>
            </w:r>
          </w:p>
        </w:tc>
      </w:tr>
      <w:tr>
        <w:tc>
          <w:tcPr>
            <w:tcW w:w="3120" w:type="dxa"/>
            <w:vAlign w:val="center"/>
          </w:tcPr>
          <w:p>
            <w:pPr>
              <w:spacing w:before="0" w:after="20" w:line="240" w:lineRule="auto"/>
            </w:pPr>
            <w:r>
              <w:rPr>
                <w:sz w:val="22"/>
                <w:szCs w:val="22"/>
              </w:rPr>
              <w:t xml:space="preserve">Inicios del s. XXI</w:t>
            </w:r>
          </w:p>
        </w:tc>
        <w:tc>
          <w:tcPr>
            <w:tcW w:w="3120" w:type="dxa"/>
            <w:vAlign w:val="center"/>
          </w:tcPr>
          <w:p>
            <w:pPr>
              <w:spacing w:before="0" w:after="20" w:line="240" w:lineRule="auto"/>
            </w:pPr>
            <w:r>
              <w:rPr>
                <w:sz w:val="22"/>
                <w:szCs w:val="22"/>
              </w:rPr>
              <w:t xml:space="preserve">Gestión electrónica de expedientes</w:t>
            </w:r>
          </w:p>
        </w:tc>
        <w:tc>
          <w:tcPr>
            <w:tcW w:w="3120" w:type="dxa"/>
            <w:vAlign w:val="center"/>
          </w:tcPr>
          <w:p>
            <w:pPr>
              <w:spacing w:before="0" w:after="20" w:line="240" w:lineRule="auto"/>
            </w:pPr>
            <w:r>
              <w:rPr>
                <w:sz w:val="22"/>
                <w:szCs w:val="22"/>
              </w:rPr>
              <w:t xml:space="preserve">Tramitación digital; reducción de desplazamientos</w:t>
            </w:r>
          </w:p>
        </w:tc>
      </w:tr>
      <w:tr>
        <w:tc>
          <w:tcPr>
            <w:tcW w:w="3120" w:type="dxa"/>
            <w:vAlign w:val="center"/>
          </w:tcPr>
          <w:p>
            <w:pPr>
              <w:spacing w:before="0" w:after="20" w:line="240" w:lineRule="auto"/>
            </w:pPr>
            <w:r>
              <w:rPr>
                <w:sz w:val="22"/>
                <w:szCs w:val="22"/>
              </w:rPr>
              <w:t xml:space="preserve">2020-2022</w:t>
            </w:r>
          </w:p>
        </w:tc>
        <w:tc>
          <w:tcPr>
            <w:tcW w:w="3120" w:type="dxa"/>
            <w:vAlign w:val="center"/>
          </w:tcPr>
          <w:p>
            <w:pPr>
              <w:spacing w:before="0" w:after="20" w:line="240" w:lineRule="auto"/>
            </w:pPr>
            <w:r>
              <w:rPr>
                <w:sz w:val="22"/>
                <w:szCs w:val="22"/>
              </w:rPr>
              <w:t xml:space="preserve">TIC procesales (D.L. 806/2020; Ley 2213/2022)</w:t>
            </w:r>
          </w:p>
        </w:tc>
        <w:tc>
          <w:tcPr>
            <w:tcW w:w="3120" w:type="dxa"/>
            <w:vAlign w:val="center"/>
          </w:tcPr>
          <w:p>
            <w:pPr>
              <w:spacing w:before="0" w:after="20" w:line="240" w:lineRule="auto"/>
            </w:pPr>
            <w:r>
              <w:rPr>
                <w:sz w:val="22"/>
                <w:szCs w:val="22"/>
              </w:rPr>
              <w:t xml:space="preserve">Virtualización de audiencias y actuaciones</w:t>
            </w:r>
          </w:p>
        </w:tc>
      </w:tr>
      <w:tr>
        <w:tc>
          <w:tcPr>
            <w:tcW w:w="3120" w:type="dxa"/>
            <w:vAlign w:val="center"/>
          </w:tcPr>
          <w:p>
            <w:pPr>
              <w:spacing w:before="0" w:after="20" w:line="240" w:lineRule="auto"/>
            </w:pPr>
            <w:r>
              <w:rPr>
                <w:sz w:val="22"/>
                <w:szCs w:val="22"/>
              </w:rPr>
              <w:t xml:space="preserve">2016 (EE. UU.)</w:t>
            </w:r>
          </w:p>
        </w:tc>
        <w:tc>
          <w:tcPr>
            <w:tcW w:w="3120" w:type="dxa"/>
            <w:vAlign w:val="center"/>
          </w:tcPr>
          <w:p>
            <w:pPr>
              <w:spacing w:before="0" w:after="20" w:line="240" w:lineRule="auto"/>
            </w:pPr>
            <w:r>
              <w:rPr>
                <w:sz w:val="22"/>
                <w:szCs w:val="22"/>
              </w:rPr>
              <w:t xml:space="preserve">IA actuarial (COMPAS)</w:t>
            </w:r>
          </w:p>
        </w:tc>
        <w:tc>
          <w:tcPr>
            <w:tcW w:w="3120" w:type="dxa"/>
            <w:vAlign w:val="center"/>
          </w:tcPr>
          <w:p>
            <w:pPr>
              <w:spacing w:before="0" w:after="20" w:line="240" w:lineRule="auto"/>
            </w:pPr>
            <w:r>
              <w:rPr>
                <w:i/>
                <w:sz w:val="22"/>
                <w:szCs w:val="22"/>
              </w:rPr>
              <w:t xml:space="preserve">State v. Loomis</w:t>
            </w:r>
            <w:r>
              <w:rPr>
                <w:sz w:val="22"/>
                <w:szCs w:val="22"/>
              </w:rPr>
              <w:t xml:space="preserve">: primer precedente sobre algoritmos opacos en la pena</w:t>
            </w:r>
          </w:p>
        </w:tc>
      </w:tr>
      <w:tr>
        <w:tc>
          <w:tcPr>
            <w:tcW w:w="3120" w:type="dxa"/>
            <w:vAlign w:val="center"/>
          </w:tcPr>
          <w:p>
            <w:pPr>
              <w:spacing w:before="0" w:after="20" w:line="240" w:lineRule="auto"/>
            </w:pPr>
            <w:r>
              <w:rPr>
                <w:sz w:val="22"/>
                <w:szCs w:val="22"/>
              </w:rPr>
              <w:t xml:space="preserve">2023-2024 (Col.)</w:t>
            </w:r>
          </w:p>
        </w:tc>
        <w:tc>
          <w:tcPr>
            <w:tcW w:w="3120" w:type="dxa"/>
            <w:vAlign w:val="center"/>
          </w:tcPr>
          <w:p>
            <w:pPr>
              <w:spacing w:before="0" w:after="20" w:line="240" w:lineRule="auto"/>
            </w:pPr>
            <w:r>
              <w:rPr>
                <w:sz w:val="22"/>
                <w:szCs w:val="22"/>
              </w:rPr>
              <w:t xml:space="preserve">IA generativa (ChatGPT)</w:t>
            </w:r>
          </w:p>
        </w:tc>
        <w:tc>
          <w:tcPr>
            <w:tcW w:w="3120" w:type="dxa"/>
            <w:vAlign w:val="center"/>
          </w:tcPr>
          <w:p>
            <w:pPr>
              <w:spacing w:before="0" w:after="20" w:line="240" w:lineRule="auto"/>
            </w:pPr>
            <w:r>
              <w:rPr>
                <w:sz w:val="22"/>
                <w:szCs w:val="22"/>
              </w:rPr>
              <w:t xml:space="preserve">Antecedente fáctico de la Sentencia T-323 de 2024</w:t>
            </w:r>
          </w:p>
        </w:tc>
      </w:tr>
    </w:tbl>
    <w:p>
      <w:pPr>
        <w:spacing w:before="0" w:after="120" w:line="240" w:lineRule="auto"/>
      </w:pPr>
    </w:p>
    <w:p>
      <w:pPr>
        <w:spacing w:before="0" w:after="120" w:line="480" w:lineRule="auto"/>
        <w:jc w:val="both"/>
      </w:pPr>
      <w:r>
        <w:rPr>
          <w:i/>
        </w:rPr>
        <w:t xml:space="preserve">Nota.</w:t>
      </w:r>
      <w:r>
        <w:t xml:space="preserve"> Elaboración propia.</w:t>
      </w:r>
    </w:p>
    <w:p>
      <w:pPr>
        <w:spacing w:before="200" w:after="120" w:line="240" w:lineRule="auto"/>
        <w:jc w:val="left"/>
        <w:keepNext/>
      </w:pPr>
      <w:r>
        <w:rPr>
          <w:b/>
          <w:sz w:val="28"/>
          <w:szCs w:val="28"/>
        </w:rPr>
        <w:t xml:space="preserve">1.3 Marco teórico-conceptual: garantismo, IA jurídica y derechos fundamentales en la era digital</w:t>
      </w:r>
    </w:p>
    <w:p>
      <w:pPr>
        <w:spacing w:before="0" w:after="120" w:line="480" w:lineRule="auto"/>
        <w:jc w:val="both"/>
      </w:pPr>
      <w:r>
        <w:t xml:space="preserve">El análisis se sustenta en la convergencia de tres corrientes doctrinales.</w:t>
      </w:r>
    </w:p>
    <w:p>
      <w:pPr>
        <w:spacing w:before="160" w:after="100" w:line="240" w:lineRule="auto"/>
        <w:jc w:val="left"/>
        <w:keepNext/>
      </w:pPr>
      <w:r>
        <w:rPr>
          <w:b/>
          <w:sz w:val="26"/>
          <w:szCs w:val="26"/>
        </w:rPr>
        <w:t xml:space="preserve">1.3.1 La teoría garantista del derecho penal</w:t>
      </w:r>
    </w:p>
    <w:p>
      <w:pPr>
        <w:spacing w:before="0" w:after="120" w:line="480" w:lineRule="auto"/>
        <w:jc w:val="both"/>
      </w:pPr>
      <w:r>
        <w:t xml:space="preserve">El garantismo penal, desarrollado por Luigi Ferrajoli (1995) en </w:t>
      </w:r>
      <w:r>
        <w:rPr>
          <w:i/>
        </w:rPr>
        <w:t xml:space="preserve">Derecho y razón</w:t>
      </w:r>
      <w:r>
        <w:t xml:space="preserve">, sostiene que la legitimidad del sistema penal depende de su estricta sujeción a un conjunto de garantías que limitan el poder punitivo del Estado. Ferrajoli formula un modelo axiomático (los diez axiomas del garantismo: </w:t>
      </w:r>
      <w:r>
        <w:rPr>
          <w:i/>
        </w:rPr>
        <w:t xml:space="preserve">nulla poena, nullum crimen, nulla lex poenalis, nulla necessitas, nulla iniuria, nulla actio, nulla culpa, nulla iudicium, nulla accusatio, nulla probatio, nulla defensio</w:t>
      </w:r>
      <w:r>
        <w:t xml:space="preserve">) que articula garantías penales sustanciales y garantías procesales o de la jurisdicción. De estas últimas interesan especialmente las que la doctrina denomina garantías epistémicas del juicio: la carga de la prueba en cabeza de la acusación, el derecho de defensa y contradicción, la motivación racional de las decisiones y la sujeción del juez a la prueba practicada en condiciones de inmediación y contradicción.</w:t>
      </w:r>
    </w:p>
    <w:p>
      <w:pPr>
        <w:spacing w:before="0" w:after="120" w:line="480" w:lineRule="auto"/>
        <w:jc w:val="both"/>
      </w:pPr>
      <w:r>
        <w:t xml:space="preserve">Desde esta perspectiva, la cuestión decisiva no es si la IA es eficiente, sino si su incorporación respeta o erosiona el sistema de garantías. El garantismo provee, así, el criterio normativo central de la investigación: la IA solo es legítima en la justicia penal si se subordina a las garantías y refuerza —no debilita— la racionalidad del juicio.</w:t>
      </w:r>
    </w:p>
    <w:p>
      <w:pPr>
        <w:spacing w:before="160" w:after="100" w:line="240" w:lineRule="auto"/>
        <w:jc w:val="left"/>
        <w:keepNext/>
      </w:pPr>
      <w:r>
        <w:rPr>
          <w:b/>
          <w:sz w:val="26"/>
          <w:szCs w:val="26"/>
        </w:rPr>
        <w:t xml:space="preserve">1.3.2 La teoría de la inteligencia artificial aplicada al derecho</w:t>
      </w:r>
    </w:p>
    <w:p>
      <w:pPr>
        <w:spacing w:before="0" w:after="120" w:line="480" w:lineRule="auto"/>
        <w:jc w:val="both"/>
      </w:pPr>
      <w:r>
        <w:t xml:space="preserve">Esta corriente examina las posibilidades y límites de la automatización del razonamiento jurídico. Resulta central la distinción entre </w:t>
      </w:r>
      <w:r>
        <w:rPr>
          <w:b/>
        </w:rPr>
        <w:t xml:space="preserve">IA como herramienta de apoyo</w:t>
      </w:r>
      <w:r>
        <w:t xml:space="preserve"> (sistemas que asisten al operador sin desplazar su juicio) e </w:t>
      </w:r>
      <w:r>
        <w:rPr>
          <w:b/>
        </w:rPr>
        <w:t xml:space="preserve">IA como sustituto decisional</w:t>
      </w:r>
      <w:r>
        <w:t xml:space="preserve"> (sistemas que reemplazan la valoración humana). La literatura especializada advierte sobre dos fenómenos críticos: las </w:t>
      </w:r>
      <w:r>
        <w:rPr>
          <w:b/>
        </w:rPr>
        <w:t xml:space="preserve">alucinaciones</w:t>
      </w:r>
      <w:r>
        <w:t xml:space="preserve"> de los modelos generativos —contenidos plausibles pero falsos, derivados de su naturaleza probabilística (Bender et al., 2021)— y los </w:t>
      </w:r>
      <w:r>
        <w:rPr>
          <w:b/>
        </w:rPr>
        <w:t xml:space="preserve">sesgos algorítmicos</w:t>
      </w:r>
      <w:r>
        <w:t xml:space="preserve"> incorporados a través de los datos de entrenamiento (Angwin et al., 2016). A ello se suma el problema de la </w:t>
      </w:r>
      <w:r>
        <w:rPr>
          <w:b/>
        </w:rPr>
        <w:t xml:space="preserve">opacidad</w:t>
      </w:r>
      <w:r>
        <w:t xml:space="preserve"> o "caja negra", esto es, la imposibilidad de reconstruir y explicar el proceso por el cual el sistema arribó a un resultado, lo que compromete la explicabilidad exigible en sede judicial (Pasquale, 2015).</w:t>
      </w:r>
    </w:p>
    <w:p>
      <w:pPr>
        <w:spacing w:before="160" w:after="100" w:line="240" w:lineRule="auto"/>
        <w:jc w:val="left"/>
        <w:keepNext/>
      </w:pPr>
      <w:r>
        <w:rPr>
          <w:b/>
          <w:sz w:val="26"/>
          <w:szCs w:val="26"/>
        </w:rPr>
        <w:t xml:space="preserve">1.3.3 La teoría de los derechos fundamentales en la era digital</w:t>
      </w:r>
    </w:p>
    <w:p>
      <w:pPr>
        <w:spacing w:before="0" w:after="120" w:line="480" w:lineRule="auto"/>
        <w:jc w:val="both"/>
      </w:pPr>
      <w:r>
        <w:t xml:space="preserve">La tercera corriente analiza la reconfiguración de los derechos fundamentales ante la automatización. Surgen aquí categorías como el </w:t>
      </w:r>
      <w:r>
        <w:rPr>
          <w:b/>
        </w:rPr>
        <w:t xml:space="preserve">derecho a la explicación</w:t>
      </w:r>
      <w:r>
        <w:t xml:space="preserve"> de las decisiones automatizadas, la </w:t>
      </w:r>
      <w:r>
        <w:rPr>
          <w:b/>
        </w:rPr>
        <w:t xml:space="preserve">autodeterminación informativa</w:t>
      </w:r>
      <w:r>
        <w:t xml:space="preserve"> y el </w:t>
      </w:r>
      <w:r>
        <w:rPr>
          <w:b/>
        </w:rPr>
        <w:t xml:space="preserve">debido proceso algorítmico</w:t>
      </w:r>
      <w:r>
        <w:t xml:space="preserve"> (Citron, 2008), que exigen trasladar las garantías clásicas a los entornos tecnológicos. La doctrina coincide en que la dignidad humana (art. 1 de la Constitución Política) opera como límite infranqueable: ninguna persona puede ser tratada como mero objeto de cálculo estadístico, lo que prohíbe que una decisión que afecte derechos fundamentales se adopte exclusivamente sobre la base de un procesamiento automatizado.</w:t>
      </w:r>
    </w:p>
    <w:p>
      <w:pPr>
        <w:spacing w:before="0" w:after="120" w:line="480" w:lineRule="auto"/>
        <w:jc w:val="both"/>
      </w:pPr>
      <w:r>
        <w:t xml:space="preserve">La síntesis de estas tres corrientes permite formular el concepto articulador de la investigación: la </w:t>
      </w:r>
      <w:r>
        <w:rPr>
          <w:b/>
        </w:rPr>
        <w:t xml:space="preserve">justicia aumentada</w:t>
      </w:r>
      <w:r>
        <w:t xml:space="preserve">, entendida como el modelo en el que la IA potencia las capacidades cognitivas del operador jurídico (búsqueda, sistematización, detección de patrones) preservando intacto el control humano significativo sobre la decisión.</w:t>
      </w:r>
    </w:p>
    <w:p>
      <w:pPr>
        <w:spacing w:before="200" w:after="120" w:line="240" w:lineRule="auto"/>
        <w:jc w:val="left"/>
        <w:keepNext/>
      </w:pPr>
      <w:r>
        <w:rPr>
          <w:b/>
          <w:sz w:val="28"/>
          <w:szCs w:val="28"/>
        </w:rPr>
        <w:t xml:space="preserve">1.4 Marco normativo y jurisprudencial colombiano</w:t>
      </w:r>
    </w:p>
    <w:p>
      <w:pPr>
        <w:spacing w:before="160" w:after="100" w:line="240" w:lineRule="auto"/>
        <w:jc w:val="left"/>
        <w:keepNext/>
      </w:pPr>
      <w:r>
        <w:rPr>
          <w:b/>
          <w:sz w:val="26"/>
          <w:szCs w:val="26"/>
        </w:rPr>
        <w:t xml:space="preserve">1.4.1 Fundamento constitucional</w:t>
      </w:r>
    </w:p>
    <w:p>
      <w:pPr>
        <w:spacing w:before="0" w:after="120" w:line="480" w:lineRule="auto"/>
        <w:jc w:val="both"/>
      </w:pPr>
      <w:r>
        <w:t xml:space="preserve">El marco se ancla en la Constitución Política de 1991: la dignidad humana y la cláusula del Estado social de derecho (art. 1), el debido proceso y sus garantías (art. 29), el principio de igualdad (art. 13), el habeas data y la autodeterminación informativa (art. 15) y la función jurisdiccional como expresión de la soberanía (arts. 113 y 228-230). El bloque de constitucionalidad (art. 93) incorpora, además, las garantías judiciales de la Convención Americana sobre Derechos Humanos (arts. 8 y 25).</w:t>
      </w:r>
    </w:p>
    <w:p>
      <w:pPr>
        <w:spacing w:before="160" w:after="100" w:line="240" w:lineRule="auto"/>
        <w:jc w:val="left"/>
        <w:keepNext/>
      </w:pPr>
      <w:r>
        <w:rPr>
          <w:b/>
          <w:sz w:val="26"/>
          <w:szCs w:val="26"/>
        </w:rPr>
        <w:t xml:space="preserve">1.4.2 La Sentencia T-323 de 2024: el fallo hito</w:t>
      </w:r>
    </w:p>
    <w:p>
      <w:pPr>
        <w:spacing w:before="0" w:after="120" w:line="480" w:lineRule="auto"/>
        <w:jc w:val="both"/>
      </w:pPr>
      <w:r>
        <w:t xml:space="preserve">La Sentencia T-323 de 2024 (Corte Constitucional de Colombia, 2024), proferida por la Sala Sexta de Revisión con ponencia del magistrado José Fernando Reyes Cuartas, constituye el eje normativo de esta investigación. El caso tuvo origen en una acción de tutela promovida en favor de un niño diagnosticado con Trastorno del Espectro Autista, en la que se discutía la exoneración de copagos y cuotas moderadoras frente a su entidad promotora de salud. En segunda instancia, el juez empleó la herramienta de IA generativa ChatGPT para apoyar la fundamentación de su decisión, lo que motivó la revisión del caso por la Corte para examinar si tal uso vulneraba el debido proceso.</w:t>
      </w:r>
    </w:p>
    <w:p>
      <w:pPr>
        <w:spacing w:before="0" w:after="120" w:line="480" w:lineRule="auto"/>
        <w:jc w:val="both"/>
      </w:pPr>
      <w:r>
        <w:t xml:space="preserve">La Corte concluyó que, en el caso concreto, el uso de la herramienta no vulneró el debido proceso porque operó como apoyo y la decisión fue adoptada por el juez; pero, a partir de allí, fijó </w:t>
      </w:r>
      <w:r>
        <w:rPr>
          <w:b/>
        </w:rPr>
        <w:t xml:space="preserve">criterios y principios orientadores</w:t>
      </w:r>
      <w:r>
        <w:t xml:space="preserve"> de obligatoria observancia para el uso de IA generativa en la administración de justicia. La </w:t>
      </w:r>
      <w:r>
        <w:rPr>
          <w:i/>
        </w:rPr>
        <w:t xml:space="preserve">ratio decidendi</w:t>
      </w:r>
      <w:r>
        <w:t xml:space="preserve"> puede sintetizarse en las siguientes reglas:</w:t>
      </w:r>
    </w:p>
    <w:p>
      <w:pPr>
        <w:ind w:left="360"/>
        <w:spacing w:before="0" w:after="40" w:line="360" w:lineRule="auto"/>
      </w:pPr>
      <w:r>
        <w:t xml:space="preserve">1. </w:t>
      </w:r>
      <w:r>
        <w:rPr>
          <w:b/>
        </w:rPr>
        <w:t xml:space="preserve">No sustitución de la racionalidad humana.</w:t>
      </w:r>
      <w:r>
        <w:t xml:space="preserve"> La IA no puede reemplazar el razonamiento, la valoración ni la decisión del juez; su empleo es solo de apoyo.</w:t>
      </w:r>
    </w:p>
    <w:p>
      <w:pPr>
        <w:ind w:left="360"/>
        <w:spacing w:before="0" w:after="40" w:line="360" w:lineRule="auto"/>
      </w:pPr>
      <w:r>
        <w:t xml:space="preserve">2. </w:t>
      </w:r>
      <w:r>
        <w:rPr>
          <w:b/>
        </w:rPr>
        <w:t xml:space="preserve">Transparencia.</w:t>
      </w:r>
      <w:r>
        <w:t xml:space="preserve"> Debe revelarse de manera explícita el uso de la herramienta, indicando cuál se utilizó y con qué finalidad.</w:t>
      </w:r>
    </w:p>
    <w:p>
      <w:pPr>
        <w:ind w:left="360"/>
        <w:spacing w:before="0" w:after="40" w:line="360" w:lineRule="auto"/>
      </w:pPr>
      <w:r>
        <w:t xml:space="preserve">3. </w:t>
      </w:r>
      <w:r>
        <w:rPr>
          <w:b/>
        </w:rPr>
        <w:t xml:space="preserve">Responsabilidad.</w:t>
      </w:r>
      <w:r>
        <w:t xml:space="preserve"> La responsabilidad por la decisión recae íntegramente en el funcionario, quien no puede excusarse en la herramienta.</w:t>
      </w:r>
    </w:p>
    <w:p>
      <w:pPr>
        <w:ind w:left="360"/>
        <w:spacing w:before="0" w:after="40" w:line="360" w:lineRule="auto"/>
      </w:pPr>
      <w:r>
        <w:t xml:space="preserve">4. </w:t>
      </w:r>
      <w:r>
        <w:rPr>
          <w:b/>
        </w:rPr>
        <w:t xml:space="preserve">Verificación reforzada.</w:t>
      </w:r>
      <w:r>
        <w:t xml:space="preserve"> El juez debe corroborar rigurosamente la información suministrada por el sistema, para evitar las "alucinaciones" o datos falsos.</w:t>
      </w:r>
    </w:p>
    <w:p>
      <w:pPr>
        <w:ind w:left="360"/>
        <w:spacing w:before="0" w:after="40" w:line="360" w:lineRule="auto"/>
      </w:pPr>
      <w:r>
        <w:t xml:space="preserve">5. </w:t>
      </w:r>
      <w:r>
        <w:rPr>
          <w:b/>
        </w:rPr>
        <w:t xml:space="preserve">Privacidad y protección de datos.</w:t>
      </w:r>
      <w:r>
        <w:t xml:space="preserve"> Debe garantizarse el tratamiento adecuado de la información sensible incorporada a los sistemas.</w:t>
      </w:r>
    </w:p>
    <w:p>
      <w:pPr>
        <w:ind w:left="360"/>
        <w:spacing w:before="0" w:after="40" w:line="360" w:lineRule="auto"/>
      </w:pPr>
      <w:r>
        <w:t xml:space="preserve">6. </w:t>
      </w:r>
      <w:r>
        <w:rPr>
          <w:b/>
        </w:rPr>
        <w:t xml:space="preserve">Control humano y autonomía judicial.</w:t>
      </w:r>
      <w:r>
        <w:t xml:space="preserve"> La autonomía e independencia del juez natural permanecen incólumes.</w:t>
      </w:r>
    </w:p>
    <w:p>
      <w:pPr>
        <w:spacing w:before="0" w:after="120" w:line="480" w:lineRule="auto"/>
        <w:jc w:val="both"/>
      </w:pPr>
      <w:r>
        <w:t xml:space="preserve">Para construir estos criterios, la Corte se apoyó en instrumentos de </w:t>
      </w:r>
      <w:r>
        <w:rPr>
          <w:i/>
        </w:rPr>
        <w:t xml:space="preserve">soft law</w:t>
      </w:r>
      <w:r>
        <w:t xml:space="preserve">, como la Recomendación sobre la Ética de la Inteligencia Artificial de la Unesco (2021) y el Marco Ético para la IA en Colombia (MinTIC, 2021). La trascendencia del fallo radica en que </w:t>
      </w:r>
      <w:r>
        <w:rPr>
          <w:b/>
        </w:rPr>
        <w:t xml:space="preserve">constitucionaliza</w:t>
      </w:r>
      <w:r>
        <w:t xml:space="preserve"> el uso de la IA judicial y traslada al operador deberes concretos de transparencia y verificación. No obstante, como se argumenta en esta investigación, sus criterios fueron formulados con vocación general y requieren una </w:t>
      </w:r>
      <w:r>
        <w:rPr>
          <w:b/>
        </w:rPr>
        <w:t xml:space="preserve">especificación para el proceso penal</w:t>
      </w:r>
      <w:r>
        <w:t xml:space="preserve">, donde la inmediación y la presunción de inocencia imponen exigencias adicionales.</w:t>
      </w:r>
    </w:p>
    <w:p>
      <w:pPr>
        <w:spacing w:before="160" w:after="100" w:line="240" w:lineRule="auto"/>
        <w:jc w:val="left"/>
        <w:keepNext/>
      </w:pPr>
      <w:r>
        <w:rPr>
          <w:b/>
          <w:sz w:val="26"/>
          <w:szCs w:val="26"/>
        </w:rPr>
        <w:t xml:space="preserve">1.4.3 Desarrollo legal y reglamentario</w:t>
      </w:r>
    </w:p>
    <w:p>
      <w:pPr>
        <w:ind w:left="360"/>
        <w:spacing w:before="0" w:after="40" w:line="360" w:lineRule="auto"/>
      </w:pPr>
      <w:r>
        <w:t xml:space="preserve">•  </w:t>
      </w:r>
      <w:r>
        <w:rPr>
          <w:b/>
        </w:rPr>
        <w:t xml:space="preserve">Ley 2430 de 2024.</w:t>
      </w:r>
      <w:r>
        <w:t xml:space="preserve"> Modifica la Ley Estatutaria 270 de 1996 de Administración de Justicia. Establece que la administración de justicia debe aprovechar las TIC y ordena al Consejo Superior de la Judicatura expedir, cada cuatro años, el Plan de Transformación Digital de la Rama Judicial, garantizando la protección de datos y la eficiencia del servicio.</w:t>
      </w:r>
    </w:p>
    <w:p>
      <w:pPr>
        <w:ind w:left="360"/>
        <w:spacing w:before="0" w:after="40" w:line="360" w:lineRule="auto"/>
      </w:pPr>
      <w:r>
        <w:t xml:space="preserve">•  </w:t>
      </w:r>
      <w:r>
        <w:rPr>
          <w:b/>
        </w:rPr>
        <w:t xml:space="preserve">Acuerdo PCSJA24-12243 de 2024.</w:t>
      </w:r>
      <w:r>
        <w:t xml:space="preserve"> Adoptado el 16 de diciembre de 2024 por el Consejo Superior de la Judicatura, establece lineamientos para el uso respetuoso, responsable, seguro y ético de la IA en la Rama Judicial. Aplica a magistrados, jueces y empleados de todas las jurisdicciones y obliga a informar explícitamente el uso de IA en cualquier expediente, actuación o decisión, detallando la herramienta, el modelo, la empresa proveedora y la fecha de uso.</w:t>
      </w:r>
    </w:p>
    <w:p>
      <w:pPr>
        <w:ind w:left="360"/>
        <w:spacing w:before="0" w:after="40" w:line="360" w:lineRule="auto"/>
      </w:pPr>
      <w:r>
        <w:t xml:space="preserve">•  </w:t>
      </w:r>
      <w:r>
        <w:rPr>
          <w:b/>
        </w:rPr>
        <w:t xml:space="preserve">Circular PCSJC24-37 de 2024 ("ABC de la Sentencia T-323").</w:t>
      </w:r>
      <w:r>
        <w:t xml:space="preserve"> Pone a disposición de los servidores judiciales los lineamientos, principios y criterios orientadores derivados de la Sentencia T-323 de 2024.</w:t>
      </w:r>
    </w:p>
    <w:p>
      <w:pPr>
        <w:ind w:left="360"/>
        <w:spacing w:before="0" w:after="40" w:line="360" w:lineRule="auto"/>
      </w:pPr>
      <w:r>
        <w:t xml:space="preserve">•  </w:t>
      </w:r>
      <w:r>
        <w:rPr>
          <w:b/>
        </w:rPr>
        <w:t xml:space="preserve">Proyecto de Ley de Inteligencia Artificial (PL 043-25S / 324-25C).</w:t>
      </w:r>
      <w:r>
        <w:t xml:space="preserve"> En trámite en el Congreso, propone una regulación basada en riesgos con cuatro niveles, crea una Autoridad Nacional para la Inteligencia Artificial y designa a la Superintendencia de Industria y Comercio como autoridad de inspección y vigilancia.</w:t>
      </w:r>
    </w:p>
    <w:p>
      <w:pPr>
        <w:ind w:left="360"/>
        <w:spacing w:before="0" w:after="40" w:line="360" w:lineRule="auto"/>
      </w:pPr>
      <w:r>
        <w:t xml:space="preserve">•  </w:t>
      </w:r>
      <w:r>
        <w:rPr>
          <w:b/>
        </w:rPr>
        <w:t xml:space="preserve">Ley 2213 de 2022.</w:t>
      </w:r>
      <w:r>
        <w:t xml:space="preserve"> Marco general de uso de las TIC en las actuaciones judiciales, antecedente directo del proceso digitalizado.</w:t>
      </w:r>
    </w:p>
    <w:p>
      <w:pPr>
        <w:spacing w:before="0" w:after="120" w:line="480" w:lineRule="auto"/>
        <w:jc w:val="both"/>
      </w:pPr>
      <w:r>
        <w:rPr>
          <w:b/>
        </w:rPr>
        <w:t xml:space="preserve">Tabla 2</w:t>
      </w:r>
    </w:p>
    <w:p>
      <w:pPr>
        <w:spacing w:before="0" w:after="120" w:line="480" w:lineRule="auto"/>
        <w:jc w:val="both"/>
      </w:pPr>
      <w:r>
        <w:rPr>
          <w:i/>
        </w:rPr>
        <w:t xml:space="preserve">Marco normativo e institucional colombiano sobre IA y justicia</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3120"/>
        <w:gridCol w:w="3120"/>
        <w:gridCol w:w="3120"/>
      </w:tblGrid>
      <w:tr>
        <w:tc>
          <w:tcPr>
            <w:tcW w:w="3120" w:type="dxa"/>
            <w:shd w:val="clear" w:color="auto" w:fill="E7E6E6"/>
            <w:vAlign w:val="center"/>
          </w:tcPr>
          <w:p>
            <w:pPr>
              <w:spacing w:before="0" w:after="20" w:line="240" w:lineRule="auto"/>
            </w:pPr>
            <w:r>
              <w:rPr>
                <w:b/>
                <w:sz w:val="22"/>
                <w:szCs w:val="22"/>
              </w:rPr>
              <w:t xml:space="preserve">Instrumento</w:t>
            </w:r>
          </w:p>
        </w:tc>
        <w:tc>
          <w:tcPr>
            <w:tcW w:w="3120" w:type="dxa"/>
            <w:shd w:val="clear" w:color="auto" w:fill="E7E6E6"/>
            <w:vAlign w:val="center"/>
          </w:tcPr>
          <w:p>
            <w:pPr>
              <w:spacing w:before="0" w:after="20" w:line="240" w:lineRule="auto"/>
            </w:pPr>
            <w:r>
              <w:rPr>
                <w:b/>
                <w:sz w:val="22"/>
                <w:szCs w:val="22"/>
              </w:rPr>
              <w:t xml:space="preserve">Naturaleza</w:t>
            </w:r>
          </w:p>
        </w:tc>
        <w:tc>
          <w:tcPr>
            <w:tcW w:w="3120" w:type="dxa"/>
            <w:shd w:val="clear" w:color="auto" w:fill="E7E6E6"/>
            <w:vAlign w:val="center"/>
          </w:tcPr>
          <w:p>
            <w:pPr>
              <w:spacing w:before="0" w:after="20" w:line="240" w:lineRule="auto"/>
            </w:pPr>
            <w:r>
              <w:rPr>
                <w:b/>
                <w:sz w:val="22"/>
                <w:szCs w:val="22"/>
              </w:rPr>
              <w:t xml:space="preserve">Aporte principal</w:t>
            </w:r>
          </w:p>
        </w:tc>
      </w:tr>
      <w:tr>
        <w:tc>
          <w:tcPr>
            <w:tcW w:w="3120" w:type="dxa"/>
            <w:vAlign w:val="center"/>
          </w:tcPr>
          <w:p>
            <w:pPr>
              <w:spacing w:before="0" w:after="20" w:line="240" w:lineRule="auto"/>
            </w:pPr>
            <w:r>
              <w:rPr>
                <w:sz w:val="22"/>
                <w:szCs w:val="22"/>
              </w:rPr>
              <w:t xml:space="preserve">Constitución Política (1991)</w:t>
            </w:r>
          </w:p>
        </w:tc>
        <w:tc>
          <w:tcPr>
            <w:tcW w:w="3120" w:type="dxa"/>
            <w:vAlign w:val="center"/>
          </w:tcPr>
          <w:p>
            <w:pPr>
              <w:spacing w:before="0" w:after="20" w:line="240" w:lineRule="auto"/>
            </w:pPr>
            <w:r>
              <w:rPr>
                <w:sz w:val="22"/>
                <w:szCs w:val="22"/>
              </w:rPr>
              <w:t xml:space="preserve">Constitucional</w:t>
            </w:r>
          </w:p>
        </w:tc>
        <w:tc>
          <w:tcPr>
            <w:tcW w:w="3120" w:type="dxa"/>
            <w:vAlign w:val="center"/>
          </w:tcPr>
          <w:p>
            <w:pPr>
              <w:spacing w:before="0" w:after="20" w:line="240" w:lineRule="auto"/>
            </w:pPr>
            <w:r>
              <w:rPr>
                <w:sz w:val="22"/>
                <w:szCs w:val="22"/>
              </w:rPr>
              <w:t xml:space="preserve">Dignidad, debido proceso (art. 29), igualdad, habeas data</w:t>
            </w:r>
          </w:p>
        </w:tc>
      </w:tr>
      <w:tr>
        <w:tc>
          <w:tcPr>
            <w:tcW w:w="3120" w:type="dxa"/>
            <w:vAlign w:val="center"/>
          </w:tcPr>
          <w:p>
            <w:pPr>
              <w:spacing w:before="0" w:after="20" w:line="240" w:lineRule="auto"/>
            </w:pPr>
            <w:r>
              <w:rPr>
                <w:sz w:val="22"/>
                <w:szCs w:val="22"/>
              </w:rPr>
              <w:t xml:space="preserve">Ley 270 de 1996 (mod. Ley 2430 de 2024)</w:t>
            </w:r>
          </w:p>
        </w:tc>
        <w:tc>
          <w:tcPr>
            <w:tcW w:w="3120" w:type="dxa"/>
            <w:vAlign w:val="center"/>
          </w:tcPr>
          <w:p>
            <w:pPr>
              <w:spacing w:before="0" w:after="20" w:line="240" w:lineRule="auto"/>
            </w:pPr>
            <w:r>
              <w:rPr>
                <w:sz w:val="22"/>
                <w:szCs w:val="22"/>
              </w:rPr>
              <w:t xml:space="preserve">Estatutaria</w:t>
            </w:r>
          </w:p>
        </w:tc>
        <w:tc>
          <w:tcPr>
            <w:tcW w:w="3120" w:type="dxa"/>
            <w:vAlign w:val="center"/>
          </w:tcPr>
          <w:p>
            <w:pPr>
              <w:spacing w:before="0" w:after="20" w:line="240" w:lineRule="auto"/>
            </w:pPr>
            <w:r>
              <w:rPr>
                <w:sz w:val="22"/>
                <w:szCs w:val="22"/>
              </w:rPr>
              <w:t xml:space="preserve">Transformación digital de la Rama Judicial</w:t>
            </w:r>
          </w:p>
        </w:tc>
      </w:tr>
      <w:tr>
        <w:tc>
          <w:tcPr>
            <w:tcW w:w="3120" w:type="dxa"/>
            <w:vAlign w:val="center"/>
          </w:tcPr>
          <w:p>
            <w:pPr>
              <w:spacing w:before="0" w:after="20" w:line="240" w:lineRule="auto"/>
            </w:pPr>
            <w:r>
              <w:rPr>
                <w:sz w:val="22"/>
                <w:szCs w:val="22"/>
              </w:rPr>
              <w:t xml:space="preserve">Ley 906 de 2004</w:t>
            </w:r>
          </w:p>
        </w:tc>
        <w:tc>
          <w:tcPr>
            <w:tcW w:w="3120" w:type="dxa"/>
            <w:vAlign w:val="center"/>
          </w:tcPr>
          <w:p>
            <w:pPr>
              <w:spacing w:before="0" w:after="20" w:line="240" w:lineRule="auto"/>
            </w:pPr>
            <w:r>
              <w:rPr>
                <w:sz w:val="22"/>
                <w:szCs w:val="22"/>
              </w:rPr>
              <w:t xml:space="preserve">Procesal penal</w:t>
            </w:r>
          </w:p>
        </w:tc>
        <w:tc>
          <w:tcPr>
            <w:tcW w:w="3120" w:type="dxa"/>
            <w:vAlign w:val="center"/>
          </w:tcPr>
          <w:p>
            <w:pPr>
              <w:spacing w:before="0" w:after="20" w:line="240" w:lineRule="auto"/>
            </w:pPr>
            <w:r>
              <w:rPr>
                <w:sz w:val="22"/>
                <w:szCs w:val="22"/>
              </w:rPr>
              <w:t xml:space="preserve">Sistema acusatorio: inmediación, contradicción</w:t>
            </w:r>
          </w:p>
        </w:tc>
      </w:tr>
      <w:tr>
        <w:tc>
          <w:tcPr>
            <w:tcW w:w="3120" w:type="dxa"/>
            <w:vAlign w:val="center"/>
          </w:tcPr>
          <w:p>
            <w:pPr>
              <w:spacing w:before="0" w:after="20" w:line="240" w:lineRule="auto"/>
            </w:pPr>
            <w:r>
              <w:rPr>
                <w:sz w:val="22"/>
                <w:szCs w:val="22"/>
              </w:rPr>
              <w:t xml:space="preserve">Ley 2213 de 2022</w:t>
            </w:r>
          </w:p>
        </w:tc>
        <w:tc>
          <w:tcPr>
            <w:tcW w:w="3120" w:type="dxa"/>
            <w:vAlign w:val="center"/>
          </w:tcPr>
          <w:p>
            <w:pPr>
              <w:spacing w:before="0" w:after="20" w:line="240" w:lineRule="auto"/>
            </w:pPr>
            <w:r>
              <w:rPr>
                <w:sz w:val="22"/>
                <w:szCs w:val="22"/>
              </w:rPr>
              <w:t xml:space="preserve">Ordinaria</w:t>
            </w:r>
          </w:p>
        </w:tc>
        <w:tc>
          <w:tcPr>
            <w:tcW w:w="3120" w:type="dxa"/>
            <w:vAlign w:val="center"/>
          </w:tcPr>
          <w:p>
            <w:pPr>
              <w:spacing w:before="0" w:after="20" w:line="240" w:lineRule="auto"/>
            </w:pPr>
            <w:r>
              <w:rPr>
                <w:sz w:val="22"/>
                <w:szCs w:val="22"/>
              </w:rPr>
              <w:t xml:space="preserve">Uso de TIC en actuaciones judiciales</w:t>
            </w:r>
          </w:p>
        </w:tc>
      </w:tr>
      <w:tr>
        <w:tc>
          <w:tcPr>
            <w:tcW w:w="3120" w:type="dxa"/>
            <w:vAlign w:val="center"/>
          </w:tcPr>
          <w:p>
            <w:pPr>
              <w:spacing w:before="0" w:after="20" w:line="240" w:lineRule="auto"/>
            </w:pPr>
            <w:r>
              <w:rPr>
                <w:sz w:val="22"/>
                <w:szCs w:val="22"/>
              </w:rPr>
              <w:t xml:space="preserve">Sentencia T-323 de 2024</w:t>
            </w:r>
          </w:p>
        </w:tc>
        <w:tc>
          <w:tcPr>
            <w:tcW w:w="3120" w:type="dxa"/>
            <w:vAlign w:val="center"/>
          </w:tcPr>
          <w:p>
            <w:pPr>
              <w:spacing w:before="0" w:after="20" w:line="240" w:lineRule="auto"/>
            </w:pPr>
            <w:r>
              <w:rPr>
                <w:sz w:val="22"/>
                <w:szCs w:val="22"/>
              </w:rPr>
              <w:t xml:space="preserve">Jurisprudencial</w:t>
            </w:r>
          </w:p>
        </w:tc>
        <w:tc>
          <w:tcPr>
            <w:tcW w:w="3120" w:type="dxa"/>
            <w:vAlign w:val="center"/>
          </w:tcPr>
          <w:p>
            <w:pPr>
              <w:spacing w:before="0" w:after="20" w:line="240" w:lineRule="auto"/>
            </w:pPr>
            <w:r>
              <w:rPr>
                <w:sz w:val="22"/>
                <w:szCs w:val="22"/>
              </w:rPr>
              <w:t xml:space="preserve">Principios para la IA generativa judicial</w:t>
            </w:r>
          </w:p>
        </w:tc>
      </w:tr>
      <w:tr>
        <w:tc>
          <w:tcPr>
            <w:tcW w:w="3120" w:type="dxa"/>
            <w:vAlign w:val="center"/>
          </w:tcPr>
          <w:p>
            <w:pPr>
              <w:spacing w:before="0" w:after="20" w:line="240" w:lineRule="auto"/>
            </w:pPr>
            <w:r>
              <w:rPr>
                <w:sz w:val="22"/>
                <w:szCs w:val="22"/>
              </w:rPr>
              <w:t xml:space="preserve">Acuerdo PCSJA24-12243 de 2024</w:t>
            </w:r>
          </w:p>
        </w:tc>
        <w:tc>
          <w:tcPr>
            <w:tcW w:w="3120" w:type="dxa"/>
            <w:vAlign w:val="center"/>
          </w:tcPr>
          <w:p>
            <w:pPr>
              <w:spacing w:before="0" w:after="20" w:line="240" w:lineRule="auto"/>
            </w:pPr>
            <w:r>
              <w:rPr>
                <w:sz w:val="22"/>
                <w:szCs w:val="22"/>
              </w:rPr>
              <w:t xml:space="preserve">Reglamentaria (CSJ)</w:t>
            </w:r>
          </w:p>
        </w:tc>
        <w:tc>
          <w:tcPr>
            <w:tcW w:w="3120" w:type="dxa"/>
            <w:vAlign w:val="center"/>
          </w:tcPr>
          <w:p>
            <w:pPr>
              <w:spacing w:before="0" w:after="20" w:line="240" w:lineRule="auto"/>
            </w:pPr>
            <w:r>
              <w:rPr>
                <w:sz w:val="22"/>
                <w:szCs w:val="22"/>
              </w:rPr>
              <w:t xml:space="preserve">Deber de revelación detallada del uso de IA</w:t>
            </w:r>
          </w:p>
        </w:tc>
      </w:tr>
      <w:tr>
        <w:tc>
          <w:tcPr>
            <w:tcW w:w="3120" w:type="dxa"/>
            <w:vAlign w:val="center"/>
          </w:tcPr>
          <w:p>
            <w:pPr>
              <w:spacing w:before="0" w:after="20" w:line="240" w:lineRule="auto"/>
            </w:pPr>
            <w:r>
              <w:rPr>
                <w:sz w:val="22"/>
                <w:szCs w:val="22"/>
              </w:rPr>
              <w:t xml:space="preserve">Circular PCSJC24-37 de 2024</w:t>
            </w:r>
          </w:p>
        </w:tc>
        <w:tc>
          <w:tcPr>
            <w:tcW w:w="3120" w:type="dxa"/>
            <w:vAlign w:val="center"/>
          </w:tcPr>
          <w:p>
            <w:pPr>
              <w:spacing w:before="0" w:after="20" w:line="240" w:lineRule="auto"/>
            </w:pPr>
            <w:r>
              <w:rPr>
                <w:sz w:val="22"/>
                <w:szCs w:val="22"/>
              </w:rPr>
              <w:t xml:space="preserve">Reglamentaria (CSJ)</w:t>
            </w:r>
          </w:p>
        </w:tc>
        <w:tc>
          <w:tcPr>
            <w:tcW w:w="3120" w:type="dxa"/>
            <w:vAlign w:val="center"/>
          </w:tcPr>
          <w:p>
            <w:pPr>
              <w:spacing w:before="0" w:after="20" w:line="240" w:lineRule="auto"/>
            </w:pPr>
            <w:r>
              <w:rPr>
                <w:sz w:val="22"/>
                <w:szCs w:val="22"/>
              </w:rPr>
              <w:t xml:space="preserve">"ABC" de la T-323</w:t>
            </w:r>
          </w:p>
        </w:tc>
      </w:tr>
      <w:tr>
        <w:tc>
          <w:tcPr>
            <w:tcW w:w="3120" w:type="dxa"/>
            <w:vAlign w:val="center"/>
          </w:tcPr>
          <w:p>
            <w:pPr>
              <w:spacing w:before="0" w:after="20" w:line="240" w:lineRule="auto"/>
            </w:pPr>
            <w:r>
              <w:rPr>
                <w:sz w:val="22"/>
                <w:szCs w:val="22"/>
              </w:rPr>
              <w:t xml:space="preserve">PL 043-25S / 324-25C</w:t>
            </w:r>
          </w:p>
        </w:tc>
        <w:tc>
          <w:tcPr>
            <w:tcW w:w="3120" w:type="dxa"/>
            <w:vAlign w:val="center"/>
          </w:tcPr>
          <w:p>
            <w:pPr>
              <w:spacing w:before="0" w:after="20" w:line="240" w:lineRule="auto"/>
            </w:pPr>
            <w:r>
              <w:rPr>
                <w:sz w:val="22"/>
                <w:szCs w:val="22"/>
              </w:rPr>
              <w:t xml:space="preserve">Proyecto de ley</w:t>
            </w:r>
          </w:p>
        </w:tc>
        <w:tc>
          <w:tcPr>
            <w:tcW w:w="3120" w:type="dxa"/>
            <w:vAlign w:val="center"/>
          </w:tcPr>
          <w:p>
            <w:pPr>
              <w:spacing w:before="0" w:after="20" w:line="240" w:lineRule="auto"/>
            </w:pPr>
            <w:r>
              <w:rPr>
                <w:sz w:val="22"/>
                <w:szCs w:val="22"/>
              </w:rPr>
              <w:t xml:space="preserve">Regulación por niveles de riesgo</w:t>
            </w:r>
          </w:p>
        </w:tc>
      </w:tr>
    </w:tbl>
    <w:p>
      <w:pPr>
        <w:spacing w:before="0" w:after="120" w:line="240" w:lineRule="auto"/>
      </w:pPr>
    </w:p>
    <w:p>
      <w:pPr>
        <w:spacing w:before="0" w:after="120" w:line="480" w:lineRule="auto"/>
        <w:jc w:val="both"/>
      </w:pPr>
      <w:r>
        <w:rPr>
          <w:i/>
        </w:rPr>
        <w:t xml:space="preserve">Nota.</w:t>
      </w:r>
      <w:r>
        <w:t xml:space="preserve"> Elaboración propia con base en la normativa citada.</w:t>
      </w:r>
    </w:p>
    <w:p>
      <w:pPr>
        <w:spacing w:before="200" w:after="120" w:line="240" w:lineRule="auto"/>
        <w:jc w:val="left"/>
        <w:keepNext/>
      </w:pPr>
      <w:r>
        <w:rPr>
          <w:b/>
          <w:sz w:val="28"/>
          <w:szCs w:val="28"/>
        </w:rPr>
        <w:t xml:space="preserve">1.5 Marco institucional, doctrinal, demográfico y geográfico</w:t>
      </w:r>
    </w:p>
    <w:p>
      <w:pPr>
        <w:spacing w:before="160" w:after="100" w:line="240" w:lineRule="auto"/>
        <w:jc w:val="left"/>
        <w:keepNext/>
      </w:pPr>
      <w:r>
        <w:rPr>
          <w:b/>
          <w:sz w:val="26"/>
          <w:szCs w:val="26"/>
        </w:rPr>
        <w:t xml:space="preserve">1.5.1 Marco institucional y doctrinal</w:t>
      </w:r>
    </w:p>
    <w:p>
      <w:pPr>
        <w:spacing w:before="0" w:after="120" w:line="480" w:lineRule="auto"/>
        <w:jc w:val="both"/>
      </w:pPr>
      <w:r>
        <w:t xml:space="preserve">En el plano de la política pública, el </w:t>
      </w:r>
      <w:r>
        <w:rPr>
          <w:b/>
        </w:rPr>
        <w:t xml:space="preserve">Marco Ético para la Inteligencia Artificial en Colombia</w:t>
      </w:r>
      <w:r>
        <w:t xml:space="preserve"> (MinTIC, 2021) y el documento </w:t>
      </w:r>
      <w:r>
        <w:rPr>
          <w:b/>
        </w:rPr>
        <w:t xml:space="preserve">CONPES 3975 de 2019</w:t>
      </w:r>
      <w:r>
        <w:t xml:space="preserve"> establecen principios orientadores para el uso de la IA en el Estado, referenciados por la jurisprudencia. En el plano doctrinal, la investigación dialoga con los trabajos de Suárez Manrique y De León Vargas (2019) y Suárez Manrique et al. (2023) sobre la aplicabilidad de la IA en el derecho colombiano, así como con los estudios sobre sesgos algorítmicos en el poder judicial (Duitama Pulido, 2022) y sobre modelos de predicción de decisiones (Galvis Vega et al., 2022).</w:t>
      </w:r>
    </w:p>
    <w:p>
      <w:pPr>
        <w:spacing w:before="160" w:after="100" w:line="240" w:lineRule="auto"/>
        <w:jc w:val="left"/>
        <w:keepNext/>
      </w:pPr>
      <w:r>
        <w:rPr>
          <w:b/>
          <w:sz w:val="26"/>
          <w:szCs w:val="26"/>
        </w:rPr>
        <w:t xml:space="preserve">1.5.2 Marco demográfico</w:t>
      </w:r>
    </w:p>
    <w:p>
      <w:pPr>
        <w:spacing w:before="0" w:after="120" w:line="480" w:lineRule="auto"/>
        <w:jc w:val="both"/>
      </w:pPr>
      <w:r>
        <w:t xml:space="preserve">El universo de referencia es el sistema de administración de justicia penal colombiano, que comprende los despachos penales de la Corte Suprema de Justicia (Sala de Casación Penal), los Tribunales Superiores de Distrito Judicial, los Juzgados Penales del Circuito (especializados y ordinarios) y los Juzgados Penales Municipales. Según el Consejo Superior de la Judicatura (2023), existen aproximadamente 4.200 despachos con competencia penal, atendidos por más de 6.500 funcionarios entre jueces, magistrados y conjueces. A ellos se suman más de 5.000 fiscales de la Fiscalía General de la Nación y cerca de 1.800 defensores públicos del Sistema Nacional de Defensoría Pública. El dimensionamiento de este universo es relevante para calibrar la magnitud del desafío regulatorio y formativo que implica la incorporación de la IA.</w:t>
      </w:r>
    </w:p>
    <w:p>
      <w:pPr>
        <w:spacing w:before="160" w:after="100" w:line="240" w:lineRule="auto"/>
        <w:jc w:val="left"/>
        <w:keepNext/>
      </w:pPr>
      <w:r>
        <w:rPr>
          <w:b/>
          <w:sz w:val="26"/>
          <w:szCs w:val="26"/>
        </w:rPr>
        <w:t xml:space="preserve">1.5.3 Marco geográfico</w:t>
      </w:r>
    </w:p>
    <w:p>
      <w:pPr>
        <w:spacing w:before="0" w:after="120" w:line="480" w:lineRule="auto"/>
        <w:jc w:val="both"/>
      </w:pPr>
      <w:r>
        <w:t xml:space="preserve">La investigación se circunscribe al territorio colombiano, con énfasis en los distritos judiciales donde la congestión es más severa y la adopción tecnológica más avanzada: Bogotá D. C., Medellín, Cali, Barranquilla y Bucaramanga. El componente de derecho comparado proyecta el análisis hacia la Unión Europea, los Estados Unidos, Argentina y Brasil, lo que permite contextualizar el fenómeno en el marco del constitucionalismo regional e internacional.</w:t>
      </w:r>
    </w:p>
    <w:p>
      <w:pPr>
        <w:spacing w:before="160" w:after="100" w:line="240" w:lineRule="auto"/>
        <w:jc w:val="left"/>
        <w:keepNext/>
      </w:pPr>
      <w:r>
        <w:rPr>
          <w:b/>
          <w:sz w:val="26"/>
          <w:szCs w:val="26"/>
        </w:rPr>
        <w:t xml:space="preserve">1.5.4 Síntesis del capítulo</w:t>
      </w:r>
    </w:p>
    <w:p>
      <w:pPr>
        <w:spacing w:before="0" w:after="120" w:line="480" w:lineRule="auto"/>
        <w:jc w:val="both"/>
      </w:pPr>
      <w:r>
        <w:t xml:space="preserve">El marco reconstruido evidencia que Colombia cuenta con un </w:t>
      </w:r>
      <w:r>
        <w:rPr>
          <w:b/>
        </w:rPr>
        <w:t xml:space="preserve">andamiaje incipiente pero fragmentado</w:t>
      </w:r>
      <w:r>
        <w:t xml:space="preserve">: un precedente constitucional robusto (T-323 de 2024), desarrollos reglamentarios internos de la Rama Judicial y un proyecto de ley en trámite, pero sin una ley estatutaria que regule de forma integral y específica el uso de la IA en el proceso penal. Esta fragmentación normativa es, precisamente, el espacio que la presente investigación busca contribuir a llenar.</w:t>
      </w:r>
    </w:p>
    <w:p>
      <w:r>
        <w:br w:type="page"/>
      </w:r>
    </w:p>
    <w:p>
      <w:pPr>
        <w:spacing w:before="240" w:after="160" w:line="240" w:lineRule="auto"/>
        <w:jc w:val="center"/>
        <w:keepNext/>
      </w:pPr>
      <w:r>
        <w:rPr>
          <w:b/>
          <w:sz w:val="32"/>
          <w:szCs w:val="32"/>
        </w:rPr>
        <w:t xml:space="preserve">CAPÍTULO 2. RIESGOS DE ALUCINACIONES ALGORÍTMICAS Y SESGOS EN EL PROCESO PENAL</w:t>
      </w:r>
    </w:p>
    <w:p>
      <w:pPr>
        <w:spacing w:before="40" w:after="120" w:line="360" w:lineRule="auto"/>
        <w:jc w:val="left"/>
      </w:pPr>
      <w:r>
        <w:rPr>
          <w:sz w:val="22"/>
          <w:szCs w:val="22"/>
        </w:rPr>
        <w:t xml:space="preserve">Este capítulo desarrolla el segundo objetivo específico: categorizar los riesgos de alucinaciones algorítmicas y de sesgos en el proceso penal, relacionándolos con las garantías del debido proceso y la presunción de inocencia.</w:t>
      </w:r>
    </w:p>
    <w:p>
      <w:pPr>
        <w:spacing w:before="200" w:after="120" w:line="240" w:lineRule="auto"/>
        <w:jc w:val="left"/>
        <w:keepNext/>
      </w:pPr>
      <w:r>
        <w:rPr>
          <w:b/>
          <w:sz w:val="28"/>
          <w:szCs w:val="28"/>
        </w:rPr>
        <w:t xml:space="preserve">2.1 Fundamentos técnicos de los riesgos</w:t>
      </w:r>
    </w:p>
    <w:p>
      <w:pPr>
        <w:spacing w:before="0" w:after="120" w:line="480" w:lineRule="auto"/>
        <w:jc w:val="both"/>
      </w:pPr>
      <w:r>
        <w:t xml:space="preserve">Para que el análisis jurídico sea riguroso, es indispensable comprender, en términos accesibles, cómo funcionan los sistemas de IA cuya incorporación se discute. Los </w:t>
      </w:r>
      <w:r>
        <w:rPr>
          <w:b/>
        </w:rPr>
        <w:t xml:space="preserve">modelos extensos de lenguaje</w:t>
      </w:r>
      <w:r>
        <w:t xml:space="preserve"> (LLM, por sus siglas en inglés) que sustentan a la IA generativa operan sobre una lógica de predicción estadística: dado un texto de entrada, calculan cuál es la secuencia de palabras más probable como respuesta, a partir de patrones aprendidos sobre enormes volúmenes de datos. No "comprenden" el derecho ni verifican la verdad de lo que afirman; producen el texto estadísticamente más plausible. Por su parte, los </w:t>
      </w:r>
      <w:r>
        <w:rPr>
          <w:b/>
        </w:rPr>
        <w:t xml:space="preserve">sistemas predictivos o actuariales</w:t>
      </w:r>
      <w:r>
        <w:t xml:space="preserve"> asignan puntuaciones de riesgo (por ejemplo, de reincidencia) mediante la correlación de variables observadas en datos históricos.</w:t>
      </w:r>
    </w:p>
    <w:p>
      <w:pPr>
        <w:spacing w:before="0" w:after="120" w:line="480" w:lineRule="auto"/>
        <w:jc w:val="both"/>
      </w:pPr>
      <w:r>
        <w:t xml:space="preserve">De esta arquitectura derivan tres categorías de riesgo de relevancia constitucional: (i) las </w:t>
      </w:r>
      <w:r>
        <w:rPr>
          <w:b/>
        </w:rPr>
        <w:t xml:space="preserve">alucinaciones</w:t>
      </w:r>
      <w:r>
        <w:t xml:space="preserve">, (ii) los </w:t>
      </w:r>
      <w:r>
        <w:rPr>
          <w:b/>
        </w:rPr>
        <w:t xml:space="preserve">sesgos</w:t>
      </w:r>
      <w:r>
        <w:t xml:space="preserve"> y (iii) la </w:t>
      </w:r>
      <w:r>
        <w:rPr>
          <w:b/>
        </w:rPr>
        <w:t xml:space="preserve">opacidad</w:t>
      </w:r>
      <w:r>
        <w:t xml:space="preserve"> o "caja negra". Cada una afecta de manera diferenciada las garantías del proceso penal, como se desarrolla a continuación.</w:t>
      </w:r>
    </w:p>
    <w:p>
      <w:pPr>
        <w:spacing w:before="200" w:after="120" w:line="240" w:lineRule="auto"/>
        <w:jc w:val="left"/>
        <w:keepNext/>
      </w:pPr>
      <w:r>
        <w:rPr>
          <w:b/>
          <w:sz w:val="28"/>
          <w:szCs w:val="28"/>
        </w:rPr>
        <w:t xml:space="preserve">2.2 Alucinaciones algorítmicas y deber de motivación</w:t>
      </w:r>
    </w:p>
    <w:p>
      <w:pPr>
        <w:spacing w:before="160" w:after="100" w:line="240" w:lineRule="auto"/>
        <w:jc w:val="left"/>
        <w:keepNext/>
      </w:pPr>
      <w:r>
        <w:rPr>
          <w:b/>
          <w:sz w:val="26"/>
          <w:szCs w:val="26"/>
        </w:rPr>
        <w:t xml:space="preserve">2.2.1 Concepto y manifestaciones</w:t>
      </w:r>
    </w:p>
    <w:p>
      <w:pPr>
        <w:spacing w:before="0" w:after="120" w:line="480" w:lineRule="auto"/>
        <w:jc w:val="both"/>
      </w:pPr>
      <w:r>
        <w:t xml:space="preserve">Las </w:t>
      </w:r>
      <w:r>
        <w:rPr>
          <w:b/>
        </w:rPr>
        <w:t xml:space="preserve">alucinaciones</w:t>
      </w:r>
      <w:r>
        <w:t xml:space="preserve"> son afirmaciones generadas por el modelo que resultan plausibles en su forma, pero falsas o inexistentes en su contenido (Bender et al., 2021). En el ámbito jurídico se manifiestan, de modo característico, en la </w:t>
      </w:r>
      <w:r>
        <w:rPr>
          <w:b/>
        </w:rPr>
        <w:t xml:space="preserve">invención de jurisprudencia y de citas normativas</w:t>
      </w:r>
      <w:r>
        <w:t xml:space="preserve">: el sistema produce números de sentencia, nombres de partes, citas doctrinales o artículos legales que no existen, pero que aparentan plena autenticidad. El caso estadounidense </w:t>
      </w:r>
      <w:r>
        <w:rPr>
          <w:i/>
        </w:rPr>
        <w:t xml:space="preserve">Mata v. Avianca</w:t>
      </w:r>
      <w:r>
        <w:t xml:space="preserve"> (2023), en el que abogados presentaron ante un tribunal de Nueva York precedentes inexistentes generados por ChatGPT, ilustra el fenómeno y su capacidad de contaminar la actuación procesal.</w:t>
      </w:r>
    </w:p>
    <w:p>
      <w:pPr>
        <w:spacing w:before="160" w:after="100" w:line="240" w:lineRule="auto"/>
        <w:jc w:val="left"/>
        <w:keepNext/>
      </w:pPr>
      <w:r>
        <w:rPr>
          <w:b/>
          <w:sz w:val="26"/>
          <w:szCs w:val="26"/>
        </w:rPr>
        <w:t xml:space="preserve">2.2.2 Afectación de garantías</w:t>
      </w:r>
    </w:p>
    <w:p>
      <w:pPr>
        <w:spacing w:before="0" w:after="120" w:line="480" w:lineRule="auto"/>
        <w:jc w:val="both"/>
      </w:pPr>
      <w:r>
        <w:t xml:space="preserve">En materia penal, una alucinación incorporada a una decisión compromete directamente el </w:t>
      </w:r>
      <w:r>
        <w:rPr>
          <w:b/>
        </w:rPr>
        <w:t xml:space="preserve">deber de motivación</w:t>
      </w:r>
      <w:r>
        <w:t xml:space="preserve"> (art. 29 de la Constitución Política; Corte Constitucional de Colombia, 1996), pues una providencia fundada en premisas falsas no satisface la exigencia de motivación racional y suficiente. La Sentencia T-323 de 2024 anticipó este riesgo al imponer al juez el deber de </w:t>
      </w:r>
      <w:r>
        <w:rPr>
          <w:b/>
        </w:rPr>
        <w:t xml:space="preserve">verificación reforzada</w:t>
      </w:r>
      <w:r>
        <w:t xml:space="preserve"> de toda información suministrada por la herramienta. La gravedad es mayor en sede penal: una cita jurisprudencial inventada que sustente la negación de la libertad o la imposición de una pena vulnera el debido proceso y puede acarrear responsabilidad disciplinaria del funcionario. El riesgo no es exclusivo del juez: si la fiscalía o la defensa fundan sus pretensiones en contenidos alucinados, se distorsiona el debate probatorio y se afecta la lealtad procesal.</w:t>
      </w:r>
    </w:p>
    <w:p>
      <w:pPr>
        <w:spacing w:before="200" w:after="120" w:line="240" w:lineRule="auto"/>
        <w:jc w:val="left"/>
        <w:keepNext/>
      </w:pPr>
      <w:r>
        <w:rPr>
          <w:b/>
          <w:sz w:val="28"/>
          <w:szCs w:val="28"/>
        </w:rPr>
        <w:t xml:space="preserve">2.3 Sesgos algorítmicos e igualdad procesal</w:t>
      </w:r>
    </w:p>
    <w:p>
      <w:pPr>
        <w:spacing w:before="160" w:after="100" w:line="240" w:lineRule="auto"/>
        <w:jc w:val="left"/>
        <w:keepNext/>
      </w:pPr>
      <w:r>
        <w:rPr>
          <w:b/>
          <w:sz w:val="26"/>
          <w:szCs w:val="26"/>
        </w:rPr>
        <w:t xml:space="preserve">2.3.1 Origen y tipología de los sesgos</w:t>
      </w:r>
    </w:p>
    <w:p>
      <w:pPr>
        <w:spacing w:before="0" w:after="120" w:line="480" w:lineRule="auto"/>
        <w:jc w:val="both"/>
      </w:pPr>
      <w:r>
        <w:t xml:space="preserve">El </w:t>
      </w:r>
      <w:r>
        <w:rPr>
          <w:b/>
        </w:rPr>
        <w:t xml:space="preserve">sesgo algorítmico</w:t>
      </w:r>
      <w:r>
        <w:t xml:space="preserve"> es la producción sistemática de resultados injustamente desfavorables para determinados grupos. Su origen suele ser triple: (i) </w:t>
      </w:r>
      <w:r>
        <w:rPr>
          <w:b/>
        </w:rPr>
        <w:t xml:space="preserve">sesgo en los datos</w:t>
      </w:r>
      <w:r>
        <w:t xml:space="preserve"> de entrenamiento, que reflejan desigualdades históricas (por ejemplo, sobrerrepresentación de ciertos grupos en registros policiales); (ii) </w:t>
      </w:r>
      <w:r>
        <w:rPr>
          <w:b/>
        </w:rPr>
        <w:t xml:space="preserve">sesgo en el diseño</w:t>
      </w:r>
      <w:r>
        <w:t xml:space="preserve"> del modelo (selección de variables que actúan como aproximaciones —</w:t>
      </w:r>
      <w:r>
        <w:rPr>
          <w:i/>
        </w:rPr>
        <w:t xml:space="preserve">proxies</w:t>
      </w:r>
      <w:r>
        <w:t xml:space="preserve">— de características protegidas, como el lugar de residencia respecto del origen socioeconómico o étnico); y (iii) </w:t>
      </w:r>
      <w:r>
        <w:rPr>
          <w:b/>
        </w:rPr>
        <w:t xml:space="preserve">sesgo de automatización</w:t>
      </w:r>
      <w:r>
        <w:t xml:space="preserve">, esto es, la tendencia humana a confiar acríticamente en la salida de la máquina.</w:t>
      </w:r>
    </w:p>
    <w:p>
      <w:pPr>
        <w:spacing w:before="0" w:after="120" w:line="480" w:lineRule="auto"/>
        <w:jc w:val="both"/>
      </w:pPr>
      <w:r>
        <w:t xml:space="preserve">El caso paradigmático es el del sistema </w:t>
      </w:r>
      <w:r>
        <w:rPr>
          <w:b/>
        </w:rPr>
        <w:t xml:space="preserve">COMPAS</w:t>
      </w:r>
      <w:r>
        <w:t xml:space="preserve"> en los Estados Unidos. La investigación periodística de Angwin et al. (2016) documentó que el algoritmo sobreestimaba el riesgo de reincidencia de las personas afrodescendientes y subestimaba el de las personas blancas, lo que evidenció cómo un instrumento aparentemente neutral puede reproducir y amplificar la discriminación estructural.</w:t>
      </w:r>
    </w:p>
    <w:p>
      <w:pPr>
        <w:spacing w:before="160" w:after="100" w:line="240" w:lineRule="auto"/>
        <w:jc w:val="left"/>
        <w:keepNext/>
      </w:pPr>
      <w:r>
        <w:rPr>
          <w:b/>
          <w:sz w:val="26"/>
          <w:szCs w:val="26"/>
        </w:rPr>
        <w:t xml:space="preserve">2.3.2 Afectación de garantías</w:t>
      </w:r>
    </w:p>
    <w:p>
      <w:pPr>
        <w:spacing w:before="0" w:after="120" w:line="480" w:lineRule="auto"/>
        <w:jc w:val="both"/>
      </w:pPr>
      <w:r>
        <w:t xml:space="preserve">Los sesgos comprometen el </w:t>
      </w:r>
      <w:r>
        <w:rPr>
          <w:b/>
        </w:rPr>
        <w:t xml:space="preserve">principio de igualdad</w:t>
      </w:r>
      <w:r>
        <w:t xml:space="preserve"> (art. 13 de la Constitución Política) y la </w:t>
      </w:r>
      <w:r>
        <w:rPr>
          <w:b/>
        </w:rPr>
        <w:t xml:space="preserve">presunción de inocencia</w:t>
      </w:r>
      <w:r>
        <w:t xml:space="preserve">. En el proceso penal, el empleo de predicciones de "peligrosidad" o "reincidencia" para decidir sobre la detención preventiva, la concesión de subrogados o la dosificación de la pena introduce un razonamiento actuarial incompatible con el </w:t>
      </w:r>
      <w:r>
        <w:rPr>
          <w:b/>
        </w:rPr>
        <w:t xml:space="preserve">derecho penal de acto</w:t>
      </w:r>
      <w:r>
        <w:t xml:space="preserve">: la persona dejaría de ser juzgada por lo que hizo y probadamente se le atribuye, para serlo por lo que un modelo estadístico predice que podría hacer. Ello entra en tensión con la prohibición del </w:t>
      </w:r>
      <w:r>
        <w:rPr>
          <w:i/>
        </w:rPr>
        <w:t xml:space="preserve">derecho penal de autor</w:t>
      </w:r>
      <w:r>
        <w:t xml:space="preserve"> y con la dignidad humana, que veda tratar a la persona como mero objeto de cálculo. En Colombia, donde persisten brechas socioeconómicas y territoriales profundas, la importación acrítica de estos modelos amenaza con automatizar y legitimar la discriminación.</w:t>
      </w:r>
    </w:p>
    <w:p>
      <w:pPr>
        <w:spacing w:before="200" w:after="120" w:line="240" w:lineRule="auto"/>
        <w:jc w:val="left"/>
        <w:keepNext/>
      </w:pPr>
      <w:r>
        <w:rPr>
          <w:b/>
          <w:sz w:val="28"/>
          <w:szCs w:val="28"/>
        </w:rPr>
        <w:t xml:space="preserve">2.4 La "caja negra" y el derecho de contradicción</w:t>
      </w:r>
    </w:p>
    <w:p>
      <w:pPr>
        <w:spacing w:before="0" w:after="120" w:line="480" w:lineRule="auto"/>
        <w:jc w:val="both"/>
      </w:pPr>
      <w:r>
        <w:t xml:space="preserve">La </w:t>
      </w:r>
      <w:r>
        <w:rPr>
          <w:b/>
        </w:rPr>
        <w:t xml:space="preserve">opacidad</w:t>
      </w:r>
      <w:r>
        <w:t xml:space="preserve"> algorítmica designa la imposibilidad de reconstruir y explicar cómo un sistema llegó a un resultado, sea por su complejidad técnica, sea por la </w:t>
      </w:r>
      <w:r>
        <w:rPr>
          <w:b/>
        </w:rPr>
        <w:t xml:space="preserve">protección del secreto comercial</w:t>
      </w:r>
      <w:r>
        <w:t xml:space="preserve"> del proveedor (Pasquale, 2015). Este último factor fue determinante en </w:t>
      </w:r>
      <w:r>
        <w:rPr>
          <w:i/>
        </w:rPr>
        <w:t xml:space="preserve">State v. Loomis</w:t>
      </w:r>
      <w:r>
        <w:t xml:space="preserve"> (2016): el carácter propietario de COMPAS impidió a la defensa conocer la metodología del cálculo de riesgo.</w:t>
      </w:r>
    </w:p>
    <w:p>
      <w:pPr>
        <w:spacing w:before="0" w:after="120" w:line="480" w:lineRule="auto"/>
        <w:jc w:val="both"/>
      </w:pPr>
      <w:r>
        <w:t xml:space="preserve">La opacidad afecta de manera frontal el </w:t>
      </w:r>
      <w:r>
        <w:rPr>
          <w:b/>
        </w:rPr>
        <w:t xml:space="preserve">derecho de defensa y contradicción</w:t>
      </w:r>
      <w:r>
        <w:t xml:space="preserve"> (art. 29 de la Constitución Política; art. 8 de la Convención Americana sobre Derechos Humanos). Si la defensa no puede acceder a la lógica, los datos y los parámetros de un sistema que incide en la decisión, no puede controvertirlo eficazmente, lo que rompe la </w:t>
      </w:r>
      <w:r>
        <w:rPr>
          <w:b/>
        </w:rPr>
        <w:t xml:space="preserve">igualdad de armas</w:t>
      </w:r>
      <w:r>
        <w:t xml:space="preserve"> y vulnera el debido proceso. De ahí que esta investigación postule, en el Capítulo 4, una nueva garantía: la </w:t>
      </w:r>
      <w:r>
        <w:rPr>
          <w:b/>
        </w:rPr>
        <w:t xml:space="preserve">contradicción algorítmica</w:t>
      </w:r>
      <w:r>
        <w:t xml:space="preserve">, entendida como el derecho de las partes a conocer, auditar y refutar las herramientas de IA que influyan en una decisión penal.</w:t>
      </w:r>
    </w:p>
    <w:p>
      <w:pPr>
        <w:spacing w:before="200" w:after="120" w:line="240" w:lineRule="auto"/>
        <w:jc w:val="left"/>
        <w:keepNext/>
      </w:pPr>
      <w:r>
        <w:rPr>
          <w:b/>
          <w:sz w:val="28"/>
          <w:szCs w:val="28"/>
        </w:rPr>
        <w:t xml:space="preserve">2.5 Matriz de riesgos por actor procesal y por etapa</w:t>
      </w:r>
    </w:p>
    <w:p>
      <w:pPr>
        <w:spacing w:before="0" w:after="120" w:line="480" w:lineRule="auto"/>
        <w:jc w:val="both"/>
      </w:pPr>
      <w:r>
        <w:t xml:space="preserve">Como aporte analítico, se propone una matriz que cruza los actores procesales y las etapas del proceso penal con los riesgos identificados, a fin de orientar la adopción de salvaguardas diferenciadas (Tabla 4).</w:t>
      </w:r>
    </w:p>
    <w:p>
      <w:pPr>
        <w:spacing w:before="0" w:after="120" w:line="480" w:lineRule="auto"/>
        <w:jc w:val="both"/>
      </w:pPr>
      <w:r>
        <w:rPr>
          <w:b/>
        </w:rPr>
        <w:t xml:space="preserve">Tabla 4</w:t>
      </w:r>
    </w:p>
    <w:p>
      <w:pPr>
        <w:spacing w:before="0" w:after="120" w:line="480" w:lineRule="auto"/>
        <w:jc w:val="both"/>
      </w:pPr>
      <w:r>
        <w:rPr>
          <w:i/>
        </w:rPr>
        <w:t xml:space="preserve">Matriz de riesgos por actor procesal y etapa del proceso penal</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1872"/>
        <w:gridCol w:w="1872"/>
        <w:gridCol w:w="1872"/>
        <w:gridCol w:w="1872"/>
        <w:gridCol w:w="1872"/>
      </w:tblGrid>
      <w:tr>
        <w:tc>
          <w:tcPr>
            <w:tcW w:w="1872" w:type="dxa"/>
            <w:shd w:val="clear" w:color="auto" w:fill="E7E6E6"/>
            <w:vAlign w:val="center"/>
          </w:tcPr>
          <w:p>
            <w:pPr>
              <w:spacing w:before="0" w:after="20" w:line="240" w:lineRule="auto"/>
            </w:pPr>
            <w:r>
              <w:rPr>
                <w:b/>
                <w:sz w:val="22"/>
                <w:szCs w:val="22"/>
              </w:rPr>
              <w:t xml:space="preserve">Actor</w:t>
            </w:r>
          </w:p>
        </w:tc>
        <w:tc>
          <w:tcPr>
            <w:tcW w:w="1872" w:type="dxa"/>
            <w:shd w:val="clear" w:color="auto" w:fill="E7E6E6"/>
            <w:vAlign w:val="center"/>
          </w:tcPr>
          <w:p>
            <w:pPr>
              <w:spacing w:before="0" w:after="20" w:line="240" w:lineRule="auto"/>
            </w:pPr>
            <w:r>
              <w:rPr>
                <w:b/>
                <w:sz w:val="22"/>
                <w:szCs w:val="22"/>
              </w:rPr>
              <w:t xml:space="preserve">Etapa / actuación</w:t>
            </w:r>
          </w:p>
        </w:tc>
        <w:tc>
          <w:tcPr>
            <w:tcW w:w="1872" w:type="dxa"/>
            <w:shd w:val="clear" w:color="auto" w:fill="E7E6E6"/>
            <w:vAlign w:val="center"/>
          </w:tcPr>
          <w:p>
            <w:pPr>
              <w:spacing w:before="0" w:after="20" w:line="240" w:lineRule="auto"/>
            </w:pPr>
            <w:r>
              <w:rPr>
                <w:b/>
                <w:sz w:val="22"/>
                <w:szCs w:val="22"/>
              </w:rPr>
              <w:t xml:space="preserve">Uso riesgoso de IA</w:t>
            </w:r>
          </w:p>
        </w:tc>
        <w:tc>
          <w:tcPr>
            <w:tcW w:w="1872" w:type="dxa"/>
            <w:shd w:val="clear" w:color="auto" w:fill="E7E6E6"/>
            <w:vAlign w:val="center"/>
          </w:tcPr>
          <w:p>
            <w:pPr>
              <w:spacing w:before="0" w:after="20" w:line="240" w:lineRule="auto"/>
            </w:pPr>
            <w:r>
              <w:rPr>
                <w:b/>
                <w:sz w:val="22"/>
                <w:szCs w:val="22"/>
              </w:rPr>
              <w:t xml:space="preserve">Riesgo dominante</w:t>
            </w:r>
          </w:p>
        </w:tc>
        <w:tc>
          <w:tcPr>
            <w:tcW w:w="1872" w:type="dxa"/>
            <w:shd w:val="clear" w:color="auto" w:fill="E7E6E6"/>
            <w:vAlign w:val="center"/>
          </w:tcPr>
          <w:p>
            <w:pPr>
              <w:spacing w:before="0" w:after="20" w:line="240" w:lineRule="auto"/>
            </w:pPr>
            <w:r>
              <w:rPr>
                <w:b/>
                <w:sz w:val="22"/>
                <w:szCs w:val="22"/>
              </w:rPr>
              <w:t xml:space="preserve">Garantía comprometida</w:t>
            </w:r>
          </w:p>
        </w:tc>
      </w:tr>
      <w:tr>
        <w:tc>
          <w:tcPr>
            <w:tcW w:w="1872" w:type="dxa"/>
            <w:vAlign w:val="center"/>
          </w:tcPr>
          <w:p>
            <w:pPr>
              <w:spacing w:before="0" w:after="20" w:line="240" w:lineRule="auto"/>
            </w:pPr>
            <w:r>
              <w:rPr>
                <w:sz w:val="22"/>
                <w:szCs w:val="22"/>
              </w:rPr>
              <w:t xml:space="preserve">Juez</w:t>
            </w:r>
          </w:p>
        </w:tc>
        <w:tc>
          <w:tcPr>
            <w:tcW w:w="1872" w:type="dxa"/>
            <w:vAlign w:val="center"/>
          </w:tcPr>
          <w:p>
            <w:pPr>
              <w:spacing w:before="0" w:after="20" w:line="240" w:lineRule="auto"/>
            </w:pPr>
            <w:r>
              <w:rPr>
                <w:sz w:val="22"/>
                <w:szCs w:val="22"/>
              </w:rPr>
              <w:t xml:space="preserve">Decisión sobre medida de aseguramiento</w:t>
            </w:r>
          </w:p>
        </w:tc>
        <w:tc>
          <w:tcPr>
            <w:tcW w:w="1872" w:type="dxa"/>
            <w:vAlign w:val="center"/>
          </w:tcPr>
          <w:p>
            <w:pPr>
              <w:spacing w:before="0" w:after="20" w:line="240" w:lineRule="auto"/>
            </w:pPr>
            <w:r>
              <w:rPr>
                <w:sz w:val="22"/>
                <w:szCs w:val="22"/>
              </w:rPr>
              <w:t xml:space="preserve">Predicción de "peligrosidad"/reincidencia</w:t>
            </w:r>
          </w:p>
        </w:tc>
        <w:tc>
          <w:tcPr>
            <w:tcW w:w="1872" w:type="dxa"/>
            <w:vAlign w:val="center"/>
          </w:tcPr>
          <w:p>
            <w:pPr>
              <w:spacing w:before="0" w:after="20" w:line="240" w:lineRule="auto"/>
            </w:pPr>
            <w:r>
              <w:rPr>
                <w:sz w:val="22"/>
                <w:szCs w:val="22"/>
              </w:rPr>
              <w:t xml:space="preserve">Sesgo + automatización</w:t>
            </w:r>
          </w:p>
        </w:tc>
        <w:tc>
          <w:tcPr>
            <w:tcW w:w="1872" w:type="dxa"/>
            <w:vAlign w:val="center"/>
          </w:tcPr>
          <w:p>
            <w:pPr>
              <w:spacing w:before="0" w:after="20" w:line="240" w:lineRule="auto"/>
            </w:pPr>
            <w:r>
              <w:rPr>
                <w:sz w:val="22"/>
                <w:szCs w:val="22"/>
              </w:rPr>
              <w:t xml:space="preserve">Presunción de inocencia; libertad</w:t>
            </w:r>
          </w:p>
        </w:tc>
      </w:tr>
      <w:tr>
        <w:tc>
          <w:tcPr>
            <w:tcW w:w="1872" w:type="dxa"/>
            <w:vAlign w:val="center"/>
          </w:tcPr>
          <w:p>
            <w:pPr>
              <w:spacing w:before="0" w:after="20" w:line="240" w:lineRule="auto"/>
            </w:pPr>
            <w:r>
              <w:rPr>
                <w:sz w:val="22"/>
                <w:szCs w:val="22"/>
              </w:rPr>
              <w:t xml:space="preserve">Juez</w:t>
            </w:r>
          </w:p>
        </w:tc>
        <w:tc>
          <w:tcPr>
            <w:tcW w:w="1872" w:type="dxa"/>
            <w:vAlign w:val="center"/>
          </w:tcPr>
          <w:p>
            <w:pPr>
              <w:spacing w:before="0" w:after="20" w:line="240" w:lineRule="auto"/>
            </w:pPr>
            <w:r>
              <w:rPr>
                <w:sz w:val="22"/>
                <w:szCs w:val="22"/>
              </w:rPr>
              <w:t xml:space="preserve">Proyección y motivación de la sentencia</w:t>
            </w:r>
          </w:p>
        </w:tc>
        <w:tc>
          <w:tcPr>
            <w:tcW w:w="1872" w:type="dxa"/>
            <w:vAlign w:val="center"/>
          </w:tcPr>
          <w:p>
            <w:pPr>
              <w:spacing w:before="0" w:after="20" w:line="240" w:lineRule="auto"/>
            </w:pPr>
            <w:r>
              <w:rPr>
                <w:sz w:val="22"/>
                <w:szCs w:val="22"/>
              </w:rPr>
              <w:t xml:space="preserve">Generación de fundamentos y citas</w:t>
            </w:r>
          </w:p>
        </w:tc>
        <w:tc>
          <w:tcPr>
            <w:tcW w:w="1872" w:type="dxa"/>
            <w:vAlign w:val="center"/>
          </w:tcPr>
          <w:p>
            <w:pPr>
              <w:spacing w:before="0" w:after="20" w:line="240" w:lineRule="auto"/>
            </w:pPr>
            <w:r>
              <w:rPr>
                <w:sz w:val="22"/>
                <w:szCs w:val="22"/>
              </w:rPr>
              <w:t xml:space="preserve">Alucinación</w:t>
            </w:r>
          </w:p>
        </w:tc>
        <w:tc>
          <w:tcPr>
            <w:tcW w:w="1872" w:type="dxa"/>
            <w:vAlign w:val="center"/>
          </w:tcPr>
          <w:p>
            <w:pPr>
              <w:spacing w:before="0" w:after="20" w:line="240" w:lineRule="auto"/>
            </w:pPr>
            <w:r>
              <w:rPr>
                <w:sz w:val="22"/>
                <w:szCs w:val="22"/>
              </w:rPr>
              <w:t xml:space="preserve">Deber de motivación</w:t>
            </w:r>
          </w:p>
        </w:tc>
      </w:tr>
      <w:tr>
        <w:tc>
          <w:tcPr>
            <w:tcW w:w="1872" w:type="dxa"/>
            <w:vAlign w:val="center"/>
          </w:tcPr>
          <w:p>
            <w:pPr>
              <w:spacing w:before="0" w:after="20" w:line="240" w:lineRule="auto"/>
            </w:pPr>
            <w:r>
              <w:rPr>
                <w:sz w:val="22"/>
                <w:szCs w:val="22"/>
              </w:rPr>
              <w:t xml:space="preserve">Juez</w:t>
            </w:r>
          </w:p>
        </w:tc>
        <w:tc>
          <w:tcPr>
            <w:tcW w:w="1872" w:type="dxa"/>
            <w:vAlign w:val="center"/>
          </w:tcPr>
          <w:p>
            <w:pPr>
              <w:spacing w:before="0" w:after="20" w:line="240" w:lineRule="auto"/>
            </w:pPr>
            <w:r>
              <w:rPr>
                <w:sz w:val="22"/>
                <w:szCs w:val="22"/>
              </w:rPr>
              <w:t xml:space="preserve">Valoración probatoria</w:t>
            </w:r>
          </w:p>
        </w:tc>
        <w:tc>
          <w:tcPr>
            <w:tcW w:w="1872" w:type="dxa"/>
            <w:vAlign w:val="center"/>
          </w:tcPr>
          <w:p>
            <w:pPr>
              <w:spacing w:before="0" w:after="20" w:line="240" w:lineRule="auto"/>
            </w:pPr>
            <w:r>
              <w:rPr>
                <w:sz w:val="22"/>
                <w:szCs w:val="22"/>
              </w:rPr>
              <w:t xml:space="preserve">Análisis automatizado de pruebas</w:t>
            </w:r>
          </w:p>
        </w:tc>
        <w:tc>
          <w:tcPr>
            <w:tcW w:w="1872" w:type="dxa"/>
            <w:vAlign w:val="center"/>
          </w:tcPr>
          <w:p>
            <w:pPr>
              <w:spacing w:before="0" w:after="20" w:line="240" w:lineRule="auto"/>
            </w:pPr>
            <w:r>
              <w:rPr>
                <w:sz w:val="22"/>
                <w:szCs w:val="22"/>
              </w:rPr>
              <w:t xml:space="preserve">Sesgo + opacidad</w:t>
            </w:r>
          </w:p>
        </w:tc>
        <w:tc>
          <w:tcPr>
            <w:tcW w:w="1872" w:type="dxa"/>
            <w:vAlign w:val="center"/>
          </w:tcPr>
          <w:p>
            <w:pPr>
              <w:spacing w:before="0" w:after="20" w:line="240" w:lineRule="auto"/>
            </w:pPr>
            <w:r>
              <w:rPr>
                <w:sz w:val="22"/>
                <w:szCs w:val="22"/>
              </w:rPr>
              <w:t xml:space="preserve">Inmediación; sana crítica</w:t>
            </w:r>
          </w:p>
        </w:tc>
      </w:tr>
      <w:tr>
        <w:tc>
          <w:tcPr>
            <w:tcW w:w="1872" w:type="dxa"/>
            <w:vAlign w:val="center"/>
          </w:tcPr>
          <w:p>
            <w:pPr>
              <w:spacing w:before="0" w:after="20" w:line="240" w:lineRule="auto"/>
            </w:pPr>
            <w:r>
              <w:rPr>
                <w:sz w:val="22"/>
                <w:szCs w:val="22"/>
              </w:rPr>
              <w:t xml:space="preserve">Fiscalía</w:t>
            </w:r>
          </w:p>
        </w:tc>
        <w:tc>
          <w:tcPr>
            <w:tcW w:w="1872" w:type="dxa"/>
            <w:vAlign w:val="center"/>
          </w:tcPr>
          <w:p>
            <w:pPr>
              <w:spacing w:before="0" w:after="20" w:line="240" w:lineRule="auto"/>
            </w:pPr>
            <w:r>
              <w:rPr>
                <w:sz w:val="22"/>
                <w:szCs w:val="22"/>
              </w:rPr>
              <w:t xml:space="preserve">Priorización e investigación</w:t>
            </w:r>
          </w:p>
        </w:tc>
        <w:tc>
          <w:tcPr>
            <w:tcW w:w="1872" w:type="dxa"/>
            <w:vAlign w:val="center"/>
          </w:tcPr>
          <w:p>
            <w:pPr>
              <w:spacing w:before="0" w:after="20" w:line="240" w:lineRule="auto"/>
            </w:pPr>
            <w:r>
              <w:rPr>
                <w:sz w:val="22"/>
                <w:szCs w:val="22"/>
              </w:rPr>
              <w:t xml:space="preserve">Análisis predictivo de casos/perfiles</w:t>
            </w:r>
          </w:p>
        </w:tc>
        <w:tc>
          <w:tcPr>
            <w:tcW w:w="1872" w:type="dxa"/>
            <w:vAlign w:val="center"/>
          </w:tcPr>
          <w:p>
            <w:pPr>
              <w:spacing w:before="0" w:after="20" w:line="240" w:lineRule="auto"/>
            </w:pPr>
            <w:r>
              <w:rPr>
                <w:sz w:val="22"/>
                <w:szCs w:val="22"/>
              </w:rPr>
              <w:t xml:space="preserve">Sesgo</w:t>
            </w:r>
          </w:p>
        </w:tc>
        <w:tc>
          <w:tcPr>
            <w:tcW w:w="1872" w:type="dxa"/>
            <w:vAlign w:val="center"/>
          </w:tcPr>
          <w:p>
            <w:pPr>
              <w:spacing w:before="0" w:after="20" w:line="240" w:lineRule="auto"/>
            </w:pPr>
            <w:r>
              <w:rPr>
                <w:sz w:val="22"/>
                <w:szCs w:val="22"/>
              </w:rPr>
              <w:t xml:space="preserve">Igualdad; objetividad</w:t>
            </w:r>
          </w:p>
        </w:tc>
      </w:tr>
      <w:tr>
        <w:tc>
          <w:tcPr>
            <w:tcW w:w="1872" w:type="dxa"/>
            <w:vAlign w:val="center"/>
          </w:tcPr>
          <w:p>
            <w:pPr>
              <w:spacing w:before="0" w:after="20" w:line="240" w:lineRule="auto"/>
            </w:pPr>
            <w:r>
              <w:rPr>
                <w:sz w:val="22"/>
                <w:szCs w:val="22"/>
              </w:rPr>
              <w:t xml:space="preserve">Fiscalía</w:t>
            </w:r>
          </w:p>
        </w:tc>
        <w:tc>
          <w:tcPr>
            <w:tcW w:w="1872" w:type="dxa"/>
            <w:vAlign w:val="center"/>
          </w:tcPr>
          <w:p>
            <w:pPr>
              <w:spacing w:before="0" w:after="20" w:line="240" w:lineRule="auto"/>
            </w:pPr>
            <w:r>
              <w:rPr>
                <w:sz w:val="22"/>
                <w:szCs w:val="22"/>
              </w:rPr>
              <w:t xml:space="preserve">Teoría del caso y alegatos</w:t>
            </w:r>
          </w:p>
        </w:tc>
        <w:tc>
          <w:tcPr>
            <w:tcW w:w="1872" w:type="dxa"/>
            <w:vAlign w:val="center"/>
          </w:tcPr>
          <w:p>
            <w:pPr>
              <w:spacing w:before="0" w:after="20" w:line="240" w:lineRule="auto"/>
            </w:pPr>
            <w:r>
              <w:rPr>
                <w:sz w:val="22"/>
                <w:szCs w:val="22"/>
              </w:rPr>
              <w:t xml:space="preserve">Generación de argumentos/citas</w:t>
            </w:r>
          </w:p>
        </w:tc>
        <w:tc>
          <w:tcPr>
            <w:tcW w:w="1872" w:type="dxa"/>
            <w:vAlign w:val="center"/>
          </w:tcPr>
          <w:p>
            <w:pPr>
              <w:spacing w:before="0" w:after="20" w:line="240" w:lineRule="auto"/>
            </w:pPr>
            <w:r>
              <w:rPr>
                <w:sz w:val="22"/>
                <w:szCs w:val="22"/>
              </w:rPr>
              <w:t xml:space="preserve">Alucinación</w:t>
            </w:r>
          </w:p>
        </w:tc>
        <w:tc>
          <w:tcPr>
            <w:tcW w:w="1872" w:type="dxa"/>
            <w:vAlign w:val="center"/>
          </w:tcPr>
          <w:p>
            <w:pPr>
              <w:spacing w:before="0" w:after="20" w:line="240" w:lineRule="auto"/>
            </w:pPr>
            <w:r>
              <w:rPr>
                <w:sz w:val="22"/>
                <w:szCs w:val="22"/>
              </w:rPr>
              <w:t xml:space="preserve">Lealtad procesal</w:t>
            </w:r>
          </w:p>
        </w:tc>
      </w:tr>
      <w:tr>
        <w:tc>
          <w:tcPr>
            <w:tcW w:w="1872" w:type="dxa"/>
            <w:vAlign w:val="center"/>
          </w:tcPr>
          <w:p>
            <w:pPr>
              <w:spacing w:before="0" w:after="20" w:line="240" w:lineRule="auto"/>
            </w:pPr>
            <w:r>
              <w:rPr>
                <w:sz w:val="22"/>
                <w:szCs w:val="22"/>
              </w:rPr>
              <w:t xml:space="preserve">Defensa</w:t>
            </w:r>
          </w:p>
        </w:tc>
        <w:tc>
          <w:tcPr>
            <w:tcW w:w="1872" w:type="dxa"/>
            <w:vAlign w:val="center"/>
          </w:tcPr>
          <w:p>
            <w:pPr>
              <w:spacing w:before="0" w:after="20" w:line="240" w:lineRule="auto"/>
            </w:pPr>
            <w:r>
              <w:rPr>
                <w:sz w:val="22"/>
                <w:szCs w:val="22"/>
              </w:rPr>
              <w:t xml:space="preserve">Estrategia y contradicción</w:t>
            </w:r>
          </w:p>
        </w:tc>
        <w:tc>
          <w:tcPr>
            <w:tcW w:w="1872" w:type="dxa"/>
            <w:vAlign w:val="center"/>
          </w:tcPr>
          <w:p>
            <w:pPr>
              <w:spacing w:before="0" w:after="20" w:line="240" w:lineRule="auto"/>
            </w:pPr>
            <w:r>
              <w:rPr>
                <w:sz w:val="22"/>
                <w:szCs w:val="22"/>
              </w:rPr>
              <w:t xml:space="preserve">Imposibilidad de auditar el sistema usado en su contra</w:t>
            </w:r>
          </w:p>
        </w:tc>
        <w:tc>
          <w:tcPr>
            <w:tcW w:w="1872" w:type="dxa"/>
            <w:vAlign w:val="center"/>
          </w:tcPr>
          <w:p>
            <w:pPr>
              <w:spacing w:before="0" w:after="20" w:line="240" w:lineRule="auto"/>
            </w:pPr>
            <w:r>
              <w:rPr>
                <w:sz w:val="22"/>
                <w:szCs w:val="22"/>
              </w:rPr>
              <w:t xml:space="preserve">Opacidad ("caja negra")</w:t>
            </w:r>
          </w:p>
        </w:tc>
        <w:tc>
          <w:tcPr>
            <w:tcW w:w="1872" w:type="dxa"/>
            <w:vAlign w:val="center"/>
          </w:tcPr>
          <w:p>
            <w:pPr>
              <w:spacing w:before="0" w:after="20" w:line="240" w:lineRule="auto"/>
            </w:pPr>
            <w:r>
              <w:rPr>
                <w:sz w:val="22"/>
                <w:szCs w:val="22"/>
              </w:rPr>
              <w:t xml:space="preserve">Defensa; igualdad de armas</w:t>
            </w:r>
          </w:p>
        </w:tc>
      </w:tr>
      <w:tr>
        <w:tc>
          <w:tcPr>
            <w:tcW w:w="1872" w:type="dxa"/>
            <w:vAlign w:val="center"/>
          </w:tcPr>
          <w:p>
            <w:pPr>
              <w:spacing w:before="0" w:after="20" w:line="240" w:lineRule="auto"/>
            </w:pPr>
            <w:r>
              <w:rPr>
                <w:sz w:val="22"/>
                <w:szCs w:val="22"/>
              </w:rPr>
              <w:t xml:space="preserve">Todos</w:t>
            </w:r>
          </w:p>
        </w:tc>
        <w:tc>
          <w:tcPr>
            <w:tcW w:w="1872" w:type="dxa"/>
            <w:vAlign w:val="center"/>
          </w:tcPr>
          <w:p>
            <w:pPr>
              <w:spacing w:before="0" w:after="20" w:line="240" w:lineRule="auto"/>
            </w:pPr>
            <w:r>
              <w:rPr>
                <w:sz w:val="22"/>
                <w:szCs w:val="22"/>
              </w:rPr>
              <w:t xml:space="preserve">Tratamiento de datos del expediente</w:t>
            </w:r>
          </w:p>
        </w:tc>
        <w:tc>
          <w:tcPr>
            <w:tcW w:w="1872" w:type="dxa"/>
            <w:vAlign w:val="center"/>
          </w:tcPr>
          <w:p>
            <w:pPr>
              <w:spacing w:before="0" w:after="20" w:line="240" w:lineRule="auto"/>
            </w:pPr>
            <w:r>
              <w:rPr>
                <w:sz w:val="22"/>
                <w:szCs w:val="22"/>
              </w:rPr>
              <w:t xml:space="preserve">Carga de información sensible en sistemas externos</w:t>
            </w:r>
          </w:p>
        </w:tc>
        <w:tc>
          <w:tcPr>
            <w:tcW w:w="1872" w:type="dxa"/>
            <w:vAlign w:val="center"/>
          </w:tcPr>
          <w:p>
            <w:pPr>
              <w:spacing w:before="0" w:after="20" w:line="240" w:lineRule="auto"/>
            </w:pPr>
            <w:r>
              <w:rPr>
                <w:sz w:val="22"/>
                <w:szCs w:val="22"/>
              </w:rPr>
              <w:t xml:space="preserve">Privacidad</w:t>
            </w:r>
          </w:p>
        </w:tc>
        <w:tc>
          <w:tcPr>
            <w:tcW w:w="1872" w:type="dxa"/>
            <w:vAlign w:val="center"/>
          </w:tcPr>
          <w:p>
            <w:pPr>
              <w:spacing w:before="0" w:after="20" w:line="240" w:lineRule="auto"/>
            </w:pPr>
            <w:r>
              <w:rPr>
                <w:sz w:val="22"/>
                <w:szCs w:val="22"/>
              </w:rPr>
              <w:t xml:space="preserve">Habeas data; reserva</w:t>
            </w:r>
          </w:p>
        </w:tc>
      </w:tr>
    </w:tbl>
    <w:p>
      <w:pPr>
        <w:spacing w:before="0" w:after="120" w:line="240" w:lineRule="auto"/>
      </w:pPr>
    </w:p>
    <w:p>
      <w:pPr>
        <w:spacing w:before="0" w:after="120" w:line="480" w:lineRule="auto"/>
        <w:jc w:val="both"/>
      </w:pPr>
      <w:r>
        <w:rPr>
          <w:i/>
        </w:rPr>
        <w:t xml:space="preserve">Nota.</w:t>
      </w:r>
      <w:r>
        <w:t xml:space="preserve"> Elaboración propia.</w:t>
      </w:r>
    </w:p>
    <w:p>
      <w:pPr>
        <w:spacing w:before="160" w:after="100" w:line="240" w:lineRule="auto"/>
        <w:jc w:val="left"/>
        <w:keepNext/>
      </w:pPr>
      <w:r>
        <w:rPr>
          <w:b/>
          <w:sz w:val="26"/>
          <w:szCs w:val="26"/>
        </w:rPr>
        <w:t xml:space="preserve">2.5.1 Síntesis del capítulo</w:t>
      </w:r>
    </w:p>
    <w:p>
      <w:pPr>
        <w:spacing w:before="0" w:after="120" w:line="480" w:lineRule="auto"/>
        <w:jc w:val="both"/>
      </w:pPr>
      <w:r>
        <w:t xml:space="preserve">Los tres riesgos —alucinaciones, sesgos y opacidad— no son fallas marginales corregibles con un simple ajuste técnico, sino manifestaciones estructurales del modo en que operan estos sistemas. Cada uno impacta una garantía nuclear del proceso penal: el deber de motivación, la igualdad y la presunción de inocencia, y el derecho de contradicción, respectivamente. Esta categorización confirma la primera parte de la hipótesis: el uso actual de la IA, sin protocolos de verificación, revelación y auditoría, genera riesgos ciertos para los derechos fundamentales del imputado o acusado. El capítulo siguiente examina cómo otros ordenamientos han enfrentado estos riesgos.</w:t>
      </w:r>
    </w:p>
    <w:p>
      <w:r>
        <w:br w:type="page"/>
      </w:r>
    </w:p>
    <w:p>
      <w:pPr>
        <w:spacing w:before="240" w:after="160" w:line="240" w:lineRule="auto"/>
        <w:jc w:val="center"/>
        <w:keepNext/>
      </w:pPr>
      <w:r>
        <w:rPr>
          <w:b/>
          <w:sz w:val="32"/>
          <w:szCs w:val="32"/>
        </w:rPr>
        <w:t xml:space="preserve">CAPÍTULO 3. DERECHO COMPARADO Y PARÁMETROS DE IMPLEMENTACIÓN</w:t>
      </w:r>
    </w:p>
    <w:p>
      <w:pPr>
        <w:spacing w:before="40" w:after="120" w:line="360" w:lineRule="auto"/>
        <w:jc w:val="left"/>
      </w:pPr>
      <w:r>
        <w:rPr>
          <w:sz w:val="22"/>
          <w:szCs w:val="22"/>
        </w:rPr>
        <w:t xml:space="preserve">Este capítulo desarrolla el tercer objetivo específico: determinar los parámetros y garantías empleados en la implementación de la IA en sede judicial a partir del análisis comparado de la Unión Europea, los Estados Unidos, Argentina y Brasil, para extraer lecciones aplicables a Colombia.</w:t>
      </w:r>
    </w:p>
    <w:p>
      <w:pPr>
        <w:spacing w:before="200" w:after="120" w:line="240" w:lineRule="auto"/>
        <w:jc w:val="left"/>
        <w:keepNext/>
      </w:pPr>
      <w:r>
        <w:rPr>
          <w:b/>
          <w:sz w:val="28"/>
          <w:szCs w:val="28"/>
        </w:rPr>
        <w:t xml:space="preserve">3.1 Unión Europea: el enfoque basado en riesgos</w:t>
      </w:r>
    </w:p>
    <w:p>
      <w:pPr>
        <w:spacing w:before="0" w:after="120" w:line="480" w:lineRule="auto"/>
        <w:jc w:val="both"/>
      </w:pPr>
      <w:r>
        <w:t xml:space="preserve">La Unión Europea ofrece el modelo regulatorio más sofisticado a través del </w:t>
      </w:r>
      <w:r>
        <w:rPr>
          <w:b/>
        </w:rPr>
        <w:t xml:space="preserve">Reglamento (UE) 2024/1689</w:t>
      </w:r>
      <w:r>
        <w:t xml:space="preserve"> (Ley de Inteligencia Artificial o </w:t>
      </w:r>
      <w:r>
        <w:rPr>
          <w:i/>
        </w:rPr>
        <w:t xml:space="preserve">AI Act</w:t>
      </w:r>
      <w:r>
        <w:t xml:space="preserve">), primera regulación horizontal y vinculante de la IA en el mundo (Unión Europea, 2024). Su arquitectura se funda en un </w:t>
      </w:r>
      <w:r>
        <w:rPr>
          <w:b/>
        </w:rPr>
        <w:t xml:space="preserve">enfoque basado en el riesgo</w:t>
      </w:r>
      <w:r>
        <w:t xml:space="preserve">, que clasifica los sistemas en cuatro categorías: (i) riesgo inadmisible (prohibidos, como el </w:t>
      </w:r>
      <w:r>
        <w:rPr>
          <w:i/>
        </w:rPr>
        <w:t xml:space="preserve">scoring</w:t>
      </w:r>
      <w:r>
        <w:t xml:space="preserve"> social); (ii) </w:t>
      </w:r>
      <w:r>
        <w:rPr>
          <w:b/>
        </w:rPr>
        <w:t xml:space="preserve">alto riesgo</w:t>
      </w:r>
      <w:r>
        <w:t xml:space="preserve">; (iii) riesgo limitado (sujeto a deberes de transparencia); y (iv) riesgo mínimo.</w:t>
      </w:r>
    </w:p>
    <w:p>
      <w:pPr>
        <w:spacing w:before="0" w:after="120" w:line="480" w:lineRule="auto"/>
        <w:jc w:val="both"/>
      </w:pPr>
      <w:r>
        <w:t xml:space="preserve">Para esta investigación es decisivo que el Reglamento clasifica como de </w:t>
      </w:r>
      <w:r>
        <w:rPr>
          <w:b/>
        </w:rPr>
        <w:t xml:space="preserve">alto riesgo</w:t>
      </w:r>
      <w:r>
        <w:t xml:space="preserve"> a los sistemas de IA destinados a ser utilizados por las autoridades judiciales para </w:t>
      </w:r>
      <w:r>
        <w:rPr>
          <w:b/>
        </w:rPr>
        <w:t xml:space="preserve">investigar e interpretar hechos y el derecho y aplicar la ley a un conjunto concreto de hechos</w:t>
      </w:r>
      <w:r>
        <w:t xml:space="preserve">, así como ciertos usos en el ámbito policial y de gestión de la migración. Los sistemas de alto riesgo quedan sujetos a obligaciones reforzadas: gestión de riesgos, gobernanza de datos para mitigar sesgos, documentación técnica, registro de actividad (trazabilidad), transparencia hacia el usuario, </w:t>
      </w:r>
      <w:r>
        <w:rPr>
          <w:b/>
        </w:rPr>
        <w:t xml:space="preserve">supervisión humana efectiva</w:t>
      </w:r>
      <w:r>
        <w:t xml:space="preserve"> (</w:t>
      </w:r>
      <w:r>
        <w:rPr>
          <w:i/>
        </w:rPr>
        <w:t xml:space="preserve">human oversight</w:t>
      </w:r>
      <w:r>
        <w:t xml:space="preserve">) y niveles adecuados de exactitud y robustez. Como salvaguarda explícita, el considerando 61 del Reglamento aclara que la calificación de alto riesgo no debe extenderse a tareas administrativas accesorias que no afecten la administración de justicia en casos concretos, y subraya que la decisión final debe seguir siendo una actividad humana.</w:t>
      </w:r>
    </w:p>
    <w:p>
      <w:pPr>
        <w:spacing w:before="0" w:after="120" w:line="480" w:lineRule="auto"/>
        <w:jc w:val="both"/>
      </w:pPr>
      <w:r>
        <w:t xml:space="preserve">El modelo europeo aporta tres lecciones: la </w:t>
      </w:r>
      <w:r>
        <w:rPr>
          <w:b/>
        </w:rPr>
        <w:t xml:space="preserve">graduación de obligaciones según el riesgo</w:t>
      </w:r>
      <w:r>
        <w:t xml:space="preserve">, la consagración de la </w:t>
      </w:r>
      <w:r>
        <w:rPr>
          <w:b/>
        </w:rPr>
        <w:t xml:space="preserve">supervisión humana</w:t>
      </w:r>
      <w:r>
        <w:t xml:space="preserve"> como requisito jurídico y la exigencia de </w:t>
      </w:r>
      <w:r>
        <w:rPr>
          <w:b/>
        </w:rPr>
        <w:t xml:space="preserve">trazabilidad y documentación</w:t>
      </w:r>
      <w:r>
        <w:t xml:space="preserve"> como condición de licitud.</w:t>
      </w:r>
    </w:p>
    <w:p>
      <w:pPr>
        <w:spacing w:before="200" w:after="120" w:line="240" w:lineRule="auto"/>
        <w:jc w:val="left"/>
        <w:keepNext/>
      </w:pPr>
      <w:r>
        <w:rPr>
          <w:b/>
          <w:sz w:val="28"/>
          <w:szCs w:val="28"/>
        </w:rPr>
        <w:t xml:space="preserve">3.2 Estados Unidos: el caso </w:t>
      </w:r>
      <w:r>
        <w:rPr>
          <w:b/>
          <w:i/>
          <w:sz w:val="28"/>
          <w:szCs w:val="28"/>
        </w:rPr>
        <w:t xml:space="preserve">State v. Loomis</w:t>
      </w:r>
      <w:r>
        <w:rPr>
          <w:b/>
          <w:sz w:val="28"/>
          <w:szCs w:val="28"/>
        </w:rPr>
        <w:t xml:space="preserve"> y la justicia actuarial</w:t>
      </w:r>
    </w:p>
    <w:p>
      <w:pPr>
        <w:spacing w:before="0" w:after="120" w:line="480" w:lineRule="auto"/>
        <w:jc w:val="both"/>
      </w:pPr>
      <w:r>
        <w:t xml:space="preserve">Estados Unidos carece de una regulación federal integral, pero aporta el precedente judicial más influyente: </w:t>
      </w:r>
      <w:r>
        <w:rPr>
          <w:b/>
          <w:i/>
        </w:rPr>
        <w:t xml:space="preserve">State v. Loomis</w:t>
      </w:r>
      <w:r>
        <w:t xml:space="preserve"> (Corte Suprema de Wisconsin, 2016). En este caso, el señor Eric Loomis fue condenado y, en la determinación de la pena, el tribunal consideró el puntaje de riesgo de reincidencia arrojado por el sistema </w:t>
      </w:r>
      <w:r>
        <w:rPr>
          <w:b/>
        </w:rPr>
        <w:t xml:space="preserve">COMPAS</w:t>
      </w:r>
      <w:r>
        <w:t xml:space="preserve">. Loomis alegó la violación de su derecho al debido proceso, por tres razones: la imposibilidad de evaluar la exactitud del puntaje (opacidad por secreto comercial), la posible incidencia del género en el cálculo y el uso de datos grupales para juzgar un caso individual.</w:t>
      </w:r>
    </w:p>
    <w:p>
      <w:pPr>
        <w:spacing w:before="0" w:after="120" w:line="480" w:lineRule="auto"/>
        <w:jc w:val="both"/>
      </w:pPr>
      <w:r>
        <w:t xml:space="preserve">La Corte Suprema de Wisconsin </w:t>
      </w:r>
      <w:r>
        <w:rPr>
          <w:b/>
        </w:rPr>
        <w:t xml:space="preserve">avaló el uso</w:t>
      </w:r>
      <w:r>
        <w:t xml:space="preserve"> del sistema, pero con </w:t>
      </w:r>
      <w:r>
        <w:rPr>
          <w:b/>
        </w:rPr>
        <w:t xml:space="preserve">matices y advertencias</w:t>
      </w:r>
      <w:r>
        <w:t xml:space="preserve"> significativos: sostuvo que el puntaje no podía ser el factor </w:t>
      </w:r>
      <w:r>
        <w:rPr>
          <w:i/>
        </w:rPr>
        <w:t xml:space="preserve">determinante</w:t>
      </w:r>
      <w:r>
        <w:t xml:space="preserve"> de la decisión, exigió que las providencias incluyeran </w:t>
      </w:r>
      <w:r>
        <w:rPr>
          <w:i/>
        </w:rPr>
        <w:t xml:space="preserve">advertencias</w:t>
      </w:r>
      <w:r>
        <w:t xml:space="preserve"> (</w:t>
      </w:r>
      <w:r>
        <w:rPr>
          <w:i/>
        </w:rPr>
        <w:t xml:space="preserve">warnings</w:t>
      </w:r>
      <w:r>
        <w:t xml:space="preserve">) sobre las limitaciones de la herramienta —su carácter propietario, su fundamento en datos grupales y los cuestionamientos sobre sesgos— y reafirmó que la decisión debía sustentarse en factores independientes. La doctrina ha criticado el fallo por considerar que las advertencias son una salvaguarda insuficiente frente a la opacidad y al sesgo de automatización (Angwin et al., 2016).</w:t>
      </w:r>
    </w:p>
    <w:p>
      <w:pPr>
        <w:spacing w:before="0" w:after="120" w:line="480" w:lineRule="auto"/>
        <w:jc w:val="both"/>
      </w:pPr>
      <w:r>
        <w:t xml:space="preserve">La lección estadounidense es, ante todo, </w:t>
      </w:r>
      <w:r>
        <w:rPr>
          <w:b/>
        </w:rPr>
        <w:t xml:space="preserve">admonitoria</w:t>
      </w:r>
      <w:r>
        <w:t xml:space="preserve">: muestra que permitir herramientas opacas en decisiones sobre la libertad, sin acceso pleno de la defensa, erosiona la contradicción y la igualdad de armas, y que las "advertencias" no sustituyen la transparencia real.</w:t>
      </w:r>
    </w:p>
    <w:p>
      <w:pPr>
        <w:spacing w:before="200" w:after="120" w:line="240" w:lineRule="auto"/>
        <w:jc w:val="left"/>
        <w:keepNext/>
      </w:pPr>
      <w:r>
        <w:rPr>
          <w:b/>
          <w:sz w:val="28"/>
          <w:szCs w:val="28"/>
        </w:rPr>
        <w:t xml:space="preserve">3.3 Argentina: PROMETEA y la experiencia regional</w:t>
      </w:r>
    </w:p>
    <w:p>
      <w:pPr>
        <w:spacing w:before="0" w:after="120" w:line="480" w:lineRule="auto"/>
        <w:jc w:val="both"/>
      </w:pPr>
      <w:r>
        <w:t xml:space="preserve">Argentina ofrece la experiencia regional más conocida con el sistema </w:t>
      </w:r>
      <w:r>
        <w:rPr>
          <w:b/>
        </w:rPr>
        <w:t xml:space="preserve">PROMETEA</w:t>
      </w:r>
      <w:r>
        <w:t xml:space="preserve">, desarrollado por el Ministerio Público Fiscal de la Ciudad Autónoma de Buenos Aires. PROMETEA se diseñó como una herramienta de </w:t>
      </w:r>
      <w:r>
        <w:rPr>
          <w:b/>
        </w:rPr>
        <w:t xml:space="preserve">automatización y apoyo</w:t>
      </w:r>
      <w:r>
        <w:t xml:space="preserve">, orientada a tareas de gestión: elaboración de dictámenes en casos sencillos y repetitivos, predicción de soluciones en asuntos de baja complejidad y aceleración de trámites. La clave del modelo argentino es que su aplicación se concentró en materias donde el margen de discrecionalidad es reducido, manteniendo la decisión final en cabeza del funcionario y reportando mejoras notables de eficiencia (Estevez et al., 2020).</w:t>
      </w:r>
    </w:p>
    <w:p>
      <w:pPr>
        <w:spacing w:before="0" w:after="120" w:line="480" w:lineRule="auto"/>
        <w:jc w:val="both"/>
      </w:pPr>
      <w:r>
        <w:t xml:space="preserve">La lección argentina es la </w:t>
      </w:r>
      <w:r>
        <w:rPr>
          <w:b/>
        </w:rPr>
        <w:t xml:space="preserve">delimitación del ámbito de uso</w:t>
      </w:r>
      <w:r>
        <w:t xml:space="preserve">: la IA resulta más segura y útil en tareas de apoyo y gestión de asuntos repetitivos, y más problemática cuando se aproxima a decisiones de alta discrecionalidad o que comprometen derechos fundamentales, como las penales.</w:t>
      </w:r>
    </w:p>
    <w:p>
      <w:pPr>
        <w:spacing w:before="200" w:after="120" w:line="240" w:lineRule="auto"/>
        <w:jc w:val="left"/>
        <w:keepNext/>
      </w:pPr>
      <w:r>
        <w:rPr>
          <w:b/>
          <w:sz w:val="28"/>
          <w:szCs w:val="28"/>
        </w:rPr>
        <w:t xml:space="preserve">3.4 Brasil: Resolución CNJ y el Sistema VICTOR</w:t>
      </w:r>
    </w:p>
    <w:p>
      <w:pPr>
        <w:spacing w:before="0" w:after="120" w:line="480" w:lineRule="auto"/>
        <w:jc w:val="both"/>
      </w:pPr>
      <w:r>
        <w:t xml:space="preserve">Brasil articula un modelo de </w:t>
      </w:r>
      <w:r>
        <w:rPr>
          <w:b/>
        </w:rPr>
        <w:t xml:space="preserve">gobernanza institucional</w:t>
      </w:r>
      <w:r>
        <w:t xml:space="preserve">. El </w:t>
      </w:r>
      <w:r>
        <w:rPr>
          <w:b/>
        </w:rPr>
        <w:t xml:space="preserve">Consejo Nacional de Justicia (CNJ)</w:t>
      </w:r>
      <w:r>
        <w:t xml:space="preserve"> expidió la </w:t>
      </w:r>
      <w:r>
        <w:rPr>
          <w:b/>
        </w:rPr>
        <w:t xml:space="preserve">Resolución CNJ n.º 332 de 2020</w:t>
      </w:r>
      <w:r>
        <w:t xml:space="preserve">, que regula la ética, la transparencia y la gobernanza en la producción y el uso de IA en el Poder Judicial, estableciendo principios de respeto a los derechos fundamentales, no discriminación, transparencia, explicabilidad, control humano y publicidad de los modelos. Su desarrollo más visible es el sistema </w:t>
      </w:r>
      <w:r>
        <w:rPr>
          <w:b/>
        </w:rPr>
        <w:t xml:space="preserve">VICTOR</w:t>
      </w:r>
      <w:r>
        <w:t xml:space="preserve">, del Supremo Tribunal Federal, empleado para clasificar recursos y verificar su correspondencia con temas de repercusión general, es decir, una tarea de </w:t>
      </w:r>
      <w:r>
        <w:rPr>
          <w:b/>
        </w:rPr>
        <w:t xml:space="preserve">apoyo y filtrado</w:t>
      </w:r>
      <w:r>
        <w:t xml:space="preserve">, no de decisión sobre el fondo.</w:t>
      </w:r>
    </w:p>
    <w:p>
      <w:pPr>
        <w:spacing w:before="0" w:after="120" w:line="480" w:lineRule="auto"/>
        <w:jc w:val="both"/>
      </w:pPr>
      <w:r>
        <w:t xml:space="preserve">La lección brasileña es doble: la conveniencia de una </w:t>
      </w:r>
      <w:r>
        <w:rPr>
          <w:b/>
        </w:rPr>
        <w:t xml:space="preserve">regulación específica del órgano de gobierno judicial</w:t>
      </w:r>
      <w:r>
        <w:t xml:space="preserve"> (en Colombia, el Consejo Superior de la Judicatura) y la importancia de la </w:t>
      </w:r>
      <w:r>
        <w:rPr>
          <w:b/>
        </w:rPr>
        <w:t xml:space="preserve">explicabilidad y publicidad</w:t>
      </w:r>
      <w:r>
        <w:t xml:space="preserve"> de los modelos como condición de legitimidad.</w:t>
      </w:r>
    </w:p>
    <w:p>
      <w:pPr>
        <w:spacing w:before="200" w:after="120" w:line="240" w:lineRule="auto"/>
        <w:jc w:val="left"/>
        <w:keepNext/>
      </w:pPr>
      <w:r>
        <w:rPr>
          <w:b/>
          <w:sz w:val="28"/>
          <w:szCs w:val="28"/>
        </w:rPr>
        <w:t xml:space="preserve">3.5 Lecciones para Colombia</w:t>
      </w:r>
    </w:p>
    <w:p>
      <w:pPr>
        <w:spacing w:before="0" w:after="120" w:line="480" w:lineRule="auto"/>
        <w:jc w:val="both"/>
      </w:pPr>
      <w:r>
        <w:t xml:space="preserve">El análisis comparado (Tabla 5) permite extraer un conjunto convergente de parámetros que, articulados con la Sentencia T-323 de 2024, fundamentan la propuesta del Capítulo 4:</w:t>
      </w:r>
    </w:p>
    <w:p>
      <w:pPr>
        <w:ind w:left="360"/>
        <w:spacing w:before="0" w:after="40" w:line="360" w:lineRule="auto"/>
      </w:pPr>
      <w:r>
        <w:t xml:space="preserve">1. </w:t>
      </w:r>
      <w:r>
        <w:rPr>
          <w:b/>
        </w:rPr>
        <w:t xml:space="preserve">Graduación por niveles de riesgo</w:t>
      </w:r>
      <w:r>
        <w:t xml:space="preserve"> (UE): las obligaciones deben ser proporcionales al impacto del sistema sobre los derechos; los usos penales pertenecen a la categoría de alto riesgo.</w:t>
      </w:r>
    </w:p>
    <w:p>
      <w:pPr>
        <w:ind w:left="360"/>
        <w:spacing w:before="0" w:after="40" w:line="360" w:lineRule="auto"/>
      </w:pPr>
      <w:r>
        <w:t xml:space="preserve">2. </w:t>
      </w:r>
      <w:r>
        <w:rPr>
          <w:b/>
        </w:rPr>
        <w:t xml:space="preserve">Supervisión humana efectiva</w:t>
      </w:r>
      <w:r>
        <w:t xml:space="preserve"> (UE, Brasil): la decisión final debe ser humana, con capacidad real de revisar, corregir o descartar la salida del sistema.</w:t>
      </w:r>
    </w:p>
    <w:p>
      <w:pPr>
        <w:ind w:left="360"/>
        <w:spacing w:before="0" w:after="40" w:line="360" w:lineRule="auto"/>
      </w:pPr>
      <w:r>
        <w:t xml:space="preserve">3. </w:t>
      </w:r>
      <w:r>
        <w:rPr>
          <w:b/>
        </w:rPr>
        <w:t xml:space="preserve">Transparencia, trazabilidad y explicabilidad</w:t>
      </w:r>
      <w:r>
        <w:t xml:space="preserve"> (UE, Brasil): el uso debe revelarse, documentarse y poder reconstruirse.</w:t>
      </w:r>
    </w:p>
    <w:p>
      <w:pPr>
        <w:ind w:left="360"/>
        <w:spacing w:before="0" w:after="40" w:line="360" w:lineRule="auto"/>
      </w:pPr>
      <w:r>
        <w:t xml:space="preserve">4. </w:t>
      </w:r>
      <w:r>
        <w:rPr>
          <w:b/>
        </w:rPr>
        <w:t xml:space="preserve">Contradicción y acceso de la defensa</w:t>
      </w:r>
      <w:r>
        <w:t xml:space="preserve"> (lección admonitoria de </w:t>
      </w:r>
      <w:r>
        <w:rPr>
          <w:i/>
        </w:rPr>
        <w:t xml:space="preserve">Loomis</w:t>
      </w:r>
      <w:r>
        <w:t xml:space="preserve">): la opacidad por secreto comercial es incompatible con el derecho de defensa en materia penal.</w:t>
      </w:r>
    </w:p>
    <w:p>
      <w:pPr>
        <w:ind w:left="360"/>
        <w:spacing w:before="0" w:after="40" w:line="360" w:lineRule="auto"/>
      </w:pPr>
      <w:r>
        <w:t xml:space="preserve">5. </w:t>
      </w:r>
      <w:r>
        <w:rPr>
          <w:b/>
        </w:rPr>
        <w:t xml:space="preserve">Delimitación del ámbito de uso</w:t>
      </w:r>
      <w:r>
        <w:t xml:space="preserve"> (Argentina): preferencia por tareas de apoyo y gestión sobre decisiones de alta discrecionalidad.</w:t>
      </w:r>
    </w:p>
    <w:p>
      <w:pPr>
        <w:ind w:left="360"/>
        <w:spacing w:before="0" w:after="40" w:line="360" w:lineRule="auto"/>
      </w:pPr>
      <w:r>
        <w:t xml:space="preserve">6. </w:t>
      </w:r>
      <w:r>
        <w:rPr>
          <w:b/>
        </w:rPr>
        <w:t xml:space="preserve">Gobernanza por el órgano de administración judicial</w:t>
      </w:r>
      <w:r>
        <w:t xml:space="preserve"> (Brasil): pertinencia de una regulación específica y de la auditoría de modelos.</w:t>
      </w:r>
    </w:p>
    <w:p>
      <w:pPr>
        <w:spacing w:before="0" w:after="120" w:line="480" w:lineRule="auto"/>
        <w:jc w:val="both"/>
      </w:pPr>
      <w:r>
        <w:rPr>
          <w:b/>
        </w:rPr>
        <w:t xml:space="preserve">Tabla 5</w:t>
      </w:r>
    </w:p>
    <w:p>
      <w:pPr>
        <w:spacing w:before="0" w:after="120" w:line="480" w:lineRule="auto"/>
        <w:jc w:val="both"/>
      </w:pPr>
      <w:r>
        <w:rPr>
          <w:i/>
        </w:rPr>
        <w:t xml:space="preserve">Análisis de derecho comparado</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340"/>
        <w:gridCol w:w="2340"/>
        <w:gridCol w:w="2340"/>
        <w:gridCol w:w="2340"/>
      </w:tblGrid>
      <w:tr>
        <w:tc>
          <w:tcPr>
            <w:tcW w:w="2340" w:type="dxa"/>
            <w:shd w:val="clear" w:color="auto" w:fill="E7E6E6"/>
            <w:vAlign w:val="center"/>
          </w:tcPr>
          <w:p>
            <w:pPr>
              <w:spacing w:before="0" w:after="20" w:line="240" w:lineRule="auto"/>
            </w:pPr>
            <w:r>
              <w:rPr>
                <w:b/>
                <w:sz w:val="22"/>
                <w:szCs w:val="22"/>
              </w:rPr>
              <w:t xml:space="preserve">Ordenamiento</w:t>
            </w:r>
          </w:p>
        </w:tc>
        <w:tc>
          <w:tcPr>
            <w:tcW w:w="2340" w:type="dxa"/>
            <w:shd w:val="clear" w:color="auto" w:fill="E7E6E6"/>
            <w:vAlign w:val="center"/>
          </w:tcPr>
          <w:p>
            <w:pPr>
              <w:spacing w:before="0" w:after="20" w:line="240" w:lineRule="auto"/>
            </w:pPr>
            <w:r>
              <w:rPr>
                <w:b/>
                <w:sz w:val="22"/>
                <w:szCs w:val="22"/>
              </w:rPr>
              <w:t xml:space="preserve">Instrumento clave</w:t>
            </w:r>
          </w:p>
        </w:tc>
        <w:tc>
          <w:tcPr>
            <w:tcW w:w="2340" w:type="dxa"/>
            <w:shd w:val="clear" w:color="auto" w:fill="E7E6E6"/>
            <w:vAlign w:val="center"/>
          </w:tcPr>
          <w:p>
            <w:pPr>
              <w:spacing w:before="0" w:after="20" w:line="240" w:lineRule="auto"/>
            </w:pPr>
            <w:r>
              <w:rPr>
                <w:b/>
                <w:sz w:val="22"/>
                <w:szCs w:val="22"/>
              </w:rPr>
              <w:t xml:space="preserve">Modelo</w:t>
            </w:r>
          </w:p>
        </w:tc>
        <w:tc>
          <w:tcPr>
            <w:tcW w:w="2340" w:type="dxa"/>
            <w:shd w:val="clear" w:color="auto" w:fill="E7E6E6"/>
            <w:vAlign w:val="center"/>
          </w:tcPr>
          <w:p>
            <w:pPr>
              <w:spacing w:before="0" w:after="20" w:line="240" w:lineRule="auto"/>
            </w:pPr>
            <w:r>
              <w:rPr>
                <w:b/>
                <w:sz w:val="22"/>
                <w:szCs w:val="22"/>
              </w:rPr>
              <w:t xml:space="preserve">Aporte principal para Colombia</w:t>
            </w:r>
          </w:p>
        </w:tc>
      </w:tr>
      <w:tr>
        <w:tc>
          <w:tcPr>
            <w:tcW w:w="2340" w:type="dxa"/>
            <w:vAlign w:val="center"/>
          </w:tcPr>
          <w:p>
            <w:pPr>
              <w:spacing w:before="0" w:after="20" w:line="240" w:lineRule="auto"/>
            </w:pPr>
            <w:r>
              <w:rPr>
                <w:sz w:val="22"/>
                <w:szCs w:val="22"/>
              </w:rPr>
              <w:t xml:space="preserve">Unión Europea</w:t>
            </w:r>
          </w:p>
        </w:tc>
        <w:tc>
          <w:tcPr>
            <w:tcW w:w="2340" w:type="dxa"/>
            <w:vAlign w:val="center"/>
          </w:tcPr>
          <w:p>
            <w:pPr>
              <w:spacing w:before="0" w:after="20" w:line="240" w:lineRule="auto"/>
            </w:pPr>
            <w:r>
              <w:rPr>
                <w:sz w:val="22"/>
                <w:szCs w:val="22"/>
              </w:rPr>
              <w:t xml:space="preserve">Reglamento (UE) 2024/1689</w:t>
            </w:r>
          </w:p>
        </w:tc>
        <w:tc>
          <w:tcPr>
            <w:tcW w:w="2340" w:type="dxa"/>
            <w:vAlign w:val="center"/>
          </w:tcPr>
          <w:p>
            <w:pPr>
              <w:spacing w:before="0" w:after="20" w:line="240" w:lineRule="auto"/>
            </w:pPr>
            <w:r>
              <w:rPr>
                <w:sz w:val="22"/>
                <w:szCs w:val="22"/>
              </w:rPr>
              <w:t xml:space="preserve">Regulación por niveles de riesgo</w:t>
            </w:r>
          </w:p>
        </w:tc>
        <w:tc>
          <w:tcPr>
            <w:tcW w:w="2340" w:type="dxa"/>
            <w:vAlign w:val="center"/>
          </w:tcPr>
          <w:p>
            <w:pPr>
              <w:spacing w:before="0" w:after="20" w:line="240" w:lineRule="auto"/>
            </w:pPr>
            <w:r>
              <w:rPr>
                <w:sz w:val="22"/>
                <w:szCs w:val="22"/>
              </w:rPr>
              <w:t xml:space="preserve">Justicia penal = alto riesgo; supervisión humana y trazabilidad</w:t>
            </w:r>
          </w:p>
        </w:tc>
      </w:tr>
      <w:tr>
        <w:tc>
          <w:tcPr>
            <w:tcW w:w="2340" w:type="dxa"/>
            <w:vAlign w:val="center"/>
          </w:tcPr>
          <w:p>
            <w:pPr>
              <w:spacing w:before="0" w:after="20" w:line="240" w:lineRule="auto"/>
            </w:pPr>
            <w:r>
              <w:rPr>
                <w:sz w:val="22"/>
                <w:szCs w:val="22"/>
              </w:rPr>
              <w:t xml:space="preserve">Estados Unidos</w:t>
            </w:r>
          </w:p>
        </w:tc>
        <w:tc>
          <w:tcPr>
            <w:tcW w:w="2340" w:type="dxa"/>
            <w:vAlign w:val="center"/>
          </w:tcPr>
          <w:p>
            <w:pPr>
              <w:spacing w:before="0" w:after="20" w:line="240" w:lineRule="auto"/>
            </w:pPr>
            <w:r>
              <w:rPr>
                <w:i/>
                <w:sz w:val="22"/>
                <w:szCs w:val="22"/>
              </w:rPr>
              <w:t xml:space="preserve">State v. Loomis</w:t>
            </w:r>
            <w:r>
              <w:rPr>
                <w:sz w:val="22"/>
                <w:szCs w:val="22"/>
              </w:rPr>
              <w:t xml:space="preserve"> (2016)</w:t>
            </w:r>
          </w:p>
        </w:tc>
        <w:tc>
          <w:tcPr>
            <w:tcW w:w="2340" w:type="dxa"/>
            <w:vAlign w:val="center"/>
          </w:tcPr>
          <w:p>
            <w:pPr>
              <w:spacing w:before="0" w:after="20" w:line="240" w:lineRule="auto"/>
            </w:pPr>
            <w:r>
              <w:rPr>
                <w:sz w:val="22"/>
                <w:szCs w:val="22"/>
              </w:rPr>
              <w:t xml:space="preserve">Precedente judicial (COMPAS)</w:t>
            </w:r>
          </w:p>
        </w:tc>
        <w:tc>
          <w:tcPr>
            <w:tcW w:w="2340" w:type="dxa"/>
            <w:vAlign w:val="center"/>
          </w:tcPr>
          <w:p>
            <w:pPr>
              <w:spacing w:before="0" w:after="20" w:line="240" w:lineRule="auto"/>
            </w:pPr>
            <w:r>
              <w:rPr>
                <w:sz w:val="22"/>
                <w:szCs w:val="22"/>
              </w:rPr>
              <w:t xml:space="preserve">Advertencia: opacidad + sesgo erosionan la contradicción</w:t>
            </w:r>
          </w:p>
        </w:tc>
      </w:tr>
      <w:tr>
        <w:tc>
          <w:tcPr>
            <w:tcW w:w="2340" w:type="dxa"/>
            <w:vAlign w:val="center"/>
          </w:tcPr>
          <w:p>
            <w:pPr>
              <w:spacing w:before="0" w:after="20" w:line="240" w:lineRule="auto"/>
            </w:pPr>
            <w:r>
              <w:rPr>
                <w:sz w:val="22"/>
                <w:szCs w:val="22"/>
              </w:rPr>
              <w:t xml:space="preserve">Argentina</w:t>
            </w:r>
          </w:p>
        </w:tc>
        <w:tc>
          <w:tcPr>
            <w:tcW w:w="2340" w:type="dxa"/>
            <w:vAlign w:val="center"/>
          </w:tcPr>
          <w:p>
            <w:pPr>
              <w:spacing w:before="0" w:after="20" w:line="240" w:lineRule="auto"/>
            </w:pPr>
            <w:r>
              <w:rPr>
                <w:sz w:val="22"/>
                <w:szCs w:val="22"/>
              </w:rPr>
              <w:t xml:space="preserve">PROMETEA</w:t>
            </w:r>
          </w:p>
        </w:tc>
        <w:tc>
          <w:tcPr>
            <w:tcW w:w="2340" w:type="dxa"/>
            <w:vAlign w:val="center"/>
          </w:tcPr>
          <w:p>
            <w:pPr>
              <w:spacing w:before="0" w:after="20" w:line="240" w:lineRule="auto"/>
            </w:pPr>
            <w:r>
              <w:rPr>
                <w:sz w:val="22"/>
                <w:szCs w:val="22"/>
              </w:rPr>
              <w:t xml:space="preserve">Herramienta de apoyo/gestión</w:t>
            </w:r>
          </w:p>
        </w:tc>
        <w:tc>
          <w:tcPr>
            <w:tcW w:w="2340" w:type="dxa"/>
            <w:vAlign w:val="center"/>
          </w:tcPr>
          <w:p>
            <w:pPr>
              <w:spacing w:before="0" w:after="20" w:line="240" w:lineRule="auto"/>
            </w:pPr>
            <w:r>
              <w:rPr>
                <w:sz w:val="22"/>
                <w:szCs w:val="22"/>
              </w:rPr>
              <w:t xml:space="preserve">Delimitar el uso a tareas de baja discrecionalidad</w:t>
            </w:r>
          </w:p>
        </w:tc>
      </w:tr>
      <w:tr>
        <w:tc>
          <w:tcPr>
            <w:tcW w:w="2340" w:type="dxa"/>
            <w:vAlign w:val="center"/>
          </w:tcPr>
          <w:p>
            <w:pPr>
              <w:spacing w:before="0" w:after="20" w:line="240" w:lineRule="auto"/>
            </w:pPr>
            <w:r>
              <w:rPr>
                <w:sz w:val="22"/>
                <w:szCs w:val="22"/>
              </w:rPr>
              <w:t xml:space="preserve">Brasil</w:t>
            </w:r>
          </w:p>
        </w:tc>
        <w:tc>
          <w:tcPr>
            <w:tcW w:w="2340" w:type="dxa"/>
            <w:vAlign w:val="center"/>
          </w:tcPr>
          <w:p>
            <w:pPr>
              <w:spacing w:before="0" w:after="20" w:line="240" w:lineRule="auto"/>
            </w:pPr>
            <w:r>
              <w:rPr>
                <w:sz w:val="22"/>
                <w:szCs w:val="22"/>
              </w:rPr>
              <w:t xml:space="preserve">Resolución CNJ 332/2020; VICTOR</w:t>
            </w:r>
          </w:p>
        </w:tc>
        <w:tc>
          <w:tcPr>
            <w:tcW w:w="2340" w:type="dxa"/>
            <w:vAlign w:val="center"/>
          </w:tcPr>
          <w:p>
            <w:pPr>
              <w:spacing w:before="0" w:after="20" w:line="240" w:lineRule="auto"/>
            </w:pPr>
            <w:r>
              <w:rPr>
                <w:sz w:val="22"/>
                <w:szCs w:val="22"/>
              </w:rPr>
              <w:t xml:space="preserve">Gobernanza institucional</w:t>
            </w:r>
          </w:p>
        </w:tc>
        <w:tc>
          <w:tcPr>
            <w:tcW w:w="2340" w:type="dxa"/>
            <w:vAlign w:val="center"/>
          </w:tcPr>
          <w:p>
            <w:pPr>
              <w:spacing w:before="0" w:after="20" w:line="240" w:lineRule="auto"/>
            </w:pPr>
            <w:r>
              <w:rPr>
                <w:sz w:val="22"/>
                <w:szCs w:val="22"/>
              </w:rPr>
              <w:t xml:space="preserve">Regulación del órgano judicial; explicabilidad y publicidad</w:t>
            </w:r>
          </w:p>
        </w:tc>
      </w:tr>
    </w:tbl>
    <w:p>
      <w:pPr>
        <w:spacing w:before="0" w:after="120" w:line="240" w:lineRule="auto"/>
      </w:pPr>
    </w:p>
    <w:p>
      <w:pPr>
        <w:spacing w:before="0" w:after="120" w:line="480" w:lineRule="auto"/>
        <w:jc w:val="both"/>
      </w:pPr>
      <w:r>
        <w:rPr>
          <w:i/>
        </w:rPr>
        <w:t xml:space="preserve">Nota.</w:t>
      </w:r>
      <w:r>
        <w:t xml:space="preserve"> Elaboración propia con base en las fuentes citadas.</w:t>
      </w:r>
    </w:p>
    <w:p>
      <w:pPr>
        <w:spacing w:before="160" w:after="100" w:line="240" w:lineRule="auto"/>
        <w:jc w:val="left"/>
        <w:keepNext/>
      </w:pPr>
      <w:r>
        <w:rPr>
          <w:b/>
          <w:sz w:val="26"/>
          <w:szCs w:val="26"/>
        </w:rPr>
        <w:t xml:space="preserve">3.5.1 Síntesis del capítulo</w:t>
      </w:r>
    </w:p>
    <w:p>
      <w:pPr>
        <w:spacing w:before="0" w:after="120" w:line="480" w:lineRule="auto"/>
        <w:jc w:val="both"/>
      </w:pPr>
      <w:r>
        <w:t xml:space="preserve">La experiencia comparada confirma una tendencia global: ningún ordenamiento serio admite que la IA sustituya el juicio humano en decisiones que comprometen la libertad. Los modelos más avanzados convergen en exigir graduación por riesgo, supervisión humana, transparencia, trazabilidad y contradicción. Colombia cuenta con un precedente constitucional (T-323 de 2024) alineado con esa tendencia, pero carece de un instrumento operativo que lo concrete en el proceso penal. Ese vacío es el que aborda el capítulo siguiente.</w:t>
      </w:r>
    </w:p>
    <w:p>
      <w:r>
        <w:br w:type="page"/>
      </w:r>
    </w:p>
    <w:p>
      <w:pPr>
        <w:spacing w:before="240" w:after="160" w:line="240" w:lineRule="auto"/>
        <w:jc w:val="center"/>
        <w:keepNext/>
      </w:pPr>
      <w:r>
        <w:rPr>
          <w:b/>
          <w:sz w:val="32"/>
          <w:szCs w:val="32"/>
        </w:rPr>
        <w:t xml:space="preserve">CAPÍTULO 4. PROPUESTA: MODELO DE JUSTICIA AUMENTADA Y PROTOCOLO DE TRANSPARENCIA ALGORÍTMICA Y GARANTÍAS PENALES (PTAG)</w:t>
      </w:r>
    </w:p>
    <w:p>
      <w:pPr>
        <w:spacing w:before="40" w:after="120" w:line="360" w:lineRule="auto"/>
        <w:jc w:val="left"/>
      </w:pPr>
      <w:r>
        <w:rPr>
          <w:sz w:val="22"/>
          <w:szCs w:val="22"/>
        </w:rPr>
        <w:t xml:space="preserve">Este capítulo desarrolla el cuarto objetivo específico: proponer los parámetros que deben implementarse para el uso de la IA por las partes procesales, mediante un protocolo de transparencia conforme al debido proceso. Constituye el aporte original y la contribución de impacto social de la investigación.</w:t>
      </w:r>
    </w:p>
    <w:p>
      <w:pPr>
        <w:spacing w:before="200" w:after="120" w:line="240" w:lineRule="auto"/>
        <w:jc w:val="left"/>
        <w:keepNext/>
      </w:pPr>
      <w:r>
        <w:rPr>
          <w:b/>
          <w:sz w:val="28"/>
          <w:szCs w:val="28"/>
        </w:rPr>
        <w:t xml:space="preserve">4.1 El modelo de justicia aumentada</w:t>
      </w:r>
    </w:p>
    <w:p>
      <w:pPr>
        <w:spacing w:before="0" w:after="120" w:line="480" w:lineRule="auto"/>
        <w:jc w:val="both"/>
      </w:pPr>
      <w:r>
        <w:t xml:space="preserve">La propuesta parte de un reencuadre conceptual: frente a la falsa disyuntiva entre "eficiencia tecnológica" y "garantías", se postula el modelo de </w:t>
      </w:r>
      <w:r>
        <w:rPr>
          <w:b/>
        </w:rPr>
        <w:t xml:space="preserve">justicia aumentada</w:t>
      </w:r>
      <w:r>
        <w:t xml:space="preserve">, en el que la IA actúa como instrumento que </w:t>
      </w:r>
      <w:r>
        <w:rPr>
          <w:i/>
        </w:rPr>
        <w:t xml:space="preserve">amplía</w:t>
      </w:r>
      <w:r>
        <w:t xml:space="preserve"> las capacidades del operador jurídico sin desplazar el juicio humano. Bajo este modelo, la legitimidad del uso de la IA depende de la preservación del </w:t>
      </w:r>
      <w:r>
        <w:rPr>
          <w:b/>
        </w:rPr>
        <w:t xml:space="preserve">control humano significativo</w:t>
      </w:r>
      <w:r>
        <w:t xml:space="preserve"> (</w:t>
      </w:r>
      <w:r>
        <w:rPr>
          <w:i/>
        </w:rPr>
        <w:t xml:space="preserve">meaningful human control</w:t>
      </w:r>
      <w:r>
        <w:t xml:space="preserve">): la persona operadora debe conservar la capacidad real —no meramente formal— de comprender, verificar, corregir o descartar la salida del sistema, y de asumir la responsabilidad plena por la decisión.</w:t>
      </w:r>
    </w:p>
    <w:p>
      <w:pPr>
        <w:spacing w:before="0" w:after="120" w:line="480" w:lineRule="auto"/>
        <w:jc w:val="both"/>
      </w:pPr>
      <w:r>
        <w:rPr>
          <w:b/>
        </w:rPr>
        <w:t xml:space="preserve">Figura 1</w:t>
      </w:r>
    </w:p>
    <w:p>
      <w:pPr>
        <w:spacing w:before="0" w:after="120" w:line="480" w:lineRule="auto"/>
        <w:jc w:val="both"/>
      </w:pPr>
      <w:r>
        <w:rPr>
          <w:i/>
        </w:rPr>
        <w:t xml:space="preserve">Modelo de justicia aumentada con control humano significativo</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OPERADOR JURÍDICO                  │</w:t>
      </w:r>
    </w:p>
    <w:p>
      <w:pPr>
        <w:spacing w:before="0" w:after="0" w:line="240" w:lineRule="auto"/>
      </w:pPr>
      <w:r>
        <w:rPr>
          <w:rFonts w:ascii="Courier New" w:hAnsi="Courier New" w:cs="Courier New"/>
          <w:sz w:val="16"/>
          <w:szCs w:val="16"/>
        </w:rPr>
        <w:t xml:space="preserve">                 │     (juez / fiscal / defensor) — DECIDE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w:t>
      </w:r>
    </w:p>
    <w:p>
      <w:pPr>
        <w:spacing w:before="0" w:after="0" w:line="240" w:lineRule="auto"/>
      </w:pPr>
      <w:r>
        <w:rPr>
          <w:rFonts w:ascii="Courier New" w:hAnsi="Courier New" w:cs="Courier New"/>
          <w:sz w:val="16"/>
          <w:szCs w:val="16"/>
        </w:rPr>
        <w:t xml:space="preserve">                  verificación,  │              │  consulta acotada</w:t>
      </w:r>
    </w:p>
    <w:p>
      <w:pPr>
        <w:spacing w:before="0" w:after="0" w:line="240" w:lineRule="auto"/>
      </w:pPr>
      <w:r>
        <w:rPr>
          <w:rFonts w:ascii="Courier New" w:hAnsi="Courier New" w:cs="Courier New"/>
          <w:sz w:val="16"/>
          <w:szCs w:val="16"/>
        </w:rPr>
        <w:t xml:space="preserve">                  contradicción  │              │  (apoyo, no decisión)</w:t>
      </w:r>
    </w:p>
    <w:p>
      <w:pPr>
        <w:spacing w:before="0" w:after="0" w:line="240" w:lineRule="auto"/>
      </w:pPr>
      <w:r>
        <w:rPr>
          <w:rFonts w:ascii="Courier New" w:hAnsi="Courier New" w:cs="Courier New"/>
          <w:sz w:val="16"/>
          <w:szCs w:val="16"/>
        </w:rPr>
        <w:t xml:space="preserve">                  y motivación    │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HERRAMIENTA DE IA (apoyo: búsqueda,         │</w:t>
      </w:r>
    </w:p>
    <w:p>
      <w:pPr>
        <w:spacing w:before="0" w:after="0" w:line="240" w:lineRule="auto"/>
      </w:pPr>
      <w:r>
        <w:rPr>
          <w:rFonts w:ascii="Courier New" w:hAnsi="Courier New" w:cs="Courier New"/>
          <w:sz w:val="16"/>
          <w:szCs w:val="16"/>
        </w:rPr>
        <w:t xml:space="preserve">                 │   sistematización, detección de patrones)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  SALVAGUARDAS (PTAG): revelación, trazabilidad,│</w:t>
      </w:r>
    </w:p>
    <w:p>
      <w:pPr>
        <w:spacing w:before="0" w:after="0" w:line="240" w:lineRule="auto"/>
      </w:pPr>
      <w:r>
        <w:rPr>
          <w:rFonts w:ascii="Courier New" w:hAnsi="Courier New" w:cs="Courier New"/>
          <w:sz w:val="16"/>
          <w:szCs w:val="16"/>
        </w:rPr>
        <w:t xml:space="preserve">                 │  explicabilidad, verificación y contradicción  │</w:t>
      </w:r>
    </w:p>
    <w:p>
      <w:pPr>
        <w:spacing w:before="0" w:after="0" w:line="240" w:lineRule="auto"/>
      </w:pPr>
      <w:r>
        <w:rPr>
          <w:rFonts w:ascii="Courier New" w:hAnsi="Courier New" w:cs="Courier New"/>
          <w:sz w:val="16"/>
          <w:szCs w:val="16"/>
        </w:rPr>
        <w:t xml:space="preserve">                 └──────────────────────────────────────────────┘</w:t>
      </w:r>
    </w:p>
    <w:p>
      <w:pPr>
        <w:spacing w:before="0" w:after="80" w:line="240" w:lineRule="auto"/>
      </w:pPr>
    </w:p>
    <w:p>
      <w:pPr>
        <w:spacing w:before="0" w:after="120" w:line="480" w:lineRule="auto"/>
        <w:jc w:val="both"/>
      </w:pPr>
      <w:r>
        <w:rPr>
          <w:i/>
        </w:rPr>
        <w:t xml:space="preserve">Nota.</w:t>
      </w:r>
      <w:r>
        <w:t xml:space="preserve"> Elaboración propia. El flujo de decisión nunca se invierte: la IA no decide ni condiciona, solo asiste.</w:t>
      </w:r>
    </w:p>
    <w:p>
      <w:pPr>
        <w:spacing w:before="200" w:after="120" w:line="240" w:lineRule="auto"/>
        <w:jc w:val="left"/>
        <w:keepNext/>
      </w:pPr>
      <w:r>
        <w:rPr>
          <w:b/>
          <w:sz w:val="28"/>
          <w:szCs w:val="28"/>
        </w:rPr>
        <w:t xml:space="preserve">4.2 El test de compatibilidad constitucional escalonado</w:t>
      </w:r>
    </w:p>
    <w:p>
      <w:pPr>
        <w:spacing w:before="0" w:after="120" w:line="480" w:lineRule="auto"/>
        <w:jc w:val="both"/>
      </w:pPr>
      <w:r>
        <w:t xml:space="preserve">Como criterio de admisibilidad, se propone un </w:t>
      </w:r>
      <w:r>
        <w:rPr>
          <w:b/>
        </w:rPr>
        <w:t xml:space="preserve">test escalonado por niveles de riesgo</w:t>
      </w:r>
      <w:r>
        <w:t xml:space="preserve">, que traslada al proceso penal colombiano la lógica de graduación del Reglamento (UE) 2024/1689, armonizada con la </w:t>
      </w:r>
      <w:r>
        <w:rPr>
          <w:i/>
        </w:rPr>
        <w:t xml:space="preserve">ratio</w:t>
      </w:r>
      <w:r>
        <w:t xml:space="preserve"> de la Sentencia T-323 de 2024 y con el garantismo penal. El test clasifica los usos de la IA en cuatro niveles y asigna a cada uno un régimen de salvaguardas y una consecuencia jurídica (Tabla 6).</w:t>
      </w:r>
    </w:p>
    <w:p>
      <w:pPr>
        <w:spacing w:before="0" w:after="120" w:line="480" w:lineRule="auto"/>
        <w:jc w:val="both"/>
      </w:pPr>
      <w:r>
        <w:rPr>
          <w:b/>
        </w:rPr>
        <w:t xml:space="preserve">Tabla 6</w:t>
      </w:r>
    </w:p>
    <w:p>
      <w:pPr>
        <w:spacing w:before="0" w:after="120" w:line="480" w:lineRule="auto"/>
        <w:jc w:val="both"/>
      </w:pPr>
      <w:r>
        <w:rPr>
          <w:i/>
        </w:rPr>
        <w:t xml:space="preserve">Test de compatibilidad constitucional escalonado por niveles de riesgo</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340"/>
        <w:gridCol w:w="2340"/>
        <w:gridCol w:w="2340"/>
        <w:gridCol w:w="2340"/>
      </w:tblGrid>
      <w:tr>
        <w:tc>
          <w:tcPr>
            <w:tcW w:w="2340" w:type="dxa"/>
            <w:shd w:val="clear" w:color="auto" w:fill="E7E6E6"/>
            <w:vAlign w:val="center"/>
          </w:tcPr>
          <w:p>
            <w:pPr>
              <w:spacing w:before="0" w:after="20" w:line="240" w:lineRule="auto"/>
            </w:pPr>
            <w:r>
              <w:rPr>
                <w:b/>
                <w:sz w:val="22"/>
                <w:szCs w:val="22"/>
              </w:rPr>
              <w:t xml:space="preserve">Nivel</w:t>
            </w:r>
          </w:p>
        </w:tc>
        <w:tc>
          <w:tcPr>
            <w:tcW w:w="2340" w:type="dxa"/>
            <w:shd w:val="clear" w:color="auto" w:fill="E7E6E6"/>
            <w:vAlign w:val="center"/>
          </w:tcPr>
          <w:p>
            <w:pPr>
              <w:spacing w:before="0" w:after="20" w:line="240" w:lineRule="auto"/>
            </w:pPr>
            <w:r>
              <w:rPr>
                <w:b/>
                <w:sz w:val="22"/>
                <w:szCs w:val="22"/>
              </w:rPr>
              <w:t xml:space="preserve">Tipo de uso en el proceso penal</w:t>
            </w:r>
          </w:p>
        </w:tc>
        <w:tc>
          <w:tcPr>
            <w:tcW w:w="2340" w:type="dxa"/>
            <w:shd w:val="clear" w:color="auto" w:fill="E7E6E6"/>
            <w:vAlign w:val="center"/>
          </w:tcPr>
          <w:p>
            <w:pPr>
              <w:spacing w:before="0" w:after="20" w:line="240" w:lineRule="auto"/>
            </w:pPr>
            <w:r>
              <w:rPr>
                <w:b/>
                <w:sz w:val="22"/>
                <w:szCs w:val="22"/>
              </w:rPr>
              <w:t xml:space="preserve">Régimen</w:t>
            </w:r>
          </w:p>
        </w:tc>
        <w:tc>
          <w:tcPr>
            <w:tcW w:w="2340" w:type="dxa"/>
            <w:shd w:val="clear" w:color="auto" w:fill="E7E6E6"/>
            <w:vAlign w:val="center"/>
          </w:tcPr>
          <w:p>
            <w:pPr>
              <w:spacing w:before="0" w:after="20" w:line="240" w:lineRule="auto"/>
            </w:pPr>
            <w:r>
              <w:rPr>
                <w:b/>
                <w:sz w:val="22"/>
                <w:szCs w:val="22"/>
              </w:rPr>
              <w:t xml:space="preserve">Consecuencia</w:t>
            </w:r>
          </w:p>
        </w:tc>
      </w:tr>
      <w:tr>
        <w:tc>
          <w:tcPr>
            <w:tcW w:w="2340" w:type="dxa"/>
            <w:vAlign w:val="center"/>
          </w:tcPr>
          <w:p>
            <w:pPr>
              <w:spacing w:before="0" w:after="20" w:line="240" w:lineRule="auto"/>
            </w:pPr>
            <w:r>
              <w:rPr>
                <w:b/>
                <w:sz w:val="22"/>
                <w:szCs w:val="22"/>
              </w:rPr>
              <w:t xml:space="preserve">Prohibido</w:t>
            </w:r>
          </w:p>
        </w:tc>
        <w:tc>
          <w:tcPr>
            <w:tcW w:w="2340" w:type="dxa"/>
            <w:vAlign w:val="center"/>
          </w:tcPr>
          <w:p>
            <w:pPr>
              <w:spacing w:before="0" w:after="20" w:line="240" w:lineRule="auto"/>
            </w:pPr>
            <w:r>
              <w:rPr>
                <w:sz w:val="22"/>
                <w:szCs w:val="22"/>
              </w:rPr>
              <w:t xml:space="preserve">IA que sustituye la decisión judicial; predicción de "peligrosidad" como base autónoma de la detención o la pena; sistemas opacos no auditables que incidan en la decisión</w:t>
            </w:r>
          </w:p>
        </w:tc>
        <w:tc>
          <w:tcPr>
            <w:tcW w:w="2340" w:type="dxa"/>
            <w:vAlign w:val="center"/>
          </w:tcPr>
          <w:p>
            <w:pPr>
              <w:spacing w:before="0" w:after="20" w:line="240" w:lineRule="auto"/>
            </w:pPr>
            <w:r>
              <w:rPr>
                <w:sz w:val="22"/>
                <w:szCs w:val="22"/>
              </w:rPr>
              <w:t xml:space="preserve">Vedado</w:t>
            </w:r>
          </w:p>
        </w:tc>
        <w:tc>
          <w:tcPr>
            <w:tcW w:w="2340" w:type="dxa"/>
            <w:vAlign w:val="center"/>
          </w:tcPr>
          <w:p>
            <w:pPr>
              <w:spacing w:before="0" w:after="20" w:line="240" w:lineRule="auto"/>
            </w:pPr>
            <w:r>
              <w:rPr>
                <w:sz w:val="22"/>
                <w:szCs w:val="22"/>
              </w:rPr>
              <w:t xml:space="preserve">Nulidad de la actuación; eventual responsabilidad disciplinaria</w:t>
            </w:r>
          </w:p>
        </w:tc>
      </w:tr>
      <w:tr>
        <w:tc>
          <w:tcPr>
            <w:tcW w:w="2340" w:type="dxa"/>
            <w:vAlign w:val="center"/>
          </w:tcPr>
          <w:p>
            <w:pPr>
              <w:spacing w:before="0" w:after="20" w:line="240" w:lineRule="auto"/>
            </w:pPr>
            <w:r>
              <w:rPr>
                <w:b/>
                <w:sz w:val="22"/>
                <w:szCs w:val="22"/>
              </w:rPr>
              <w:t xml:space="preserve">Alto riesgo</w:t>
            </w:r>
          </w:p>
        </w:tc>
        <w:tc>
          <w:tcPr>
            <w:tcW w:w="2340" w:type="dxa"/>
            <w:vAlign w:val="center"/>
          </w:tcPr>
          <w:p>
            <w:pPr>
              <w:spacing w:before="0" w:after="20" w:line="240" w:lineRule="auto"/>
            </w:pPr>
            <w:r>
              <w:rPr>
                <w:sz w:val="22"/>
                <w:szCs w:val="22"/>
              </w:rPr>
              <w:t xml:space="preserve">Apoyo a la valoración probatoria, a la proyección de providencias o a decisiones sobre la libertad</w:t>
            </w:r>
          </w:p>
        </w:tc>
        <w:tc>
          <w:tcPr>
            <w:tcW w:w="2340" w:type="dxa"/>
            <w:vAlign w:val="center"/>
          </w:tcPr>
          <w:p>
            <w:pPr>
              <w:spacing w:before="0" w:after="20" w:line="240" w:lineRule="auto"/>
            </w:pPr>
            <w:r>
              <w:rPr>
                <w:sz w:val="22"/>
                <w:szCs w:val="22"/>
              </w:rPr>
              <w:t xml:space="preserve">PTAG completo + verificación humana reforzada + contradicción algorítmica</w:t>
            </w:r>
          </w:p>
        </w:tc>
        <w:tc>
          <w:tcPr>
            <w:tcW w:w="2340" w:type="dxa"/>
            <w:vAlign w:val="center"/>
          </w:tcPr>
          <w:p>
            <w:pPr>
              <w:spacing w:before="0" w:after="20" w:line="240" w:lineRule="auto"/>
            </w:pPr>
            <w:r>
              <w:rPr>
                <w:sz w:val="22"/>
                <w:szCs w:val="22"/>
              </w:rPr>
              <w:t xml:space="preserve">Validez condicionada al cumplimiento integral del protocolo</w:t>
            </w:r>
          </w:p>
        </w:tc>
      </w:tr>
      <w:tr>
        <w:tc>
          <w:tcPr>
            <w:tcW w:w="2340" w:type="dxa"/>
            <w:vAlign w:val="center"/>
          </w:tcPr>
          <w:p>
            <w:pPr>
              <w:spacing w:before="0" w:after="20" w:line="240" w:lineRule="auto"/>
            </w:pPr>
            <w:r>
              <w:rPr>
                <w:b/>
                <w:sz w:val="22"/>
                <w:szCs w:val="22"/>
              </w:rPr>
              <w:t xml:space="preserve">Riesgo limitado</w:t>
            </w:r>
          </w:p>
        </w:tc>
        <w:tc>
          <w:tcPr>
            <w:tcW w:w="2340" w:type="dxa"/>
            <w:vAlign w:val="center"/>
          </w:tcPr>
          <w:p>
            <w:pPr>
              <w:spacing w:before="0" w:after="20" w:line="240" w:lineRule="auto"/>
            </w:pPr>
            <w:r>
              <w:rPr>
                <w:sz w:val="22"/>
                <w:szCs w:val="22"/>
              </w:rPr>
              <w:t xml:space="preserve">Búsqueda jurisprudencial, sistematización documental, transcripción, traducción</w:t>
            </w:r>
          </w:p>
        </w:tc>
        <w:tc>
          <w:tcPr>
            <w:tcW w:w="2340" w:type="dxa"/>
            <w:vAlign w:val="center"/>
          </w:tcPr>
          <w:p>
            <w:pPr>
              <w:spacing w:before="0" w:after="20" w:line="240" w:lineRule="auto"/>
            </w:pPr>
            <w:r>
              <w:rPr>
                <w:sz w:val="22"/>
                <w:szCs w:val="22"/>
              </w:rPr>
              <w:t xml:space="preserve">Revelación + verificación de fuentes</w:t>
            </w:r>
          </w:p>
        </w:tc>
        <w:tc>
          <w:tcPr>
            <w:tcW w:w="2340" w:type="dxa"/>
            <w:vAlign w:val="center"/>
          </w:tcPr>
          <w:p>
            <w:pPr>
              <w:spacing w:before="0" w:after="20" w:line="240" w:lineRule="auto"/>
            </w:pPr>
            <w:r>
              <w:rPr>
                <w:sz w:val="22"/>
                <w:szCs w:val="22"/>
              </w:rPr>
              <w:t xml:space="preserve">Validez con deber de revelación</w:t>
            </w:r>
          </w:p>
        </w:tc>
      </w:tr>
      <w:tr>
        <w:tc>
          <w:tcPr>
            <w:tcW w:w="2340" w:type="dxa"/>
            <w:vAlign w:val="center"/>
          </w:tcPr>
          <w:p>
            <w:pPr>
              <w:spacing w:before="0" w:after="20" w:line="240" w:lineRule="auto"/>
            </w:pPr>
            <w:r>
              <w:rPr>
                <w:b/>
                <w:sz w:val="22"/>
                <w:szCs w:val="22"/>
              </w:rPr>
              <w:t xml:space="preserve">Riesgo mínimo</w:t>
            </w:r>
          </w:p>
        </w:tc>
        <w:tc>
          <w:tcPr>
            <w:tcW w:w="2340" w:type="dxa"/>
            <w:vAlign w:val="center"/>
          </w:tcPr>
          <w:p>
            <w:pPr>
              <w:spacing w:before="0" w:after="20" w:line="240" w:lineRule="auto"/>
            </w:pPr>
            <w:r>
              <w:rPr>
                <w:sz w:val="22"/>
                <w:szCs w:val="22"/>
              </w:rPr>
              <w:t xml:space="preserve">Tareas administrativas accesorias sin incidencia en la decisión (agenda, plantillas)</w:t>
            </w:r>
          </w:p>
        </w:tc>
        <w:tc>
          <w:tcPr>
            <w:tcW w:w="2340" w:type="dxa"/>
            <w:vAlign w:val="center"/>
          </w:tcPr>
          <w:p>
            <w:pPr>
              <w:spacing w:before="0" w:after="20" w:line="240" w:lineRule="auto"/>
            </w:pPr>
            <w:r>
              <w:rPr>
                <w:sz w:val="22"/>
                <w:szCs w:val="22"/>
              </w:rPr>
              <w:t xml:space="preserve">Buenas prácticas</w:t>
            </w:r>
          </w:p>
        </w:tc>
        <w:tc>
          <w:tcPr>
            <w:tcW w:w="2340" w:type="dxa"/>
            <w:vAlign w:val="center"/>
          </w:tcPr>
          <w:p>
            <w:pPr>
              <w:spacing w:before="0" w:after="20" w:line="240" w:lineRule="auto"/>
            </w:pPr>
            <w:r>
              <w:rPr>
                <w:sz w:val="22"/>
                <w:szCs w:val="22"/>
              </w:rPr>
              <w:t xml:space="preserve">Uso libre</w:t>
            </w:r>
          </w:p>
        </w:tc>
      </w:tr>
    </w:tbl>
    <w:p>
      <w:pPr>
        <w:spacing w:before="0" w:after="120" w:line="240" w:lineRule="auto"/>
      </w:pPr>
    </w:p>
    <w:p>
      <w:pPr>
        <w:spacing w:before="0" w:after="120" w:line="480" w:lineRule="auto"/>
        <w:jc w:val="both"/>
      </w:pPr>
      <w:r>
        <w:rPr>
          <w:i/>
        </w:rPr>
        <w:t xml:space="preserve">Nota.</w:t>
      </w:r>
      <w:r>
        <w:t xml:space="preserve"> Elaboración propia. El test opera como filtro previo: ningún uso de nivel "alto riesgo" es admisible si no cumple el PTAG.</w:t>
      </w:r>
    </w:p>
    <w:p>
      <w:pPr>
        <w:spacing w:before="0" w:after="120" w:line="480" w:lineRule="auto"/>
        <w:jc w:val="both"/>
      </w:pPr>
      <w:r>
        <w:t xml:space="preserve">Los criterios que articulan cada escalón del test son: (i) la </w:t>
      </w:r>
      <w:r>
        <w:rPr>
          <w:b/>
        </w:rPr>
        <w:t xml:space="preserve">incidencia del sistema sobre la decisión</w:t>
      </w:r>
      <w:r>
        <w:t xml:space="preserve"> (¿asiste o decide?); (ii) el </w:t>
      </w:r>
      <w:r>
        <w:rPr>
          <w:b/>
        </w:rPr>
        <w:t xml:space="preserve">derecho fundamental comprometido</w:t>
      </w:r>
      <w:r>
        <w:t xml:space="preserve"> (a mayor afectación de la libertad, mayor exigencia); (iii) la </w:t>
      </w:r>
      <w:r>
        <w:rPr>
          <w:b/>
        </w:rPr>
        <w:t xml:space="preserve">explicabilidad y auditabilidad</w:t>
      </w:r>
      <w:r>
        <w:t xml:space="preserve"> del sistema; y (iv) la </w:t>
      </w:r>
      <w:r>
        <w:rPr>
          <w:b/>
        </w:rPr>
        <w:t xml:space="preserve">reversibilidad</w:t>
      </w:r>
      <w:r>
        <w:t xml:space="preserve"> de la decisión.</w:t>
      </w:r>
    </w:p>
    <w:p>
      <w:pPr>
        <w:spacing w:before="200" w:after="120" w:line="240" w:lineRule="auto"/>
        <w:jc w:val="left"/>
        <w:keepNext/>
      </w:pPr>
      <w:r>
        <w:rPr>
          <w:b/>
          <w:sz w:val="28"/>
          <w:szCs w:val="28"/>
        </w:rPr>
        <w:t xml:space="preserve">4.3 El Protocolo de Transparencia Algorítmica y Garantías Penales (PTAG)</w:t>
      </w:r>
    </w:p>
    <w:p>
      <w:pPr>
        <w:spacing w:before="0" w:after="120" w:line="480" w:lineRule="auto"/>
        <w:jc w:val="both"/>
      </w:pPr>
      <w:r>
        <w:t xml:space="preserve">El PTAG es el instrumento operativo central de la propuesta. Se estructura en cinco deberes interdependientes, exigibles a todos los actores procesales que empleen IA en usos de alto riesgo o riesgo limitado.</w:t>
      </w:r>
    </w:p>
    <w:p>
      <w:pPr>
        <w:spacing w:before="160" w:after="100" w:line="240" w:lineRule="auto"/>
        <w:jc w:val="left"/>
        <w:keepNext/>
      </w:pPr>
      <w:r>
        <w:rPr>
          <w:b/>
          <w:sz w:val="26"/>
          <w:szCs w:val="26"/>
        </w:rPr>
        <w:t xml:space="preserve">4.3.1 Deber de revelación (transparencia activa)</w:t>
      </w:r>
    </w:p>
    <w:p>
      <w:pPr>
        <w:spacing w:before="0" w:after="120" w:line="480" w:lineRule="auto"/>
        <w:jc w:val="both"/>
      </w:pPr>
      <w:r>
        <w:t xml:space="preserve">Todo operador que utilice IA debe </w:t>
      </w:r>
      <w:r>
        <w:rPr>
          <w:b/>
        </w:rPr>
        <w:t xml:space="preserve">dejar constancia expresa en el expediente</w:t>
      </w:r>
      <w:r>
        <w:t xml:space="preserve">, indicando: (i) la herramienta y el modelo empleados; (ii) la empresa proveedora; (iii) la fecha y la finalidad del uso; (iv) las consultas o </w:t>
      </w:r>
      <w:r>
        <w:rPr>
          <w:i/>
        </w:rPr>
        <w:t xml:space="preserve">prompts</w:t>
      </w:r>
      <w:r>
        <w:t xml:space="preserve"> relevantes; y (v) la porción de la actuación en que se empleó. Este deber concreta y refuerza, para el ámbito penal, lo ordenado por el Acuerdo PCSJA24-12243 de 2024 y la Sentencia T-323 de 2024.</w:t>
      </w:r>
    </w:p>
    <w:p>
      <w:pPr>
        <w:spacing w:before="160" w:after="100" w:line="240" w:lineRule="auto"/>
        <w:jc w:val="left"/>
        <w:keepNext/>
      </w:pPr>
      <w:r>
        <w:rPr>
          <w:b/>
          <w:sz w:val="26"/>
          <w:szCs w:val="26"/>
        </w:rPr>
        <w:t xml:space="preserve">4.3.2 Deber de trazabilidad y conservación</w:t>
      </w:r>
    </w:p>
    <w:p>
      <w:pPr>
        <w:spacing w:before="0" w:after="120" w:line="480" w:lineRule="auto"/>
        <w:jc w:val="both"/>
      </w:pPr>
      <w:r>
        <w:t xml:space="preserve">Debe conservarse un </w:t>
      </w:r>
      <w:r>
        <w:rPr>
          <w:b/>
        </w:rPr>
        <w:t xml:space="preserve">registro auditable</w:t>
      </w:r>
      <w:r>
        <w:t xml:space="preserve"> (</w:t>
      </w:r>
      <w:r>
        <w:rPr>
          <w:i/>
        </w:rPr>
        <w:t xml:space="preserve">log</w:t>
      </w:r>
      <w:r>
        <w:t xml:space="preserve">) que permita reconstruir la interacción con el sistema, de modo que cualquier parte o autoridad pueda verificar </w:t>
      </w:r>
      <w:r>
        <w:rPr>
          <w:i/>
        </w:rPr>
        <w:t xml:space="preserve">qué</w:t>
      </w:r>
      <w:r>
        <w:t xml:space="preserve"> se consultó, </w:t>
      </w:r>
      <w:r>
        <w:rPr>
          <w:i/>
        </w:rPr>
        <w:t xml:space="preserve">cuándo</w:t>
      </w:r>
      <w:r>
        <w:t xml:space="preserve"> y </w:t>
      </w:r>
      <w:r>
        <w:rPr>
          <w:i/>
        </w:rPr>
        <w:t xml:space="preserve">con qué resultado</w:t>
      </w:r>
      <w:r>
        <w:t xml:space="preserve">. La trazabilidad es la condición técnica de la contradicción y del control disciplinario.</w:t>
      </w:r>
    </w:p>
    <w:p>
      <w:pPr>
        <w:spacing w:before="160" w:after="100" w:line="240" w:lineRule="auto"/>
        <w:jc w:val="left"/>
        <w:keepNext/>
      </w:pPr>
      <w:r>
        <w:rPr>
          <w:b/>
          <w:sz w:val="26"/>
          <w:szCs w:val="26"/>
        </w:rPr>
        <w:t xml:space="preserve">4.3.3 Deber de explicabilidad</w:t>
      </w:r>
    </w:p>
    <w:p>
      <w:pPr>
        <w:spacing w:before="0" w:after="120" w:line="480" w:lineRule="auto"/>
        <w:jc w:val="both"/>
      </w:pPr>
      <w:r>
        <w:t xml:space="preserve">El sistema empleado en usos de alto riesgo debe ser </w:t>
      </w:r>
      <w:r>
        <w:rPr>
          <w:b/>
        </w:rPr>
        <w:t xml:space="preserve">explicable</w:t>
      </w:r>
      <w:r>
        <w:t xml:space="preserve">: debe poder ofrecerse una justificación comprensible de cómo se obtuvo el resultado. Se proscribe el uso de sistemas cuyo funcionamiento no pueda explicarse por estar amparado en secreto comercial, cuando incidan en la decisión penal (lección de </w:t>
      </w:r>
      <w:r>
        <w:rPr>
          <w:i/>
        </w:rPr>
        <w:t xml:space="preserve">State v. Loomis</w:t>
      </w:r>
      <w:r>
        <w:t xml:space="preserve">).</w:t>
      </w:r>
    </w:p>
    <w:p>
      <w:pPr>
        <w:spacing w:before="160" w:after="100" w:line="240" w:lineRule="auto"/>
        <w:jc w:val="left"/>
        <w:keepNext/>
      </w:pPr>
      <w:r>
        <w:rPr>
          <w:b/>
          <w:sz w:val="26"/>
          <w:szCs w:val="26"/>
        </w:rPr>
        <w:t xml:space="preserve">4.3.4 Deber de verificación humana reforzada</w:t>
      </w:r>
    </w:p>
    <w:p>
      <w:pPr>
        <w:spacing w:before="0" w:after="120" w:line="480" w:lineRule="auto"/>
        <w:jc w:val="both"/>
      </w:pPr>
      <w:r>
        <w:t xml:space="preserve">El operador debe </w:t>
      </w:r>
      <w:r>
        <w:rPr>
          <w:b/>
        </w:rPr>
        <w:t xml:space="preserve">corroborar de manera autónoma</w:t>
      </w:r>
      <w:r>
        <w:t xml:space="preserve"> toda información suministrada por la IA: contrastar las citas jurisprudenciales y normativas con las fuentes oficiales, validar los datos y descartar las alucinaciones. La motivación de la decisión debe sostenerse por sí misma, con independencia de la herramienta. La verificación no es un trámite formal, sino una garantía sustancial contra las alucinaciones.</w:t>
      </w:r>
    </w:p>
    <w:p>
      <w:pPr>
        <w:spacing w:before="160" w:after="100" w:line="240" w:lineRule="auto"/>
        <w:jc w:val="left"/>
        <w:keepNext/>
      </w:pPr>
      <w:r>
        <w:rPr>
          <w:b/>
          <w:sz w:val="26"/>
          <w:szCs w:val="26"/>
        </w:rPr>
        <w:t xml:space="preserve">4.3.5 Deber de protección de datos</w:t>
      </w:r>
    </w:p>
    <w:p>
      <w:pPr>
        <w:spacing w:before="0" w:after="120" w:line="480" w:lineRule="auto"/>
        <w:jc w:val="both"/>
      </w:pPr>
      <w:r>
        <w:t xml:space="preserve">Se prohíbe incorporar datos personales sensibles o información reservada del expediente en sistemas externos que no ofrezcan garantías de tratamiento conforme al habeas data (art. 15 de la Constitución Política; Ley 1581 de 2012), salvo entornos institucionales seguros.</w:t>
      </w:r>
    </w:p>
    <w:p>
      <w:pPr>
        <w:spacing w:before="0" w:after="120" w:line="480" w:lineRule="auto"/>
        <w:jc w:val="both"/>
      </w:pPr>
      <w:r>
        <w:rPr>
          <w:b/>
        </w:rPr>
        <w:t xml:space="preserve">Figura 2</w:t>
      </w:r>
    </w:p>
    <w:p>
      <w:pPr>
        <w:spacing w:before="0" w:after="120" w:line="480" w:lineRule="auto"/>
        <w:jc w:val="both"/>
      </w:pPr>
      <w:r>
        <w:rPr>
          <w:i/>
        </w:rPr>
        <w:t xml:space="preserve">Flujo del Protocolo de Transparencia Algorítmica y Garantías Penales (PTAG)</w:t>
      </w:r>
    </w:p>
    <w:p>
      <w:pPr>
        <w:spacing w:before="0" w:after="0" w:line="240" w:lineRule="auto"/>
      </w:pPr>
      <w:r>
        <w:rPr>
          <w:rFonts w:ascii="Courier New" w:hAnsi="Courier New" w:cs="Courier New"/>
          <w:sz w:val="16"/>
          <w:szCs w:val="16"/>
        </w:rPr>
        <w:t xml:space="preserve">  [1] CLASIFICACIÓN          [2] AUTORIZACIÓN DE USO       [3] EJECUCIÓN</w:t>
      </w:r>
    </w:p>
    <w:p>
      <w:pPr>
        <w:spacing w:before="0" w:after="0" w:line="240" w:lineRule="auto"/>
      </w:pPr>
      <w:r>
        <w:rPr>
          <w:rFonts w:ascii="Courier New" w:hAnsi="Courier New" w:cs="Courier New"/>
          <w:sz w:val="16"/>
          <w:szCs w:val="16"/>
        </w:rPr>
        <w:t xml:space="preserve">  (test escalonado) ───────► (según nivel de riesgo) ────► (consulta acotada de apoyo)</w:t>
      </w:r>
    </w:p>
    <w:p>
      <w:pPr>
        <w:spacing w:before="0" w:after="0" w:line="240" w:lineRule="auto"/>
      </w:pPr>
      <w:r>
        <w:rPr>
          <w:rFonts w:ascii="Courier New" w:hAnsi="Courier New" w:cs="Courier New"/>
          <w:sz w:val="16"/>
          <w:szCs w:val="16"/>
        </w:rPr>
        <w:t xml:space="preserve">        │                                                          │</w:t>
      </w:r>
    </w:p>
    <w:p>
      <w:pPr>
        <w:spacing w:before="0" w:after="0" w:line="240" w:lineRule="auto"/>
      </w:pPr>
      <w:r>
        <w:rPr>
          <w:rFonts w:ascii="Courier New" w:hAnsi="Courier New" w:cs="Courier New"/>
          <w:sz w:val="16"/>
          <w:szCs w:val="16"/>
        </w:rPr>
        <w:t xml:space="preserve">        ▼                                                          ▼</w:t>
      </w:r>
    </w:p>
    <w:p>
      <w:pPr>
        <w:spacing w:before="0" w:after="0" w:line="240" w:lineRule="auto"/>
      </w:pPr>
      <w:r>
        <w:rPr>
          <w:rFonts w:ascii="Courier New" w:hAnsi="Courier New" w:cs="Courier New"/>
          <w:sz w:val="16"/>
          <w:szCs w:val="16"/>
        </w:rPr>
        <w:t xml:space="preserve">  ¿Prohibido? ── sí ─► NO SE USA                         [4] REGISTRO (revelación +</w:t>
      </w:r>
    </w:p>
    <w:p>
      <w:pPr>
        <w:spacing w:before="0" w:after="0" w:line="240" w:lineRule="auto"/>
      </w:pPr>
      <w:r>
        <w:rPr>
          <w:rFonts w:ascii="Courier New" w:hAnsi="Courier New" w:cs="Courier New"/>
          <w:sz w:val="16"/>
          <w:szCs w:val="16"/>
        </w:rPr>
        <w:t xml:space="preserve">        │                                                     trazabilidad/log)</w:t>
      </w:r>
    </w:p>
    <w:p>
      <w:pPr>
        <w:spacing w:before="0" w:after="0" w:line="240" w:lineRule="auto"/>
      </w:pPr>
      <w:r>
        <w:rPr>
          <w:rFonts w:ascii="Courier New" w:hAnsi="Courier New" w:cs="Courier New"/>
          <w:sz w:val="16"/>
          <w:szCs w:val="16"/>
        </w:rPr>
        <w:t xml:space="preserve">        no                                                       │</w:t>
      </w:r>
    </w:p>
    <w:p>
      <w:pPr>
        <w:spacing w:before="0" w:after="0" w:line="240" w:lineRule="auto"/>
      </w:pPr>
      <w:r>
        <w:rPr>
          <w:rFonts w:ascii="Courier New" w:hAnsi="Courier New" w:cs="Courier New"/>
          <w:sz w:val="16"/>
          <w:szCs w:val="16"/>
        </w:rPr>
        <w:t xml:space="preserve">        ▼                                                        ▼</w:t>
      </w:r>
    </w:p>
    <w:p>
      <w:pPr>
        <w:spacing w:before="0" w:after="0" w:line="240" w:lineRule="auto"/>
      </w:pPr>
      <w:r>
        <w:rPr>
          <w:rFonts w:ascii="Courier New" w:hAnsi="Courier New" w:cs="Courier New"/>
          <w:sz w:val="16"/>
          <w:szCs w:val="16"/>
        </w:rPr>
        <w:t xml:space="preserve">  Aplicar salvaguardas del nivel                        [5] VERIFICACIÓN HUMANA</w:t>
      </w:r>
    </w:p>
    <w:p>
      <w:pPr>
        <w:spacing w:before="0" w:after="0" w:line="240" w:lineRule="auto"/>
      </w:pPr>
      <w:r>
        <w:rPr>
          <w:rFonts w:ascii="Courier New" w:hAnsi="Courier New" w:cs="Courier New"/>
          <w:sz w:val="16"/>
          <w:szCs w:val="16"/>
        </w:rPr>
        <w:t xml:space="preserve">                                                              REFORZADA</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[6] CONTRADICCIÓN ALGORÍTMICA</w:t>
      </w:r>
    </w:p>
    <w:p>
      <w:pPr>
        <w:spacing w:before="0" w:after="0" w:line="240" w:lineRule="auto"/>
      </w:pPr>
      <w:r>
        <w:rPr>
          <w:rFonts w:ascii="Courier New" w:hAnsi="Courier New" w:cs="Courier New"/>
          <w:sz w:val="16"/>
          <w:szCs w:val="16"/>
        </w:rPr>
        <w:t xml:space="preserve">                                                           (acceso de la defensa)</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w:t>
      </w:r>
    </w:p>
    <w:p>
      <w:pPr>
        <w:spacing w:before="0" w:after="0" w:line="240" w:lineRule="auto"/>
      </w:pPr>
      <w:r>
        <w:rPr>
          <w:rFonts w:ascii="Courier New" w:hAnsi="Courier New" w:cs="Courier New"/>
          <w:sz w:val="16"/>
          <w:szCs w:val="16"/>
        </w:rPr>
        <w:t xml:space="preserve">                                                        [7] DECISIÓN HUMANA MOTIVADA</w:t>
      </w:r>
    </w:p>
    <w:p>
      <w:pPr>
        <w:spacing w:before="0" w:after="80" w:line="240" w:lineRule="auto"/>
      </w:pPr>
    </w:p>
    <w:p>
      <w:pPr>
        <w:spacing w:before="0" w:after="120" w:line="480" w:lineRule="auto"/>
        <w:jc w:val="both"/>
      </w:pPr>
      <w:r>
        <w:rPr>
          <w:i/>
        </w:rPr>
        <w:t xml:space="preserve">Nota.</w:t>
      </w:r>
      <w:r>
        <w:t xml:space="preserve"> Elaboración propia.</w:t>
      </w:r>
    </w:p>
    <w:p>
      <w:pPr>
        <w:spacing w:before="200" w:after="120" w:line="240" w:lineRule="auto"/>
        <w:jc w:val="left"/>
        <w:keepNext/>
      </w:pPr>
      <w:r>
        <w:rPr>
          <w:b/>
          <w:sz w:val="28"/>
          <w:szCs w:val="28"/>
        </w:rPr>
        <w:t xml:space="preserve">4.4 La contradicción algorítmica como nueva garantía procesal</w:t>
      </w:r>
    </w:p>
    <w:p>
      <w:pPr>
        <w:spacing w:before="0" w:after="120" w:line="480" w:lineRule="auto"/>
        <w:jc w:val="both"/>
      </w:pPr>
      <w:r>
        <w:t xml:space="preserve">El aporte dogmático de mayor calado de la investigación es la formulación de la </w:t>
      </w:r>
      <w:r>
        <w:rPr>
          <w:b/>
        </w:rPr>
        <w:t xml:space="preserve">contradicción algorítmica</w:t>
      </w:r>
      <w:r>
        <w:t xml:space="preserve"> como una proyección del derecho de defensa (art. 29 de la Constitución Política; art. 8 de la Convención Americana sobre Derechos Humanos) al entorno tecnológico. Se define como el </w:t>
      </w:r>
      <w:r>
        <w:rPr>
          <w:b/>
        </w:rPr>
        <w:t xml:space="preserve">derecho de las partes —en especial de la defensa— a conocer, auditar y refutar las herramientas de IA que hayan influido en una decisión que les afecte</w:t>
      </w:r>
      <w:r>
        <w:t xml:space="preserve">. Comprende tres facultades: (i) el </w:t>
      </w:r>
      <w:r>
        <w:rPr>
          <w:b/>
        </w:rPr>
        <w:t xml:space="preserve">derecho a saber</w:t>
      </w:r>
      <w:r>
        <w:t xml:space="preserve"> que se empleó IA (que se satisface con el deber de revelación); (ii) el </w:t>
      </w:r>
      <w:r>
        <w:rPr>
          <w:b/>
        </w:rPr>
        <w:t xml:space="preserve">derecho a acceder</w:t>
      </w:r>
      <w:r>
        <w:t xml:space="preserve"> a la información necesaria para comprender su funcionamiento (que se satisface con la trazabilidad y la explicabilidad); y (iii) el </w:t>
      </w:r>
      <w:r>
        <w:rPr>
          <w:b/>
        </w:rPr>
        <w:t xml:space="preserve">derecho a controvertir</w:t>
      </w:r>
      <w:r>
        <w:t xml:space="preserve"> los resultados mediante prueba o argumentación, incluida la posibilidad de solicitar peritaje algorítmico.</w:t>
      </w:r>
    </w:p>
    <w:p>
      <w:pPr>
        <w:spacing w:before="0" w:after="120" w:line="480" w:lineRule="auto"/>
        <w:jc w:val="both"/>
      </w:pPr>
      <w:r>
        <w:t xml:space="preserve">La consagración de esta garantía cierra el círculo del modelo: restablece la </w:t>
      </w:r>
      <w:r>
        <w:rPr>
          <w:b/>
        </w:rPr>
        <w:t xml:space="preserve">igualdad de armas</w:t>
      </w:r>
      <w:r>
        <w:t xml:space="preserve"> rota por la opacidad y convierte la transparencia en un derecho exigible, no en una mera recomendación ética.</w:t>
      </w:r>
    </w:p>
    <w:p>
      <w:pPr>
        <w:spacing w:before="200" w:after="120" w:line="240" w:lineRule="auto"/>
        <w:jc w:val="left"/>
        <w:keepNext/>
      </w:pPr>
      <w:r>
        <w:rPr>
          <w:b/>
          <w:sz w:val="28"/>
          <w:szCs w:val="28"/>
        </w:rPr>
        <w:t xml:space="preserve">4.5 Implementación institucional</w:t>
      </w:r>
    </w:p>
    <w:p>
      <w:pPr>
        <w:spacing w:before="0" w:after="120" w:line="480" w:lineRule="auto"/>
        <w:jc w:val="both"/>
      </w:pPr>
      <w:r>
        <w:t xml:space="preserve">La propuesta se concreta en una </w:t>
      </w:r>
      <w:r>
        <w:rPr>
          <w:b/>
        </w:rPr>
        <w:t xml:space="preserve">ruta de adopción</w:t>
      </w:r>
      <w:r>
        <w:t xml:space="preserve"> en tres niveles:</w:t>
      </w:r>
    </w:p>
    <w:p>
      <w:pPr>
        <w:ind w:left="360"/>
        <w:spacing w:before="0" w:after="40" w:line="360" w:lineRule="auto"/>
      </w:pPr>
      <w:r>
        <w:t xml:space="preserve">1. </w:t>
      </w:r>
      <w:r>
        <w:rPr>
          <w:b/>
        </w:rPr>
        <w:t xml:space="preserve">Nivel legislativo.</w:t>
      </w:r>
      <w:r>
        <w:t xml:space="preserve"> Incorporar el test escalonado y el núcleo del PTAG en la futura Ley de Inteligencia Artificial (PL 043-25S / 324-25C) o en una ley estatutaria que reforme la Ley 906 de 2004, consagrando expresamente la contradicción algorítmica como garantía procesal penal.</w:t>
      </w:r>
    </w:p>
    <w:p>
      <w:pPr>
        <w:ind w:left="360"/>
        <w:spacing w:before="0" w:after="40" w:line="360" w:lineRule="auto"/>
      </w:pPr>
      <w:r>
        <w:t xml:space="preserve">2. </w:t>
      </w:r>
      <w:r>
        <w:rPr>
          <w:b/>
        </w:rPr>
        <w:t xml:space="preserve">Nivel reglamentario.</w:t>
      </w:r>
      <w:r>
        <w:t xml:space="preserve"> Que el Consejo Superior de la Judicatura desarrolle el PTAG mediante acuerdo, complementando el Acuerdo PCSJA24-12243 de 2024 con un anexo específico para la jurisdicción penal, e implemente registros de trazabilidad en los sistemas de gestión.</w:t>
      </w:r>
    </w:p>
    <w:p>
      <w:pPr>
        <w:ind w:left="360"/>
        <w:spacing w:before="0" w:after="40" w:line="360" w:lineRule="auto"/>
      </w:pPr>
      <w:r>
        <w:t xml:space="preserve">3. </w:t>
      </w:r>
      <w:r>
        <w:rPr>
          <w:b/>
        </w:rPr>
        <w:t xml:space="preserve">Nivel formativo e institucional.</w:t>
      </w:r>
      <w:r>
        <w:t xml:space="preserve"> Que la Escuela Judicial "Rodrigo Lara Bonilla", la Fiscalía General de la Nación y la Defensoría del Pueblo capaciten a sus operadores en el uso garantista de la IA y creen instancias de auditoría algorítmica.</w:t>
      </w:r>
    </w:p>
    <w:p>
      <w:pPr>
        <w:spacing w:before="160" w:after="100" w:line="240" w:lineRule="auto"/>
        <w:jc w:val="left"/>
        <w:keepNext/>
      </w:pPr>
      <w:r>
        <w:rPr>
          <w:b/>
          <w:sz w:val="26"/>
          <w:szCs w:val="26"/>
        </w:rPr>
        <w:t xml:space="preserve">4.5.1 Síntesis del capítulo</w:t>
      </w:r>
    </w:p>
    <w:p>
      <w:pPr>
        <w:spacing w:before="0" w:after="120" w:line="480" w:lineRule="auto"/>
        <w:jc w:val="both"/>
      </w:pPr>
      <w:r>
        <w:t xml:space="preserve">El modelo de justicia aumentada, el test escalonado, el PTAG y la garantía de contradicción algorítmica conforman un sistema coherente que responde a la pregunta de investigación: la IA puede fortalecer la justicia penal sin sacrificar las garantías, siempre que se subordine al control humano significativo y a la transparencia verificable. Con ello se confirma la segunda parte de la hipótesis y se sientan las bases de las conclusiones.</w:t>
      </w:r>
    </w:p>
    <w:p>
      <w:r>
        <w:br w:type="page"/>
      </w:r>
    </w:p>
    <w:p>
      <w:pPr>
        <w:spacing w:before="240" w:after="160" w:line="240" w:lineRule="auto"/>
        <w:jc w:val="center"/>
        <w:keepNext/>
      </w:pPr>
      <w:r>
        <w:rPr>
          <w:b/>
          <w:sz w:val="32"/>
          <w:szCs w:val="32"/>
        </w:rPr>
        <w:t xml:space="preserve">CONCLUSIONES</w:t>
      </w:r>
    </w:p>
    <w:p>
      <w:pPr>
        <w:spacing w:before="0" w:after="120" w:line="480" w:lineRule="auto"/>
        <w:jc w:val="both"/>
      </w:pPr>
      <w:r>
        <w:t xml:space="preserve">La investigación permite formular las siguientes conclusiones, ordenadas conforme a los objetivos planteados.</w:t>
      </w:r>
    </w:p>
    <w:p>
      <w:pPr>
        <w:spacing w:before="0" w:after="120" w:line="480" w:lineRule="auto"/>
        <w:jc w:val="both"/>
      </w:pPr>
      <w:r>
        <w:rPr>
          <w:b/>
        </w:rPr>
        <w:t xml:space="preserve">Primera.</w:t>
      </w:r>
      <w:r>
        <w:t xml:space="preserve"> La administración de justicia colombiana cuenta con un andamiaje normativo </w:t>
      </w:r>
      <w:r>
        <w:rPr>
          <w:i/>
        </w:rPr>
        <w:t xml:space="preserve">incipiente y fragmentado</w:t>
      </w:r>
      <w:r>
        <w:t xml:space="preserve"> en materia de IA. El precedente constitucional de la Sentencia T-323 de 2024 es robusto y fija principios de transparencia, responsabilidad, verificación, no sustitución de la racionalidad humana y control humano; sin embargo, fue formulado con vocación general y los desarrollos reglamentarios posteriores (Acuerdo PCSJA24-12243 y Circular PCSJC24-37 de 2024) tienen alcance interno de la Rama Judicial. Persiste, por tanto, un vacío de regulación legal específica para el proceso penal, donde las garantías comprometidas exigen un estándar reforzado. Se cumple así el primer objetivo específico.</w:t>
      </w:r>
    </w:p>
    <w:p>
      <w:pPr>
        <w:spacing w:before="0" w:after="120" w:line="480" w:lineRule="auto"/>
        <w:jc w:val="both"/>
      </w:pPr>
      <w:r>
        <w:rPr>
          <w:b/>
        </w:rPr>
        <w:t xml:space="preserve">Segunda.</w:t>
      </w:r>
      <w:r>
        <w:t xml:space="preserve"> Los riesgos del uso de la IA en el proceso penal no son fallas marginales, sino manifestaciones estructurales de la arquitectura de estos sistemas. Las </w:t>
      </w:r>
      <w:r>
        <w:rPr>
          <w:b/>
        </w:rPr>
        <w:t xml:space="preserve">alucinaciones</w:t>
      </w:r>
      <w:r>
        <w:t xml:space="preserve"> comprometen el deber de motivación; los </w:t>
      </w:r>
      <w:r>
        <w:rPr>
          <w:b/>
        </w:rPr>
        <w:t xml:space="preserve">sesgos</w:t>
      </w:r>
      <w:r>
        <w:t xml:space="preserve"> vulneran la igualdad y la presunción de inocencia, reintroduciendo un razonamiento actuarial incompatible con el derecho penal de acto; y la </w:t>
      </w:r>
      <w:r>
        <w:rPr>
          <w:b/>
        </w:rPr>
        <w:t xml:space="preserve">opacidad</w:t>
      </w:r>
      <w:r>
        <w:t xml:space="preserve"> ("caja negra") erosiona el derecho de contradicción y la igualdad de armas. La matriz de riesgos por actor y etapa (Tabla 4) demuestra que cada interviniente enfrenta amenazas diferenciadas. Se cumple el segundo objetivo específico.</w:t>
      </w:r>
    </w:p>
    <w:p>
      <w:pPr>
        <w:spacing w:before="0" w:after="120" w:line="480" w:lineRule="auto"/>
        <w:jc w:val="both"/>
      </w:pPr>
      <w:r>
        <w:rPr>
          <w:b/>
        </w:rPr>
        <w:t xml:space="preserve">Tercera.</w:t>
      </w:r>
      <w:r>
        <w:t xml:space="preserve"> El derecho comparado revela una tendencia global convergente: ningún ordenamiento serio admite que la IA sustituya el juicio humano en decisiones que comprometen la libertad. La Unión Europea aporta la graduación por niveles de riesgo y la supervisión humana; </w:t>
      </w:r>
      <w:r>
        <w:rPr>
          <w:i/>
        </w:rPr>
        <w:t xml:space="preserve">State v. Loomis</w:t>
      </w:r>
      <w:r>
        <w:t xml:space="preserve"> advierte sobre los peligros de la opacidad; Argentina muestra la conveniencia de delimitar el uso a tareas de apoyo; y Brasil evidencia el valor de la gobernanza institucional y la explicabilidad. Se cumple el tercer objetivo específico.</w:t>
      </w:r>
    </w:p>
    <w:p>
      <w:pPr>
        <w:spacing w:before="0" w:after="120" w:line="480" w:lineRule="auto"/>
        <w:jc w:val="both"/>
      </w:pPr>
      <w:r>
        <w:rPr>
          <w:b/>
        </w:rPr>
        <w:t xml:space="preserve">Cuarta.</w:t>
      </w:r>
      <w:r>
        <w:t xml:space="preserve"> Como respuesta a la pregunta de investigación, la IA es constitucionalmente admisible en la justicia penal </w:t>
      </w:r>
      <w:r>
        <w:rPr>
          <w:b/>
        </w:rPr>
        <w:t xml:space="preserve">únicamente bajo el modelo de justicia aumentada</w:t>
      </w:r>
      <w:r>
        <w:t xml:space="preserve">, sujeto al control humano significativo. Para garantizarlo, la investigación propone tres instrumentos articulados: el </w:t>
      </w:r>
      <w:r>
        <w:rPr>
          <w:b/>
        </w:rPr>
        <w:t xml:space="preserve">test de compatibilidad constitucional escalonado</w:t>
      </w:r>
      <w:r>
        <w:t xml:space="preserve"> por niveles de riesgo, el </w:t>
      </w:r>
      <w:r>
        <w:rPr>
          <w:b/>
        </w:rPr>
        <w:t xml:space="preserve">Protocolo de Transparencia Algorítmica y Garantías Penales (PTAG)</w:t>
      </w:r>
      <w:r>
        <w:t xml:space="preserve"> y la consagración de la </w:t>
      </w:r>
      <w:r>
        <w:rPr>
          <w:b/>
        </w:rPr>
        <w:t xml:space="preserve">contradicción algorítmica</w:t>
      </w:r>
      <w:r>
        <w:t xml:space="preserve"> como nueva garantía procesal. Se cumple el cuarto objetivo específico.</w:t>
      </w:r>
    </w:p>
    <w:p>
      <w:pPr>
        <w:spacing w:before="0" w:after="120" w:line="480" w:lineRule="auto"/>
        <w:jc w:val="both"/>
      </w:pPr>
      <w:r>
        <w:rPr>
          <w:b/>
        </w:rPr>
        <w:t xml:space="preserve">Quinta (verificación de la hipótesis).</w:t>
      </w:r>
      <w:r>
        <w:t xml:space="preserve"> La hipótesis se confirma. El uso actual de la IA en el proceso penal, en ausencia de regulación integral y de protocolos verificables, no satisface los requisitos de transparencia, verificabilidad y supervisión humana exigidos por la Sentencia T-323 de 2024 y por el garantismo penal, lo que genera riesgos ciertos para los derechos fundamentales del imputado o acusado. Solo un modelo de justicia aumentada, soportado en el PTAG y en el test escalonado, permite armonizar eficiencia y garantías.</w:t>
      </w:r>
    </w:p>
    <w:p>
      <w:pPr>
        <w:spacing w:before="0" w:after="120" w:line="480" w:lineRule="auto"/>
        <w:jc w:val="both"/>
      </w:pPr>
      <w:r>
        <w:rPr>
          <w:b/>
        </w:rPr>
        <w:t xml:space="preserve">Conclusión general.</w:t>
      </w:r>
      <w:r>
        <w:t xml:space="preserve"> La pregunta de fondo —si un sistema de IA puede reemplazar o condicionar el juicio humano en materias que comprometen la libertad— recibe una respuesta negativa categórica desde el garantismo. La tecnología es legítima en la justicia penal solo cuando se subordina a la dignidad humana y a las garantías procesales. La frontera entre la </w:t>
      </w:r>
      <w:r>
        <w:rPr>
          <w:i/>
        </w:rPr>
        <w:t xml:space="preserve">justicia aumentada</w:t>
      </w:r>
      <w:r>
        <w:t xml:space="preserve"> y la </w:t>
      </w:r>
      <w:r>
        <w:rPr>
          <w:i/>
        </w:rPr>
        <w:t xml:space="preserve">justicia automatizada</w:t>
      </w:r>
      <w:r>
        <w:t xml:space="preserve"> es, en última instancia, la frontera entre el Estado social de derecho y su negación.</w:t>
      </w:r>
    </w:p>
    <w:p>
      <w:r>
        <w:br w:type="page"/>
      </w:r>
    </w:p>
    <w:p>
      <w:pPr>
        <w:spacing w:before="240" w:after="160" w:line="240" w:lineRule="auto"/>
        <w:jc w:val="center"/>
        <w:keepNext/>
      </w:pPr>
      <w:r>
        <w:rPr>
          <w:b/>
          <w:sz w:val="32"/>
          <w:szCs w:val="32"/>
        </w:rPr>
        <w:t xml:space="preserve">RECOMENDACIONES</w:t>
      </w:r>
    </w:p>
    <w:p>
      <w:pPr>
        <w:ind w:left="360"/>
        <w:spacing w:before="0" w:after="40" w:line="360" w:lineRule="auto"/>
      </w:pPr>
      <w:r>
        <w:t xml:space="preserve">1. </w:t>
      </w:r>
      <w:r>
        <w:rPr>
          <w:b/>
        </w:rPr>
        <w:t xml:space="preserve">Al Congreso de la República:</w:t>
      </w:r>
      <w:r>
        <w:t xml:space="preserve"> incorporar en la Ley de Inteligencia Artificial (PL 043-25S / 324-25C) o en una reforma a la Ley 906 de 2004 el test escalonado por niveles de riesgo y el núcleo del PTAG, y consagrar expresamente la contradicción algorítmica como garantía del debido proceso penal.</w:t>
      </w:r>
    </w:p>
    <w:p>
      <w:pPr>
        <w:ind w:left="360"/>
        <w:spacing w:before="0" w:after="40" w:line="360" w:lineRule="auto"/>
      </w:pPr>
      <w:r>
        <w:t xml:space="preserve">2. </w:t>
      </w:r>
      <w:r>
        <w:rPr>
          <w:b/>
        </w:rPr>
        <w:t xml:space="preserve">Al Consejo Superior de la Judicatura:</w:t>
      </w:r>
      <w:r>
        <w:t xml:space="preserve"> desarrollar el PTAG mediante acuerdo complementario al PCSJA24-12243 de 2024, con un anexo específico para la jurisdicción penal, e implementar registros de trazabilidad (</w:t>
      </w:r>
      <w:r>
        <w:rPr>
          <w:i/>
        </w:rPr>
        <w:t xml:space="preserve">logs</w:t>
      </w:r>
      <w:r>
        <w:t xml:space="preserve">) en los sistemas de gestión judicial.</w:t>
      </w:r>
    </w:p>
    <w:p>
      <w:pPr>
        <w:ind w:left="360"/>
        <w:spacing w:before="0" w:after="40" w:line="360" w:lineRule="auto"/>
      </w:pPr>
      <w:r>
        <w:t xml:space="preserve">3. </w:t>
      </w:r>
      <w:r>
        <w:rPr>
          <w:b/>
        </w:rPr>
        <w:t xml:space="preserve">A la Fiscalía General de la Nación:</w:t>
      </w:r>
      <w:r>
        <w:t xml:space="preserve"> adoptar protocolos de objetividad y revelación que impidan fundar la teoría del caso en contenidos no verificados, y prohibir el uso de predicciones de peligrosidad como base autónoma de solicitudes de medida de aseguramiento.</w:t>
      </w:r>
    </w:p>
    <w:p>
      <w:pPr>
        <w:ind w:left="360"/>
        <w:spacing w:before="0" w:after="40" w:line="360" w:lineRule="auto"/>
      </w:pPr>
      <w:r>
        <w:t xml:space="preserve">4. </w:t>
      </w:r>
      <w:r>
        <w:rPr>
          <w:b/>
        </w:rPr>
        <w:t xml:space="preserve">A la Defensoría del Pueblo y al sistema de defensa:</w:t>
      </w:r>
      <w:r>
        <w:t xml:space="preserve"> fortalecer capacidades técnicas para ejercer la contradicción algorítmica, incluida la solicitud de peritaje sobre las herramientas usadas en contra de la persona defendida.</w:t>
      </w:r>
    </w:p>
    <w:p>
      <w:pPr>
        <w:ind w:left="360"/>
        <w:spacing w:before="0" w:after="40" w:line="360" w:lineRule="auto"/>
      </w:pPr>
      <w:r>
        <w:t xml:space="preserve">5. </w:t>
      </w:r>
      <w:r>
        <w:rPr>
          <w:b/>
        </w:rPr>
        <w:t xml:space="preserve">A la Escuela Judicial "Rodrigo Lara Bonilla" y a las facultades de Derecho:</w:t>
      </w:r>
      <w:r>
        <w:t xml:space="preserve"> incorporar en la formación el uso garantista de la IA, la alfabetización algorítmica y la ética profesional digital.</w:t>
      </w:r>
    </w:p>
    <w:p>
      <w:pPr>
        <w:ind w:left="360"/>
        <w:spacing w:before="0" w:after="40" w:line="360" w:lineRule="auto"/>
      </w:pPr>
      <w:r>
        <w:t xml:space="preserve">6. </w:t>
      </w:r>
      <w:r>
        <w:rPr>
          <w:b/>
        </w:rPr>
        <w:t xml:space="preserve">A la academia:</w:t>
      </w:r>
      <w:r>
        <w:t xml:space="preserve"> avanzar en líneas de investigación sobre auditoría algorítmica, </w:t>
      </w:r>
      <w:r>
        <w:rPr>
          <w:i/>
        </w:rPr>
        <w:t xml:space="preserve">legal design</w:t>
      </w:r>
      <w:r>
        <w:t xml:space="preserve"> de la transparencia y evaluación empírica del impacto de la IA en la duración y la calidad de las decisiones penales.</w:t>
      </w:r>
    </w:p>
    <w:p>
      <w:r>
        <w:br w:type="page"/>
      </w:r>
    </w:p>
    <w:p>
      <w:pPr>
        <w:spacing w:before="240" w:after="160" w:line="240" w:lineRule="auto"/>
        <w:jc w:val="center"/>
        <w:keepNext/>
      </w:pPr>
      <w:r>
        <w:rPr>
          <w:b/>
          <w:sz w:val="32"/>
          <w:szCs w:val="32"/>
        </w:rPr>
        <w:t xml:space="preserve">IMPACTO ESPERADO</w:t>
      </w:r>
    </w:p>
    <w:p>
      <w:pPr>
        <w:spacing w:before="0" w:after="120" w:line="480" w:lineRule="auto"/>
        <w:jc w:val="both"/>
      </w:pPr>
      <w:r>
        <w:t xml:space="preserve">El impacto de la investigación se proyecta en cuatro dimensiones.</w:t>
      </w:r>
    </w:p>
    <w:p>
      <w:pPr>
        <w:spacing w:before="0" w:after="120" w:line="480" w:lineRule="auto"/>
        <w:jc w:val="both"/>
      </w:pPr>
      <w:r>
        <w:rPr>
          <w:b/>
        </w:rPr>
        <w:t xml:space="preserve">Tabla I</w:t>
      </w:r>
    </w:p>
    <w:p>
      <w:pPr>
        <w:spacing w:before="0" w:after="120" w:line="480" w:lineRule="auto"/>
        <w:jc w:val="both"/>
      </w:pPr>
      <w:r>
        <w:rPr>
          <w:i/>
        </w:rPr>
        <w:t xml:space="preserve">Impacto esperado de la investigación</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2340"/>
        <w:gridCol w:w="2340"/>
        <w:gridCol w:w="2340"/>
        <w:gridCol w:w="2340"/>
      </w:tblGrid>
      <w:tr>
        <w:tc>
          <w:tcPr>
            <w:tcW w:w="2340" w:type="dxa"/>
            <w:shd w:val="clear" w:color="auto" w:fill="E7E6E6"/>
            <w:vAlign w:val="center"/>
          </w:tcPr>
          <w:p>
            <w:pPr>
              <w:spacing w:before="0" w:after="20" w:line="240" w:lineRule="auto"/>
            </w:pPr>
            <w:r>
              <w:rPr>
                <w:b/>
                <w:sz w:val="22"/>
                <w:szCs w:val="22"/>
              </w:rPr>
              <w:t xml:space="preserve">Dimensión</w:t>
            </w:r>
          </w:p>
        </w:tc>
        <w:tc>
          <w:tcPr>
            <w:tcW w:w="2340" w:type="dxa"/>
            <w:shd w:val="clear" w:color="auto" w:fill="E7E6E6"/>
            <w:vAlign w:val="center"/>
          </w:tcPr>
          <w:p>
            <w:pPr>
              <w:spacing w:before="0" w:after="20" w:line="240" w:lineRule="auto"/>
            </w:pPr>
            <w:r>
              <w:rPr>
                <w:b/>
                <w:sz w:val="22"/>
                <w:szCs w:val="22"/>
              </w:rPr>
              <w:t xml:space="preserve">Resultado esperado</w:t>
            </w:r>
          </w:p>
        </w:tc>
        <w:tc>
          <w:tcPr>
            <w:tcW w:w="2340" w:type="dxa"/>
            <w:shd w:val="clear" w:color="auto" w:fill="E7E6E6"/>
            <w:vAlign w:val="center"/>
          </w:tcPr>
          <w:p>
            <w:pPr>
              <w:spacing w:before="0" w:after="20" w:line="240" w:lineRule="auto"/>
            </w:pPr>
            <w:r>
              <w:rPr>
                <w:b/>
                <w:sz w:val="22"/>
                <w:szCs w:val="22"/>
              </w:rPr>
              <w:t xml:space="preserve">Beneficiarios</w:t>
            </w:r>
          </w:p>
        </w:tc>
        <w:tc>
          <w:tcPr>
            <w:tcW w:w="2340" w:type="dxa"/>
            <w:shd w:val="clear" w:color="auto" w:fill="E7E6E6"/>
            <w:vAlign w:val="center"/>
          </w:tcPr>
          <w:p>
            <w:pPr>
              <w:spacing w:before="0" w:after="20" w:line="240" w:lineRule="auto"/>
            </w:pPr>
            <w:r>
              <w:rPr>
                <w:b/>
                <w:sz w:val="22"/>
                <w:szCs w:val="22"/>
              </w:rPr>
              <w:t xml:space="preserve">Indicador de verificación</w:t>
            </w:r>
          </w:p>
        </w:tc>
      </w:tr>
      <w:tr>
        <w:tc>
          <w:tcPr>
            <w:tcW w:w="2340" w:type="dxa"/>
            <w:vAlign w:val="center"/>
          </w:tcPr>
          <w:p>
            <w:pPr>
              <w:spacing w:before="0" w:after="20" w:line="240" w:lineRule="auto"/>
            </w:pPr>
            <w:r>
              <w:rPr>
                <w:sz w:val="22"/>
                <w:szCs w:val="22"/>
              </w:rPr>
              <w:t xml:space="preserve">Jurídico-doctrinal</w:t>
            </w:r>
          </w:p>
        </w:tc>
        <w:tc>
          <w:tcPr>
            <w:tcW w:w="2340" w:type="dxa"/>
            <w:vAlign w:val="center"/>
          </w:tcPr>
          <w:p>
            <w:pPr>
              <w:spacing w:before="0" w:after="20" w:line="240" w:lineRule="auto"/>
            </w:pPr>
            <w:r>
              <w:rPr>
                <w:sz w:val="22"/>
                <w:szCs w:val="22"/>
              </w:rPr>
              <w:t xml:space="preserve">Doctrina específica sobre IA en el proceso penal; categoría de "contradicción algorítmica"</w:t>
            </w:r>
          </w:p>
        </w:tc>
        <w:tc>
          <w:tcPr>
            <w:tcW w:w="2340" w:type="dxa"/>
            <w:vAlign w:val="center"/>
          </w:tcPr>
          <w:p>
            <w:pPr>
              <w:spacing w:before="0" w:after="20" w:line="240" w:lineRule="auto"/>
            </w:pPr>
            <w:r>
              <w:rPr>
                <w:sz w:val="22"/>
                <w:szCs w:val="22"/>
              </w:rPr>
              <w:t xml:space="preserve">Comunidad académica y jurídica</w:t>
            </w:r>
          </w:p>
        </w:tc>
        <w:tc>
          <w:tcPr>
            <w:tcW w:w="2340" w:type="dxa"/>
            <w:vAlign w:val="center"/>
          </w:tcPr>
          <w:p>
            <w:pPr>
              <w:spacing w:before="0" w:after="20" w:line="240" w:lineRule="auto"/>
            </w:pPr>
            <w:r>
              <w:rPr>
                <w:sz w:val="22"/>
                <w:szCs w:val="22"/>
              </w:rPr>
              <w:t xml:space="preserve">Citación y discusión académica; adopción jurisprudencial</w:t>
            </w:r>
          </w:p>
        </w:tc>
      </w:tr>
      <w:tr>
        <w:tc>
          <w:tcPr>
            <w:tcW w:w="2340" w:type="dxa"/>
            <w:vAlign w:val="center"/>
          </w:tcPr>
          <w:p>
            <w:pPr>
              <w:spacing w:before="0" w:after="20" w:line="240" w:lineRule="auto"/>
            </w:pPr>
            <w:r>
              <w:rPr>
                <w:sz w:val="22"/>
                <w:szCs w:val="22"/>
              </w:rPr>
              <w:t xml:space="preserve">Normativo-institucional</w:t>
            </w:r>
          </w:p>
        </w:tc>
        <w:tc>
          <w:tcPr>
            <w:tcW w:w="2340" w:type="dxa"/>
            <w:vAlign w:val="center"/>
          </w:tcPr>
          <w:p>
            <w:pPr>
              <w:spacing w:before="0" w:after="20" w:line="240" w:lineRule="auto"/>
            </w:pPr>
            <w:r>
              <w:rPr>
                <w:sz w:val="22"/>
                <w:szCs w:val="22"/>
              </w:rPr>
              <w:t xml:space="preserve">Insumo para regulación legal y reglamentaria (PTAG y test escalonado)</w:t>
            </w:r>
          </w:p>
        </w:tc>
        <w:tc>
          <w:tcPr>
            <w:tcW w:w="2340" w:type="dxa"/>
            <w:vAlign w:val="center"/>
          </w:tcPr>
          <w:p>
            <w:pPr>
              <w:spacing w:before="0" w:after="20" w:line="240" w:lineRule="auto"/>
            </w:pPr>
            <w:r>
              <w:rPr>
                <w:sz w:val="22"/>
                <w:szCs w:val="22"/>
              </w:rPr>
              <w:t xml:space="preserve">Congreso, CSJ, FGN, Defensoría</w:t>
            </w:r>
          </w:p>
        </w:tc>
        <w:tc>
          <w:tcPr>
            <w:tcW w:w="2340" w:type="dxa"/>
            <w:vAlign w:val="center"/>
          </w:tcPr>
          <w:p>
            <w:pPr>
              <w:spacing w:before="0" w:after="20" w:line="240" w:lineRule="auto"/>
            </w:pPr>
            <w:r>
              <w:rPr>
                <w:sz w:val="22"/>
                <w:szCs w:val="22"/>
              </w:rPr>
              <w:t xml:space="preserve">Inclusión de criterios en normas o acuerdos</w:t>
            </w:r>
          </w:p>
        </w:tc>
      </w:tr>
      <w:tr>
        <w:tc>
          <w:tcPr>
            <w:tcW w:w="2340" w:type="dxa"/>
            <w:vAlign w:val="center"/>
          </w:tcPr>
          <w:p>
            <w:pPr>
              <w:spacing w:before="0" w:after="20" w:line="240" w:lineRule="auto"/>
            </w:pPr>
            <w:r>
              <w:rPr>
                <w:sz w:val="22"/>
                <w:szCs w:val="22"/>
              </w:rPr>
              <w:t xml:space="preserve">Social</w:t>
            </w:r>
          </w:p>
        </w:tc>
        <w:tc>
          <w:tcPr>
            <w:tcW w:w="2340" w:type="dxa"/>
            <w:vAlign w:val="center"/>
          </w:tcPr>
          <w:p>
            <w:pPr>
              <w:spacing w:before="0" w:after="20" w:line="240" w:lineRule="auto"/>
            </w:pPr>
            <w:r>
              <w:rPr>
                <w:sz w:val="22"/>
                <w:szCs w:val="22"/>
              </w:rPr>
              <w:t xml:space="preserve">Protección reforzada de personas procesadas, en especial de grupos vulnerables a sesgos</w:t>
            </w:r>
          </w:p>
        </w:tc>
        <w:tc>
          <w:tcPr>
            <w:tcW w:w="2340" w:type="dxa"/>
            <w:vAlign w:val="center"/>
          </w:tcPr>
          <w:p>
            <w:pPr>
              <w:spacing w:before="0" w:after="20" w:line="240" w:lineRule="auto"/>
            </w:pPr>
            <w:r>
              <w:rPr>
                <w:sz w:val="22"/>
                <w:szCs w:val="22"/>
              </w:rPr>
              <w:t xml:space="preserve">Ciudadanía; poblaciones discriminadas</w:t>
            </w:r>
          </w:p>
        </w:tc>
        <w:tc>
          <w:tcPr>
            <w:tcW w:w="2340" w:type="dxa"/>
            <w:vAlign w:val="center"/>
          </w:tcPr>
          <w:p>
            <w:pPr>
              <w:spacing w:before="0" w:after="20" w:line="240" w:lineRule="auto"/>
            </w:pPr>
            <w:r>
              <w:rPr>
                <w:sz w:val="22"/>
                <w:szCs w:val="22"/>
              </w:rPr>
              <w:t xml:space="preserve">Reducción de decisiones automatizadas no controladas</w:t>
            </w:r>
          </w:p>
        </w:tc>
      </w:tr>
      <w:tr>
        <w:tc>
          <w:tcPr>
            <w:tcW w:w="2340" w:type="dxa"/>
            <w:vAlign w:val="center"/>
          </w:tcPr>
          <w:p>
            <w:pPr>
              <w:spacing w:before="0" w:after="20" w:line="240" w:lineRule="auto"/>
            </w:pPr>
            <w:r>
              <w:rPr>
                <w:sz w:val="22"/>
                <w:szCs w:val="22"/>
              </w:rPr>
              <w:t xml:space="preserve">Tecnológico-ético</w:t>
            </w:r>
          </w:p>
        </w:tc>
        <w:tc>
          <w:tcPr>
            <w:tcW w:w="2340" w:type="dxa"/>
            <w:vAlign w:val="center"/>
          </w:tcPr>
          <w:p>
            <w:pPr>
              <w:spacing w:before="0" w:after="20" w:line="240" w:lineRule="auto"/>
            </w:pPr>
            <w:r>
              <w:rPr>
                <w:sz w:val="22"/>
                <w:szCs w:val="22"/>
              </w:rPr>
              <w:t xml:space="preserve">Adopción responsable de la IA que descongestione sin erosionar garantías</w:t>
            </w:r>
          </w:p>
        </w:tc>
        <w:tc>
          <w:tcPr>
            <w:tcW w:w="2340" w:type="dxa"/>
            <w:vAlign w:val="center"/>
          </w:tcPr>
          <w:p>
            <w:pPr>
              <w:spacing w:before="0" w:after="20" w:line="240" w:lineRule="auto"/>
            </w:pPr>
            <w:r>
              <w:rPr>
                <w:sz w:val="22"/>
                <w:szCs w:val="22"/>
              </w:rPr>
              <w:t xml:space="preserve">Rama Judicial; sociedad</w:t>
            </w:r>
          </w:p>
        </w:tc>
        <w:tc>
          <w:tcPr>
            <w:tcW w:w="2340" w:type="dxa"/>
            <w:vAlign w:val="center"/>
          </w:tcPr>
          <w:p>
            <w:pPr>
              <w:spacing w:before="0" w:after="20" w:line="240" w:lineRule="auto"/>
            </w:pPr>
            <w:r>
              <w:rPr>
                <w:sz w:val="22"/>
                <w:szCs w:val="22"/>
              </w:rPr>
              <w:t xml:space="preserve">Uso documentado, trazable y auditado de la IA</w:t>
            </w:r>
          </w:p>
        </w:tc>
      </w:tr>
    </w:tbl>
    <w:p>
      <w:pPr>
        <w:spacing w:before="0" w:after="120" w:line="240" w:lineRule="auto"/>
      </w:pPr>
    </w:p>
    <w:p>
      <w:pPr>
        <w:spacing w:before="0" w:after="120" w:line="480" w:lineRule="auto"/>
        <w:jc w:val="both"/>
      </w:pPr>
      <w:r>
        <w:rPr>
          <w:i/>
        </w:rPr>
        <w:t xml:space="preserve">Nota.</w:t>
      </w:r>
      <w:r>
        <w:t xml:space="preserve"> Elaboración propia.</w:t>
      </w:r>
    </w:p>
    <w:p>
      <w:pPr>
        <w:spacing w:before="0" w:after="120" w:line="480" w:lineRule="auto"/>
        <w:jc w:val="both"/>
      </w:pPr>
      <w:r>
        <w:t xml:space="preserve">El impacto social distintivo de la propuesta reside en su capacidad de </w:t>
      </w:r>
      <w:r>
        <w:rPr>
          <w:b/>
        </w:rPr>
        <w:t xml:space="preserve">proteger a las poblaciones históricamente discriminadas</w:t>
      </w:r>
      <w:r>
        <w:t xml:space="preserve">, que son las más expuestas a los sesgos algorítmicos, y de preservar la legitimidad democrática de la justicia penal en la era digital.</w:t>
      </w:r>
    </w:p>
    <w:p>
      <w:r>
        <w:br w:type="page"/>
      </w:r>
    </w:p>
    <w:p>
      <w:pPr>
        <w:spacing w:before="240" w:after="160" w:line="240" w:lineRule="auto"/>
        <w:jc w:val="center"/>
        <w:keepNext/>
      </w:pPr>
      <w:r>
        <w:rPr>
          <w:b/>
          <w:sz w:val="32"/>
          <w:szCs w:val="32"/>
        </w:rPr>
        <w:t xml:space="preserve">CRONOGRAMA DE ACTIVIDADES</w:t>
      </w:r>
    </w:p>
    <w:p>
      <w:pPr>
        <w:spacing w:before="0" w:after="120" w:line="480" w:lineRule="auto"/>
        <w:jc w:val="both"/>
      </w:pPr>
      <w:r>
        <w:rPr>
          <w:b/>
        </w:rPr>
        <w:t xml:space="preserve">Tabla 7</w:t>
      </w:r>
    </w:p>
    <w:p>
      <w:pPr>
        <w:spacing w:before="0" w:after="120" w:line="480" w:lineRule="auto"/>
        <w:jc w:val="both"/>
      </w:pPr>
      <w:r>
        <w:rPr>
          <w:i/>
        </w:rPr>
        <w:t xml:space="preserve">Cronograma de actividades (por meses)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1040"/>
        <w:gridCol w:w="1040"/>
        <w:gridCol w:w="1040"/>
        <w:gridCol w:w="1040"/>
        <w:gridCol w:w="1040"/>
        <w:gridCol w:w="1040"/>
        <w:gridCol w:w="1040"/>
        <w:gridCol w:w="1040"/>
        <w:gridCol w:w="1040"/>
      </w:tblGrid>
      <w:tr>
        <w:tc>
          <w:tcPr>
            <w:tcW w:w="1040" w:type="dxa"/>
            <w:shd w:val="clear" w:color="auto" w:fill="E7E6E6"/>
            <w:vAlign w:val="center"/>
          </w:tcPr>
          <w:p>
            <w:pPr>
              <w:spacing w:before="0" w:after="20" w:line="240" w:lineRule="auto"/>
            </w:pPr>
            <w:r>
              <w:rPr>
                <w:b/>
                <w:sz w:val="22"/>
                <w:szCs w:val="22"/>
              </w:rPr>
              <w:t xml:space="preserve">Actividad</w:t>
            </w:r>
          </w:p>
        </w:tc>
        <w:tc>
          <w:tcPr>
            <w:tcW w:w="1040" w:type="dxa"/>
            <w:shd w:val="clear" w:color="auto" w:fill="E7E6E6"/>
            <w:vAlign w:val="center"/>
          </w:tcPr>
          <w:p>
            <w:pPr>
              <w:spacing w:before="0" w:after="20" w:line="240" w:lineRule="auto"/>
            </w:pPr>
            <w:r>
              <w:rPr>
                <w:b/>
                <w:sz w:val="22"/>
                <w:szCs w:val="22"/>
              </w:rPr>
              <w:t xml:space="preserve">M1</w:t>
            </w:r>
          </w:p>
        </w:tc>
        <w:tc>
          <w:tcPr>
            <w:tcW w:w="1040" w:type="dxa"/>
            <w:shd w:val="clear" w:color="auto" w:fill="E7E6E6"/>
            <w:vAlign w:val="center"/>
          </w:tcPr>
          <w:p>
            <w:pPr>
              <w:spacing w:before="0" w:after="20" w:line="240" w:lineRule="auto"/>
            </w:pPr>
            <w:r>
              <w:rPr>
                <w:b/>
                <w:sz w:val="22"/>
                <w:szCs w:val="22"/>
              </w:rPr>
              <w:t xml:space="preserve">M2</w:t>
            </w:r>
          </w:p>
        </w:tc>
        <w:tc>
          <w:tcPr>
            <w:tcW w:w="1040" w:type="dxa"/>
            <w:shd w:val="clear" w:color="auto" w:fill="E7E6E6"/>
            <w:vAlign w:val="center"/>
          </w:tcPr>
          <w:p>
            <w:pPr>
              <w:spacing w:before="0" w:after="20" w:line="240" w:lineRule="auto"/>
            </w:pPr>
            <w:r>
              <w:rPr>
                <w:b/>
                <w:sz w:val="22"/>
                <w:szCs w:val="22"/>
              </w:rPr>
              <w:t xml:space="preserve">M3</w:t>
            </w:r>
          </w:p>
        </w:tc>
        <w:tc>
          <w:tcPr>
            <w:tcW w:w="1040" w:type="dxa"/>
            <w:shd w:val="clear" w:color="auto" w:fill="E7E6E6"/>
            <w:vAlign w:val="center"/>
          </w:tcPr>
          <w:p>
            <w:pPr>
              <w:spacing w:before="0" w:after="20" w:line="240" w:lineRule="auto"/>
            </w:pPr>
            <w:r>
              <w:rPr>
                <w:b/>
                <w:sz w:val="22"/>
                <w:szCs w:val="22"/>
              </w:rPr>
              <w:t xml:space="preserve">M4</w:t>
            </w:r>
          </w:p>
        </w:tc>
        <w:tc>
          <w:tcPr>
            <w:tcW w:w="1040" w:type="dxa"/>
            <w:shd w:val="clear" w:color="auto" w:fill="E7E6E6"/>
            <w:vAlign w:val="center"/>
          </w:tcPr>
          <w:p>
            <w:pPr>
              <w:spacing w:before="0" w:after="20" w:line="240" w:lineRule="auto"/>
            </w:pPr>
            <w:r>
              <w:rPr>
                <w:b/>
                <w:sz w:val="22"/>
                <w:szCs w:val="22"/>
              </w:rPr>
              <w:t xml:space="preserve">M5</w:t>
            </w:r>
          </w:p>
        </w:tc>
        <w:tc>
          <w:tcPr>
            <w:tcW w:w="1040" w:type="dxa"/>
            <w:shd w:val="clear" w:color="auto" w:fill="E7E6E6"/>
            <w:vAlign w:val="center"/>
          </w:tcPr>
          <w:p>
            <w:pPr>
              <w:spacing w:before="0" w:after="20" w:line="240" w:lineRule="auto"/>
            </w:pPr>
            <w:r>
              <w:rPr>
                <w:b/>
                <w:sz w:val="22"/>
                <w:szCs w:val="22"/>
              </w:rPr>
              <w:t xml:space="preserve">M6</w:t>
            </w:r>
          </w:p>
        </w:tc>
        <w:tc>
          <w:tcPr>
            <w:tcW w:w="1040" w:type="dxa"/>
            <w:shd w:val="clear" w:color="auto" w:fill="E7E6E6"/>
            <w:vAlign w:val="center"/>
          </w:tcPr>
          <w:p>
            <w:pPr>
              <w:spacing w:before="0" w:after="20" w:line="240" w:lineRule="auto"/>
            </w:pPr>
            <w:r>
              <w:rPr>
                <w:b/>
                <w:sz w:val="22"/>
                <w:szCs w:val="22"/>
              </w:rPr>
              <w:t xml:space="preserve">M7</w:t>
            </w:r>
          </w:p>
        </w:tc>
        <w:tc>
          <w:tcPr>
            <w:tcW w:w="1040" w:type="dxa"/>
            <w:shd w:val="clear" w:color="auto" w:fill="E7E6E6"/>
            <w:vAlign w:val="center"/>
          </w:tcPr>
          <w:p>
            <w:pPr>
              <w:spacing w:before="0" w:after="20" w:line="240" w:lineRule="auto"/>
            </w:pPr>
            <w:r>
              <w:rPr>
                <w:b/>
                <w:sz w:val="22"/>
                <w:szCs w:val="22"/>
              </w:rPr>
              <w:t xml:space="preserve">M8</w:t>
            </w:r>
          </w:p>
        </w:tc>
      </w:tr>
      <w:tr>
        <w:tc>
          <w:tcPr>
            <w:tcW w:w="1040" w:type="dxa"/>
            <w:vAlign w:val="center"/>
          </w:tcPr>
          <w:p>
            <w:pPr>
              <w:spacing w:before="0" w:after="20" w:line="240" w:lineRule="auto"/>
            </w:pPr>
            <w:r>
              <w:rPr>
                <w:sz w:val="22"/>
                <w:szCs w:val="22"/>
              </w:rPr>
              <w:t xml:space="preserve">Revisión documental y estado del arte</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Sistematización normativa y jurisprudencial (Cap. 1)</w:t>
            </w: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Categorización de riesgos (Cap. 2)</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Análisis de derecho comparado (Cap. 3)</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Formulación de la propuesta (Cap. 4)</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Redacción de conclusiones y recomendaciones</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p>
        </w:tc>
      </w:tr>
      <w:tr>
        <w:tc>
          <w:tcPr>
            <w:tcW w:w="1040" w:type="dxa"/>
            <w:vAlign w:val="center"/>
          </w:tcPr>
          <w:p>
            <w:pPr>
              <w:spacing w:before="0" w:after="20" w:line="240" w:lineRule="auto"/>
            </w:pPr>
            <w:r>
              <w:rPr>
                <w:sz w:val="22"/>
                <w:szCs w:val="22"/>
              </w:rPr>
              <w:t xml:space="preserve">Revisión, ajustes APA y entrega final</w:t>
            </w: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p>
        </w:tc>
        <w:tc>
          <w:tcPr>
            <w:tcW w:w="1040" w:type="dxa"/>
            <w:vAlign w:val="center"/>
          </w:tcPr>
          <w:p>
            <w:pPr>
              <w:spacing w:before="0" w:after="20" w:line="240" w:lineRule="auto"/>
            </w:pPr>
            <w:r>
              <w:rPr>
                <w:sz w:val="22"/>
                <w:szCs w:val="22"/>
              </w:rPr>
              <w:t xml:space="preserve">X</w:t>
            </w:r>
          </w:p>
        </w:tc>
        <w:tc>
          <w:tcPr>
            <w:tcW w:w="1040" w:type="dxa"/>
            <w:vAlign w:val="center"/>
          </w:tcPr>
          <w:p>
            <w:pPr>
              <w:spacing w:before="0" w:after="20" w:line="240" w:lineRule="auto"/>
            </w:pPr>
            <w:r>
              <w:rPr>
                <w:sz w:val="22"/>
                <w:szCs w:val="22"/>
              </w:rPr>
              <w:t xml:space="preserve">X</w:t>
            </w:r>
          </w:p>
        </w:tc>
      </w:tr>
    </w:tbl>
    <w:p>
      <w:pPr>
        <w:spacing w:before="0" w:after="120" w:line="240" w:lineRule="auto"/>
      </w:pPr>
    </w:p>
    <w:p>
      <w:pPr>
        <w:spacing w:before="0" w:after="120" w:line="480" w:lineRule="auto"/>
        <w:jc w:val="both"/>
      </w:pPr>
      <w:r>
        <w:rPr>
          <w:i/>
        </w:rPr>
        <w:t xml:space="preserve">Nota.</w:t>
      </w:r>
      <w:r>
        <w:t xml:space="preserve"> Elaboración propia. M = mes.</w:t>
      </w:r>
    </w:p>
    <w:p>
      <w:r>
        <w:br w:type="page"/>
      </w:r>
    </w:p>
    <w:p>
      <w:pPr>
        <w:spacing w:before="240" w:after="160" w:line="240" w:lineRule="auto"/>
        <w:jc w:val="center"/>
        <w:keepNext/>
      </w:pPr>
      <w:r>
        <w:rPr>
          <w:b/>
          <w:sz w:val="32"/>
          <w:szCs w:val="32"/>
        </w:rPr>
        <w:t xml:space="preserve">ANEXOS</w:t>
      </w:r>
    </w:p>
    <w:p>
      <w:pPr>
        <w:spacing w:before="0" w:after="120" w:line="480" w:lineRule="auto"/>
        <w:jc w:val="both"/>
      </w:pPr>
      <w:r>
        <w:rPr>
          <w:b/>
        </w:rPr>
        <w:t xml:space="preserve">Anexo A. Ficha de análisis jurisprudencial (modelo).</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CellMar>
          <w:top w:w="40" w:type="dxa"/>
          <w:left w:w="80" w:type="dxa"/>
          <w:bottom w:w="40" w:type="dxa"/>
          <w:right w:w="80" w:type="dxa"/>
        </w:tblCellMar>
      </w:tblPr>
      <w:tblGrid>
        <w:gridCol w:w="4680"/>
        <w:gridCol w:w="4680"/>
      </w:tblGrid>
      <w:tr>
        <w:tc>
          <w:tcPr>
            <w:tcW w:w="4680" w:type="dxa"/>
            <w:shd w:val="clear" w:color="auto" w:fill="E7E6E6"/>
            <w:vAlign w:val="center"/>
          </w:tcPr>
          <w:p>
            <w:pPr>
              <w:spacing w:before="0" w:after="20" w:line="240" w:lineRule="auto"/>
            </w:pPr>
            <w:r>
              <w:rPr>
                <w:b/>
                <w:sz w:val="22"/>
                <w:szCs w:val="22"/>
              </w:rPr>
              <w:t xml:space="preserve">Campo</w:t>
            </w:r>
          </w:p>
        </w:tc>
        <w:tc>
          <w:tcPr>
            <w:tcW w:w="4680" w:type="dxa"/>
            <w:shd w:val="clear" w:color="auto" w:fill="E7E6E6"/>
            <w:vAlign w:val="center"/>
          </w:tcPr>
          <w:p>
            <w:pPr>
              <w:spacing w:before="0" w:after="20" w:line="240" w:lineRule="auto"/>
            </w:pPr>
            <w:r>
              <w:rPr>
                <w:b/>
                <w:sz w:val="22"/>
                <w:szCs w:val="22"/>
              </w:rPr>
              <w:t xml:space="preserve">Contenido</w:t>
            </w:r>
          </w:p>
        </w:tc>
      </w:tr>
      <w:tr>
        <w:tc>
          <w:tcPr>
            <w:tcW w:w="4680" w:type="dxa"/>
            <w:vAlign w:val="center"/>
          </w:tcPr>
          <w:p>
            <w:pPr>
              <w:spacing w:before="0" w:after="20" w:line="240" w:lineRule="auto"/>
            </w:pPr>
            <w:r>
              <w:rPr>
                <w:sz w:val="22"/>
                <w:szCs w:val="22"/>
              </w:rPr>
              <w:t xml:space="preserve">Identificación</w:t>
            </w:r>
          </w:p>
        </w:tc>
        <w:tc>
          <w:tcPr>
            <w:tcW w:w="4680" w:type="dxa"/>
            <w:vAlign w:val="center"/>
          </w:tcPr>
          <w:p>
            <w:pPr>
              <w:spacing w:before="0" w:after="20" w:line="240" w:lineRule="auto"/>
            </w:pPr>
            <w:r>
              <w:rPr>
                <w:sz w:val="22"/>
                <w:szCs w:val="22"/>
              </w:rPr>
              <w:t xml:space="preserve">Sentencia / caso</w:t>
            </w:r>
          </w:p>
        </w:tc>
      </w:tr>
      <w:tr>
        <w:tc>
          <w:tcPr>
            <w:tcW w:w="4680" w:type="dxa"/>
            <w:vAlign w:val="center"/>
          </w:tcPr>
          <w:p>
            <w:pPr>
              <w:spacing w:before="0" w:after="20" w:line="240" w:lineRule="auto"/>
            </w:pPr>
            <w:r>
              <w:rPr>
                <w:sz w:val="22"/>
                <w:szCs w:val="22"/>
              </w:rPr>
              <w:t xml:space="preserve">Órgano y ponente</w:t>
            </w:r>
          </w:p>
        </w:tc>
        <w:tc>
          <w:tcPr>
            <w:tcW w:w="4680" w:type="dxa"/>
            <w:vAlign w:val="center"/>
          </w:tcPr>
          <w:p>
            <w:pPr>
              <w:spacing w:before="0" w:after="20" w:line="240" w:lineRule="auto"/>
            </w:pPr>
            <w:r>
              <w:rPr>
                <w:sz w:val="22"/>
                <w:szCs w:val="22"/>
              </w:rPr>
              <w:t xml:space="preserve">—</w:t>
            </w:r>
          </w:p>
        </w:tc>
      </w:tr>
      <w:tr>
        <w:tc>
          <w:tcPr>
            <w:tcW w:w="4680" w:type="dxa"/>
            <w:vAlign w:val="center"/>
          </w:tcPr>
          <w:p>
            <w:pPr>
              <w:spacing w:before="0" w:after="20" w:line="240" w:lineRule="auto"/>
            </w:pPr>
            <w:r>
              <w:rPr>
                <w:sz w:val="22"/>
                <w:szCs w:val="22"/>
              </w:rPr>
              <w:t xml:space="preserve">Hechos relevantes</w:t>
            </w:r>
          </w:p>
        </w:tc>
        <w:tc>
          <w:tcPr>
            <w:tcW w:w="4680" w:type="dxa"/>
            <w:vAlign w:val="center"/>
          </w:tcPr>
          <w:p>
            <w:pPr>
              <w:spacing w:before="0" w:after="20" w:line="240" w:lineRule="auto"/>
            </w:pPr>
            <w:r>
              <w:rPr>
                <w:sz w:val="22"/>
                <w:szCs w:val="22"/>
              </w:rPr>
              <w:t xml:space="preserve">—</w:t>
            </w:r>
          </w:p>
        </w:tc>
      </w:tr>
      <w:tr>
        <w:tc>
          <w:tcPr>
            <w:tcW w:w="4680" w:type="dxa"/>
            <w:vAlign w:val="center"/>
          </w:tcPr>
          <w:p>
            <w:pPr>
              <w:spacing w:before="0" w:after="20" w:line="240" w:lineRule="auto"/>
            </w:pPr>
            <w:r>
              <w:rPr>
                <w:sz w:val="22"/>
                <w:szCs w:val="22"/>
              </w:rPr>
              <w:t xml:space="preserve">Problema jurídico</w:t>
            </w:r>
          </w:p>
        </w:tc>
        <w:tc>
          <w:tcPr>
            <w:tcW w:w="4680" w:type="dxa"/>
            <w:vAlign w:val="center"/>
          </w:tcPr>
          <w:p>
            <w:pPr>
              <w:spacing w:before="0" w:after="20" w:line="240" w:lineRule="auto"/>
            </w:pPr>
            <w:r>
              <w:rPr>
                <w:sz w:val="22"/>
                <w:szCs w:val="22"/>
              </w:rPr>
              <w:t xml:space="preserve">—</w:t>
            </w:r>
          </w:p>
        </w:tc>
      </w:tr>
      <w:tr>
        <w:tc>
          <w:tcPr>
            <w:tcW w:w="4680" w:type="dxa"/>
            <w:vAlign w:val="center"/>
          </w:tcPr>
          <w:p>
            <w:pPr>
              <w:spacing w:before="0" w:after="20" w:line="240" w:lineRule="auto"/>
            </w:pPr>
            <w:r>
              <w:rPr>
                <w:i/>
                <w:sz w:val="22"/>
                <w:szCs w:val="22"/>
              </w:rPr>
              <w:t xml:space="preserve">Ratio decidendi</w:t>
            </w:r>
          </w:p>
        </w:tc>
        <w:tc>
          <w:tcPr>
            <w:tcW w:w="4680" w:type="dxa"/>
            <w:vAlign w:val="center"/>
          </w:tcPr>
          <w:p>
            <w:pPr>
              <w:spacing w:before="0" w:after="20" w:line="240" w:lineRule="auto"/>
            </w:pPr>
            <w:r>
              <w:rPr>
                <w:sz w:val="22"/>
                <w:szCs w:val="22"/>
              </w:rPr>
              <w:t xml:space="preserve">—</w:t>
            </w:r>
          </w:p>
        </w:tc>
      </w:tr>
      <w:tr>
        <w:tc>
          <w:tcPr>
            <w:tcW w:w="4680" w:type="dxa"/>
            <w:vAlign w:val="center"/>
          </w:tcPr>
          <w:p>
            <w:pPr>
              <w:spacing w:before="0" w:after="20" w:line="240" w:lineRule="auto"/>
            </w:pPr>
            <w:r>
              <w:rPr>
                <w:i/>
                <w:sz w:val="22"/>
                <w:szCs w:val="22"/>
              </w:rPr>
              <w:t xml:space="preserve">Obiter dicta</w:t>
            </w:r>
          </w:p>
        </w:tc>
        <w:tc>
          <w:tcPr>
            <w:tcW w:w="4680" w:type="dxa"/>
            <w:vAlign w:val="center"/>
          </w:tcPr>
          <w:p>
            <w:pPr>
              <w:spacing w:before="0" w:after="20" w:line="240" w:lineRule="auto"/>
            </w:pPr>
            <w:r>
              <w:rPr>
                <w:sz w:val="22"/>
                <w:szCs w:val="22"/>
              </w:rPr>
              <w:t xml:space="preserve">—</w:t>
            </w:r>
          </w:p>
        </w:tc>
      </w:tr>
      <w:tr>
        <w:tc>
          <w:tcPr>
            <w:tcW w:w="4680" w:type="dxa"/>
            <w:vAlign w:val="center"/>
          </w:tcPr>
          <w:p>
            <w:pPr>
              <w:spacing w:before="0" w:after="20" w:line="240" w:lineRule="auto"/>
            </w:pPr>
            <w:r>
              <w:rPr>
                <w:sz w:val="22"/>
                <w:szCs w:val="22"/>
              </w:rPr>
              <w:t xml:space="preserve">Impacto en garantías penales</w:t>
            </w:r>
          </w:p>
        </w:tc>
        <w:tc>
          <w:tcPr>
            <w:tcW w:w="4680" w:type="dxa"/>
            <w:vAlign w:val="center"/>
          </w:tcPr>
          <w:p>
            <w:pPr>
              <w:spacing w:before="0" w:after="20" w:line="240" w:lineRule="auto"/>
            </w:pPr>
            <w:r>
              <w:rPr>
                <w:sz w:val="22"/>
                <w:szCs w:val="22"/>
              </w:rPr>
              <w:t xml:space="preserve">—</w:t>
            </w:r>
          </w:p>
        </w:tc>
      </w:tr>
    </w:tbl>
    <w:p>
      <w:pPr>
        <w:spacing w:before="0" w:after="120" w:line="240" w:lineRule="auto"/>
      </w:pPr>
    </w:p>
    <w:p>
      <w:pPr>
        <w:spacing w:before="0" w:after="120" w:line="480" w:lineRule="auto"/>
        <w:jc w:val="both"/>
      </w:pPr>
      <w:r>
        <w:rPr>
          <w:b/>
        </w:rPr>
        <w:t xml:space="preserve">Anexo B. Lista de verificación del PTAG (para el operador jurídico).</w:t>
      </w:r>
    </w:p>
    <w:p>
      <w:pPr>
        <w:ind w:left="360"/>
        <w:spacing w:before="0" w:after="40" w:line="360" w:lineRule="auto"/>
      </w:pPr>
      <w:r>
        <w:t xml:space="preserve">•  ☐ ¿Se clasificó el uso conforme al test escalonado (Tabla 6)?</w:t>
      </w:r>
    </w:p>
    <w:p>
      <w:pPr>
        <w:ind w:left="360"/>
        <w:spacing w:before="0" w:after="40" w:line="360" w:lineRule="auto"/>
      </w:pPr>
      <w:r>
        <w:t xml:space="preserve">•  ☐ ¿El uso pertenece a un nivel admisible (no prohibido)?</w:t>
      </w:r>
    </w:p>
    <w:p>
      <w:pPr>
        <w:ind w:left="360"/>
        <w:spacing w:before="0" w:after="40" w:line="360" w:lineRule="auto"/>
      </w:pPr>
      <w:r>
        <w:t xml:space="preserve">•  ☐ ¿Se dejó constancia de revelación (herramienta, modelo, proveedor, fecha, finalidad, </w:t>
      </w:r>
      <w:r>
        <w:rPr>
          <w:i/>
        </w:rPr>
        <w:t xml:space="preserve">prompts</w:t>
      </w:r>
      <w:r>
        <w:t xml:space="preserve">)?</w:t>
      </w:r>
    </w:p>
    <w:p>
      <w:pPr>
        <w:ind w:left="360"/>
        <w:spacing w:before="0" w:after="40" w:line="360" w:lineRule="auto"/>
      </w:pPr>
      <w:r>
        <w:t xml:space="preserve">•  ☐ ¿Existe registro de trazabilidad (</w:t>
      </w:r>
      <w:r>
        <w:rPr>
          <w:i/>
        </w:rPr>
        <w:t xml:space="preserve">log</w:t>
      </w:r>
      <w:r>
        <w:t xml:space="preserve">) conservado en el expediente?</w:t>
      </w:r>
    </w:p>
    <w:p>
      <w:pPr>
        <w:ind w:left="360"/>
        <w:spacing w:before="0" w:after="40" w:line="360" w:lineRule="auto"/>
      </w:pPr>
      <w:r>
        <w:t xml:space="preserve">•  ☐ ¿El sistema es explicable; se descartó el uso de "cajas negras" en decisiones?</w:t>
      </w:r>
    </w:p>
    <w:p>
      <w:pPr>
        <w:ind w:left="360"/>
        <w:spacing w:before="0" w:after="40" w:line="360" w:lineRule="auto"/>
      </w:pPr>
      <w:r>
        <w:t xml:space="preserve">•  ☐ ¿Se verificaron de forma autónoma todas las citas y datos (control de alucinaciones)?</w:t>
      </w:r>
    </w:p>
    <w:p>
      <w:pPr>
        <w:ind w:left="360"/>
        <w:spacing w:before="0" w:after="40" w:line="360" w:lineRule="auto"/>
      </w:pPr>
      <w:r>
        <w:t xml:space="preserve">•  ☐ ¿Se protegieron los datos sensibles (habeas data)?</w:t>
      </w:r>
    </w:p>
    <w:p>
      <w:pPr>
        <w:ind w:left="360"/>
        <w:spacing w:before="0" w:after="40" w:line="360" w:lineRule="auto"/>
      </w:pPr>
      <w:r>
        <w:t xml:space="preserve">•  ☐ ¿Se garantizó a la defensa el acceso para la contradicción algorítmica?</w:t>
      </w:r>
    </w:p>
    <w:p>
      <w:pPr>
        <w:ind w:left="360"/>
        <w:spacing w:before="0" w:after="40" w:line="360" w:lineRule="auto"/>
      </w:pPr>
      <w:r>
        <w:t xml:space="preserve">•  ☐ ¿La decisión final es humana, motivada y autosuficiente?</w:t>
      </w:r>
    </w:p>
    <w:p>
      <w:pPr>
        <w:spacing w:before="0" w:after="120" w:line="480" w:lineRule="auto"/>
        <w:jc w:val="both"/>
      </w:pPr>
      <w:r>
        <w:rPr>
          <w:b/>
        </w:rPr>
        <w:t xml:space="preserve">Anexo C. Glosario de términos técnico-jurídicos.</w:t>
      </w:r>
    </w:p>
    <w:p>
      <w:pPr>
        <w:ind w:left="360"/>
        <w:spacing w:before="0" w:after="40" w:line="360" w:lineRule="auto"/>
      </w:pPr>
      <w:r>
        <w:t xml:space="preserve">•  </w:t>
      </w:r>
      <w:r>
        <w:rPr>
          <w:b/>
        </w:rPr>
        <w:t xml:space="preserve">Alucinación algorítmica:</w:t>
      </w:r>
      <w:r>
        <w:t xml:space="preserve"> salida plausible pero falsa de un modelo generativo.</w:t>
      </w:r>
    </w:p>
    <w:p>
      <w:pPr>
        <w:ind w:left="360"/>
        <w:spacing w:before="0" w:after="40" w:line="360" w:lineRule="auto"/>
      </w:pPr>
      <w:r>
        <w:t xml:space="preserve">•  </w:t>
      </w:r>
      <w:r>
        <w:rPr>
          <w:b/>
        </w:rPr>
        <w:t xml:space="preserve">Caja negra:</w:t>
      </w:r>
      <w:r>
        <w:t xml:space="preserve"> sistema cuyo proceso interno no puede reconstruirse ni explicarse.</w:t>
      </w:r>
    </w:p>
    <w:p>
      <w:pPr>
        <w:ind w:left="360"/>
        <w:spacing w:before="0" w:after="40" w:line="360" w:lineRule="auto"/>
      </w:pPr>
      <w:r>
        <w:t xml:space="preserve">•  </w:t>
      </w:r>
      <w:r>
        <w:rPr>
          <w:b/>
        </w:rPr>
        <w:t xml:space="preserve">Contradicción algorítmica:</w:t>
      </w:r>
      <w:r>
        <w:t xml:space="preserve"> derecho de las partes a conocer, auditar y refutar la IA que influye en una decisión.</w:t>
      </w:r>
    </w:p>
    <w:p>
      <w:pPr>
        <w:ind w:left="360"/>
        <w:spacing w:before="0" w:after="40" w:line="360" w:lineRule="auto"/>
      </w:pPr>
      <w:r>
        <w:t xml:space="preserve">•  </w:t>
      </w:r>
      <w:r>
        <w:rPr>
          <w:b/>
        </w:rPr>
        <w:t xml:space="preserve">Control humano significativo:</w:t>
      </w:r>
      <w:r>
        <w:t xml:space="preserve"> capacidad real del operador de comprender, verificar, corregir o descartar la salida del sistema.</w:t>
      </w:r>
    </w:p>
    <w:p>
      <w:pPr>
        <w:ind w:left="360"/>
        <w:spacing w:before="0" w:after="40" w:line="360" w:lineRule="auto"/>
      </w:pPr>
      <w:r>
        <w:t xml:space="preserve">•  </w:t>
      </w:r>
      <w:r>
        <w:rPr>
          <w:b/>
        </w:rPr>
        <w:t xml:space="preserve">Justicia aumentada:</w:t>
      </w:r>
      <w:r>
        <w:t xml:space="preserve"> modelo en el que la IA potencia al operador sin sustituir su juicio.</w:t>
      </w:r>
    </w:p>
    <w:p>
      <w:pPr>
        <w:ind w:left="360"/>
        <w:spacing w:before="0" w:after="40" w:line="360" w:lineRule="auto"/>
      </w:pPr>
      <w:r>
        <w:t xml:space="preserve">•  </w:t>
      </w:r>
      <w:r>
        <w:rPr>
          <w:b/>
        </w:rPr>
        <w:t xml:space="preserve">Sesgo algorítmico:</w:t>
      </w:r>
      <w:r>
        <w:t xml:space="preserve"> producción sistemática de resultados injustamente desfavorables para ciertos grupos.</w:t>
      </w:r>
    </w:p>
    <w:p>
      <w:r>
        <w:br w:type="page"/>
      </w:r>
    </w:p>
    <w:p>
      <w:pPr>
        <w:spacing w:before="240" w:after="160" w:line="240" w:lineRule="auto"/>
        <w:jc w:val="center"/>
        <w:keepNext/>
      </w:pPr>
      <w:r>
        <w:rPr>
          <w:b/>
          <w:sz w:val="32"/>
          <w:szCs w:val="32"/>
        </w:rPr>
        <w:t xml:space="preserve">REFERENCIAS</w:t>
      </w:r>
    </w:p>
    <w:p>
      <w:pPr>
        <w:spacing w:before="0" w:after="120" w:line="480" w:lineRule="auto"/>
        <w:jc w:val="both"/>
      </w:pPr>
      <w:r>
        <w:t xml:space="preserve">Angwin, J., Larson, J., Mattu, S., &amp; Kirchner, L. (2016, 23 de mayo). </w:t>
      </w:r>
      <w:r>
        <w:rPr>
          <w:i/>
        </w:rPr>
        <w:t xml:space="preserve">Machine bias: There's software used across the country to predict future criminals. And it's biased against blacks</w:t>
      </w:r>
      <w:r>
        <w:t xml:space="preserve">. ProPublica. https://www.propublica.org/article/machine-bias-risk-assessments-in-criminal-sentencing</w:t>
      </w:r>
    </w:p>
    <w:p>
      <w:pPr>
        <w:spacing w:before="0" w:after="120" w:line="480" w:lineRule="auto"/>
        <w:jc w:val="both"/>
      </w:pPr>
      <w:r>
        <w:t xml:space="preserve">Bender, E. M., Gebru, T., McMillan-Major, A., &amp; Shmitchell, S. (2021). On the dangers of stochastic parrots: Can language models be too big? </w:t>
      </w:r>
      <w:r>
        <w:rPr>
          <w:i/>
        </w:rPr>
        <w:t xml:space="preserve">Proceedings of the 2021 ACM Conference on Fairness, Accountability, and Transparency (FAccT '21)</w:t>
      </w:r>
      <w:r>
        <w:t xml:space="preserve">, 610-623. https://doi.org/10.1145/3442188.3445922</w:t>
      </w:r>
    </w:p>
    <w:p>
      <w:pPr>
        <w:spacing w:before="0" w:after="120" w:line="480" w:lineRule="auto"/>
        <w:jc w:val="both"/>
      </w:pPr>
      <w:r>
        <w:t xml:space="preserve">Citron, D. K. (2008). Technological due process. </w:t>
      </w:r>
      <w:r>
        <w:rPr>
          <w:i/>
        </w:rPr>
        <w:t xml:space="preserve">Washington University Law Review, 85</w:t>
      </w:r>
      <w:r>
        <w:t xml:space="preserve">(6), 1249-1313.</w:t>
      </w:r>
    </w:p>
    <w:p>
      <w:pPr>
        <w:spacing w:before="0" w:after="120" w:line="480" w:lineRule="auto"/>
        <w:jc w:val="both"/>
      </w:pPr>
      <w:r>
        <w:t xml:space="preserve">Congreso de la República de Colombia. (2004, 31 de agosto). </w:t>
      </w:r>
      <w:r>
        <w:rPr>
          <w:i/>
        </w:rPr>
        <w:t xml:space="preserve">Ley 906 de 2004. Por la cual se expide el Código de Procedimiento Penal</w:t>
      </w:r>
      <w:r>
        <w:t xml:space="preserve">. Diario Oficial No. 45.658.</w:t>
      </w:r>
    </w:p>
    <w:p>
      <w:pPr>
        <w:spacing w:before="0" w:after="120" w:line="480" w:lineRule="auto"/>
        <w:jc w:val="both"/>
      </w:pPr>
      <w:r>
        <w:t xml:space="preserve">Congreso de la República de Colombia. (2012, 17 de octubre). </w:t>
      </w:r>
      <w:r>
        <w:rPr>
          <w:i/>
        </w:rPr>
        <w:t xml:space="preserve">Ley 1581 de 2012. Por la cual se dictan disposiciones generales para la protección de datos personales</w:t>
      </w:r>
      <w:r>
        <w:t xml:space="preserve">. Diario Oficial No. 48.587.</w:t>
      </w:r>
    </w:p>
    <w:p>
      <w:pPr>
        <w:spacing w:before="0" w:after="120" w:line="480" w:lineRule="auto"/>
        <w:jc w:val="both"/>
      </w:pPr>
      <w:r>
        <w:t xml:space="preserve">Congreso de la República de Colombia. (2022, 13 de junio). </w:t>
      </w:r>
      <w:r>
        <w:rPr>
          <w:i/>
        </w:rPr>
        <w:t xml:space="preserve">Ley 2213 de 2022. Por medio de la cual se establece la vigencia permanente del Decreto Legislativo 806 de 2020</w:t>
      </w:r>
      <w:r>
        <w:t xml:space="preserve">. Diario Oficial No. 52.058.</w:t>
      </w:r>
    </w:p>
    <w:p>
      <w:pPr>
        <w:spacing w:before="0" w:after="120" w:line="480" w:lineRule="auto"/>
        <w:jc w:val="both"/>
      </w:pPr>
      <w:r>
        <w:t xml:space="preserve">Congreso de la República de Colombia. (2024). </w:t>
      </w:r>
      <w:r>
        <w:rPr>
          <w:i/>
        </w:rPr>
        <w:t xml:space="preserve">Ley 2430 de 2024. Por la cual se modifica la Ley 270 de 1996, Estatutaria de la Administración de Justicia</w:t>
      </w:r>
      <w:r>
        <w:t xml:space="preserve">. Diario Oficial.</w:t>
      </w:r>
    </w:p>
    <w:p>
      <w:pPr>
        <w:spacing w:before="0" w:after="120" w:line="480" w:lineRule="auto"/>
        <w:jc w:val="both"/>
      </w:pPr>
      <w:r>
        <w:t xml:space="preserve">Consejo Nacional de Política Económica y Social. (2019). </w:t>
      </w:r>
      <w:r>
        <w:rPr>
          <w:i/>
        </w:rPr>
        <w:t xml:space="preserve">Documento CONPES 3975. Política nacional para la transformación digital e inteligencia artificial</w:t>
      </w:r>
      <w:r>
        <w:t xml:space="preserve">. Departamento Nacional de Planeación.</w:t>
      </w:r>
    </w:p>
    <w:p>
      <w:pPr>
        <w:spacing w:before="0" w:after="120" w:line="480" w:lineRule="auto"/>
        <w:jc w:val="both"/>
      </w:pPr>
      <w:r>
        <w:t xml:space="preserve">Consejo Superior de la Judicatura. (2023). </w:t>
      </w:r>
      <w:r>
        <w:rPr>
          <w:i/>
        </w:rPr>
        <w:t xml:space="preserve">Informe al Congreso de la República 2022-2023</w:t>
      </w:r>
      <w:r>
        <w:t xml:space="preserve">. Rama Judicial.</w:t>
      </w:r>
    </w:p>
    <w:p>
      <w:pPr>
        <w:spacing w:before="0" w:after="120" w:line="480" w:lineRule="auto"/>
        <w:jc w:val="both"/>
      </w:pPr>
      <w:r>
        <w:t xml:space="preserve">Consejo Superior de la Judicatura. (2024). </w:t>
      </w:r>
      <w:r>
        <w:rPr>
          <w:i/>
        </w:rPr>
        <w:t xml:space="preserve">Acuerdo PCSJA24-12243 de 2024. Lineamientos para el uso de la inteligencia artificial en la Rama Judicial</w:t>
      </w:r>
      <w:r>
        <w:t xml:space="preserve">.</w:t>
      </w:r>
    </w:p>
    <w:p>
      <w:pPr>
        <w:spacing w:before="0" w:after="120" w:line="480" w:lineRule="auto"/>
        <w:jc w:val="both"/>
      </w:pPr>
      <w:r>
        <w:t xml:space="preserve">Consejo Superior de la Judicatura. (2024). </w:t>
      </w:r>
      <w:r>
        <w:rPr>
          <w:i/>
        </w:rPr>
        <w:t xml:space="preserve">Circular PCSJC24-37 de 2024. ABC de la Sentencia T-323 de 2024</w:t>
      </w:r>
      <w:r>
        <w:t xml:space="preserve">.</w:t>
      </w:r>
    </w:p>
    <w:p>
      <w:pPr>
        <w:spacing w:before="0" w:after="120" w:line="480" w:lineRule="auto"/>
        <w:jc w:val="both"/>
      </w:pPr>
      <w:r>
        <w:t xml:space="preserve">Conselho Nacional de Justiça. (2020). </w:t>
      </w:r>
      <w:r>
        <w:rPr>
          <w:i/>
        </w:rPr>
        <w:t xml:space="preserve">Resolução n.º 332, de 21 de agosto de 2020. Ética, transparência e governança na produção e no uso de Inteligência Artificial no Poder Judiciário</w:t>
      </w:r>
      <w:r>
        <w:t xml:space="preserve">. CNJ.</w:t>
      </w:r>
    </w:p>
    <w:p>
      <w:pPr>
        <w:spacing w:before="0" w:after="120" w:line="480" w:lineRule="auto"/>
        <w:jc w:val="both"/>
      </w:pPr>
      <w:r>
        <w:t xml:space="preserve">Constitución Política de Colombia. (1991). Gaceta Constitucional No. 116.</w:t>
      </w:r>
    </w:p>
    <w:p>
      <w:pPr>
        <w:spacing w:before="0" w:after="120" w:line="480" w:lineRule="auto"/>
        <w:jc w:val="both"/>
      </w:pPr>
      <w:r>
        <w:t xml:space="preserve">Corte Constitucional de Colombia. (1996). </w:t>
      </w:r>
      <w:r>
        <w:rPr>
          <w:i/>
        </w:rPr>
        <w:t xml:space="preserve">Sentencia C-037 de 1996</w:t>
      </w:r>
      <w:r>
        <w:t xml:space="preserve"> [M. P. Vladimiro Naranjo Mesa].</w:t>
      </w:r>
    </w:p>
    <w:p>
      <w:pPr>
        <w:spacing w:before="0" w:after="120" w:line="480" w:lineRule="auto"/>
        <w:jc w:val="both"/>
      </w:pPr>
      <w:r>
        <w:t xml:space="preserve">Corte Constitucional de Colombia. (2024). </w:t>
      </w:r>
      <w:r>
        <w:rPr>
          <w:i/>
        </w:rPr>
        <w:t xml:space="preserve">Sentencia T-323 de 2024</w:t>
      </w:r>
      <w:r>
        <w:t xml:space="preserve"> [M. P. José Fernando Reyes Cuartas].</w:t>
      </w:r>
    </w:p>
    <w:p>
      <w:pPr>
        <w:spacing w:before="0" w:after="120" w:line="480" w:lineRule="auto"/>
        <w:jc w:val="both"/>
      </w:pPr>
      <w:r>
        <w:t xml:space="preserve">Corte Interamericana de Derechos Humanos. (2009, 17 de noviembre). </w:t>
      </w:r>
      <w:r>
        <w:rPr>
          <w:i/>
        </w:rPr>
        <w:t xml:space="preserve">Caso Barreto Leiva vs. Venezuela</w:t>
      </w:r>
      <w:r>
        <w:t xml:space="preserve"> (Fondo, reparaciones y costas).</w:t>
      </w:r>
    </w:p>
    <w:p>
      <w:pPr>
        <w:spacing w:before="0" w:after="120" w:line="480" w:lineRule="auto"/>
        <w:jc w:val="both"/>
      </w:pPr>
      <w:r>
        <w:t xml:space="preserve">Duitama Pulido, E. A. (2022). Sesgos algorítmicos e inteligencia artificial en el poder judicial. En </w:t>
      </w:r>
      <w:r>
        <w:rPr>
          <w:i/>
        </w:rPr>
        <w:t xml:space="preserve">El derecho como laboratorio de saberes</w:t>
      </w:r>
      <w:r>
        <w:t xml:space="preserve">. Editorial Universidad del Rosario.</w:t>
      </w:r>
    </w:p>
    <w:p>
      <w:pPr>
        <w:spacing w:before="0" w:after="120" w:line="480" w:lineRule="auto"/>
        <w:jc w:val="both"/>
      </w:pPr>
      <w:r>
        <w:t xml:space="preserve">Estevez, E., Linares Lejarraga, S., &amp; Fillottrani, P. (2020). </w:t>
      </w:r>
      <w:r>
        <w:rPr>
          <w:i/>
        </w:rPr>
        <w:t xml:space="preserve">PROMETEA: Transformando la administración de justicia con herramientas de inteligencia artificial</w:t>
      </w:r>
      <w:r>
        <w:t xml:space="preserve">. Banco Interamericano de Desarrollo. https://doi.org/10.18235/0002378</w:t>
      </w:r>
    </w:p>
    <w:p>
      <w:pPr>
        <w:spacing w:before="0" w:after="120" w:line="480" w:lineRule="auto"/>
        <w:jc w:val="both"/>
      </w:pPr>
      <w:r>
        <w:t xml:space="preserve">Ferrajoli, L. (1995). </w:t>
      </w:r>
      <w:r>
        <w:rPr>
          <w:i/>
        </w:rPr>
        <w:t xml:space="preserve">Derecho y razón: Teoría del garantismo penal</w:t>
      </w:r>
      <w:r>
        <w:t xml:space="preserve"> (P. Andrés Ibáñez et al., Trads.). Editorial Trotta. (Obra original publicada en 1989)</w:t>
      </w:r>
    </w:p>
    <w:p>
      <w:pPr>
        <w:spacing w:before="0" w:after="120" w:line="480" w:lineRule="auto"/>
        <w:jc w:val="both"/>
      </w:pPr>
      <w:r>
        <w:t xml:space="preserve">Galvis Vega, G. A., et al. (2022). </w:t>
      </w:r>
      <w:r>
        <w:rPr>
          <w:i/>
        </w:rPr>
        <w:t xml:space="preserve">Inteligencia artificial en el proceso de predicción de decisiones judiciales como modelo asistencialista mixto</w:t>
      </w:r>
      <w:r>
        <w:t xml:space="preserve">. vLex Colombia.</w:t>
      </w:r>
    </w:p>
    <w:p>
      <w:pPr>
        <w:spacing w:before="0" w:after="120" w:line="480" w:lineRule="auto"/>
        <w:jc w:val="both"/>
      </w:pPr>
      <w:r>
        <w:rPr>
          <w:i/>
        </w:rPr>
        <w:t xml:space="preserve">Mata v. Avianca, Inc.</w:t>
      </w:r>
      <w:r>
        <w:t xml:space="preserve">, 678 F. Supp. 3d 443 (S.D.N.Y. 2023).</w:t>
      </w:r>
    </w:p>
    <w:p>
      <w:pPr>
        <w:spacing w:before="0" w:after="120" w:line="480" w:lineRule="auto"/>
        <w:jc w:val="both"/>
      </w:pPr>
      <w:r>
        <w:t xml:space="preserve">Ministerio de Tecnologías de la Información y las Comunicaciones [MinTIC]. (2021). </w:t>
      </w:r>
      <w:r>
        <w:rPr>
          <w:i/>
        </w:rPr>
        <w:t xml:space="preserve">Marco ético para la inteligencia artificial en Colombia</w:t>
      </w:r>
      <w:r>
        <w:t xml:space="preserve">. Gobierno de Colombia.</w:t>
      </w:r>
    </w:p>
    <w:p>
      <w:pPr>
        <w:spacing w:before="0" w:after="120" w:line="480" w:lineRule="auto"/>
        <w:jc w:val="both"/>
      </w:pPr>
      <w:r>
        <w:t xml:space="preserve">Organización de las Naciones Unidas para la Educación, la Ciencia y la Cultura [Unesco]. (2021). </w:t>
      </w:r>
      <w:r>
        <w:rPr>
          <w:i/>
        </w:rPr>
        <w:t xml:space="preserve">Recomendación sobre la ética de la inteligencia artificial</w:t>
      </w:r>
      <w:r>
        <w:t xml:space="preserve">. Unesco.</w:t>
      </w:r>
    </w:p>
    <w:p>
      <w:pPr>
        <w:spacing w:before="0" w:after="120" w:line="480" w:lineRule="auto"/>
        <w:jc w:val="both"/>
      </w:pPr>
      <w:r>
        <w:t xml:space="preserve">Pasquale, F. (2015). </w:t>
      </w:r>
      <w:r>
        <w:rPr>
          <w:i/>
        </w:rPr>
        <w:t xml:space="preserve">The black box society: The secret algorithms that control money and information</w:t>
      </w:r>
      <w:r>
        <w:t xml:space="preserve">. Harvard University Press.</w:t>
      </w:r>
    </w:p>
    <w:p>
      <w:pPr>
        <w:spacing w:before="0" w:after="120" w:line="480" w:lineRule="auto"/>
        <w:jc w:val="both"/>
      </w:pPr>
      <w:r>
        <w:rPr>
          <w:i/>
        </w:rPr>
        <w:t xml:space="preserve">State v. Loomis</w:t>
      </w:r>
      <w:r>
        <w:t xml:space="preserve">, 881 N.W.2d 749 (Wis. 2016).</w:t>
      </w:r>
    </w:p>
    <w:p>
      <w:pPr>
        <w:spacing w:before="0" w:after="120" w:line="480" w:lineRule="auto"/>
        <w:jc w:val="both"/>
      </w:pPr>
      <w:r>
        <w:t xml:space="preserve">Suárez Manrique, W. Y., &amp; De León Vargas, G. I. (2019). Inteligencia artificial y su aplicación en la administración de justicia. </w:t>
      </w:r>
      <w:r>
        <w:rPr>
          <w:i/>
        </w:rPr>
        <w:t xml:space="preserve">Revista Jurídica Mario Alario D'Filippo, 11</w:t>
      </w:r>
      <w:r>
        <w:t xml:space="preserve">(21), 71-83. Universidad de Cartagena.</w:t>
      </w:r>
    </w:p>
    <w:p>
      <w:pPr>
        <w:spacing w:before="0" w:after="120" w:line="480" w:lineRule="auto"/>
        <w:jc w:val="both"/>
      </w:pPr>
      <w:r>
        <w:t xml:space="preserve">Suárez Manrique, W. Y., De León Vargas, G. I., &amp; Monsalve Pinto, J. J. (2023). Un análisis sobre la aplicabilidad de la inteligencia artificial en el derecho colombiano. </w:t>
      </w:r>
      <w:r>
        <w:rPr>
          <w:i/>
        </w:rPr>
        <w:t xml:space="preserve">Prolegómenos, 26</w:t>
      </w:r>
      <w:r>
        <w:t xml:space="preserve">(52), 11-23. Universidad Militar Nueva Granada.</w:t>
      </w:r>
    </w:p>
    <w:p>
      <w:pPr>
        <w:spacing w:before="0" w:after="120" w:line="480" w:lineRule="auto"/>
        <w:jc w:val="both"/>
      </w:pPr>
      <w:r>
        <w:t xml:space="preserve">Unión Europea. (2024, 13 de junio). </w:t>
      </w:r>
      <w:r>
        <w:rPr>
          <w:i/>
        </w:rPr>
        <w:t xml:space="preserve">Reglamento (UE) 2024/1689 del Parlamento Europeo y del Consejo, por el que se establecen normas armonizadas en materia de inteligencia artificial (Ley de Inteligencia Artificial)</w:t>
      </w:r>
      <w:r>
        <w:t xml:space="preserve">. Diario Oficial de la Unión Europea, L 2024/1689.</w:t>
      </w:r>
    </w:p>
    <w:sectPr>
      <w:headerReference w:type="default" r:id="rIdHdr"/>
      <w:pgSz w:w="12240" w:h="15840"/>
      <w:pgMar w:top="1440" w:right="1440" w:bottom="1440" w:left="1440" w:header="720" w:footer="720" w:gutter="0"/>
    </w:sectPr>
  </w:body>
</w:document>
</file>

<file path=word/header1.xml><?xml version="1.0" encoding="utf-8"?>
<w:hdr xmlns:w="http://schemas.openxmlformats.org/wordprocessingml/2006/main">
  <w:p>
    <w:pPr>
      <w:jc w:val="right"/>
      <w:spacing w:line="240" w:lineRule="auto"/>
    </w:pPr>
    <w:r>
      <w:fldChar w:fldCharType="begin"/>
    </w:r>
    <w:r>
      <w:instrText xml:space="preserve"> PAGE </w:instrText>
    </w:r>
    <w:r>
      <w:fldChar w:fldCharType="end"/>
    </w:r>
  </w:p>
</w:hdr>
</file>

<file path=word/styles.xml><?xml version="1.0" encoding="utf-8"?>
<w:styles xmlns:w="http://schemas.openxmlformats.org/wordprocessingml/2006/main">
  <w:docDefaults>
    <w:rPrDefault>
      <w:rPr>
        <w:rFonts w:ascii="Times New Roman" w:hAnsi="Times New Roman" w:cs="Times New Roman"/>
        <w:sz w:val="24"/>
        <w:szCs w:val="24"/>
        <w:lang w:val="es-CO"/>
      </w:rPr>
    </w:rPrDefault>
    <w:pPrDefault>
      <w:pPr>
        <w:spacing w:after="0" w:line="48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Hdr" Type="http://schemas.openxmlformats.org/officeDocument/2006/relationships/header" Target="header1.xml"/></Relationships>
</file>

<file path=docProps/app.xml><?xml version="1.0" encoding="utf-8"?>
<Properties xmlns="http://schemas.openxmlformats.org/officeDocument/2006/extended-properties">
  <Application>Kiro DOCX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La inteligencia artificial en la administracion de justicia con enfoque garantista</dc:title>
  <dc:creator>Maria Fernanda Aldana Rojas; Jesus Esneider Prieto Soto</dc:creator>
  <dcterms:created xsi:type="dcterms:W3CDTF">2026-06-25T03:32:58Z</dcterms:created>
  <dcterms:modified xsi:type="dcterms:W3CDTF">2026-06-25T03:32:58Z</dcterms:modified>
</cp:coreProperties>
</file>