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752475" cy="828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24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23.7199401855469" w:right="512.5463867187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INTELIGENCIA ARTIFICIAL EN LA ADMINISTRACIÓN DE</w:t>
      </w:r>
    </w:p>
    <w:p w:rsidR="00000000" w:rsidDel="00000000" w:rsidP="00000000" w:rsidRDefault="00000000" w:rsidRPr="00000000" w14:paraId="0000000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JUSTICIA CON ENFOQUE GARANTISTA DE LOS PRINCIPIOS DEL DERECHO PENAL. </w:t>
      </w:r>
    </w:p>
    <w:p w:rsidR="00000000" w:rsidDel="00000000" w:rsidP="00000000" w:rsidRDefault="00000000" w:rsidRPr="00000000" w14:paraId="00000005">
      <w:pPr>
        <w:widowControl w:val="0"/>
        <w:spacing w:after="100" w:before="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Hacia un modelo de justicia aumentada: parámetros constitucionales y protocolo de transparencia algorítmica para el proceso penal colombiano</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 Fernanda Aldana Rojas </w:t>
      </w:r>
    </w:p>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Jesus Esneider Prieto Soto </w:t>
      </w:r>
    </w:p>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Colegio Mayor de Cundinamarca </w:t>
      </w:r>
    </w:p>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Derecho </w:t>
      </w:r>
    </w:p>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de grado </w:t>
      </w:r>
    </w:p>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 </w:t>
      </w:r>
      <w:r w:rsidDel="00000000" w:rsidR="00000000" w:rsidRPr="00000000">
        <w:rPr>
          <w:rFonts w:ascii="Roboto" w:cs="Roboto" w:eastAsia="Roboto" w:hAnsi="Roboto"/>
          <w:b w:val="1"/>
          <w:bCs w:val="1"/>
          <w:color w:val="1f1f1f"/>
          <w:sz w:val="21"/>
          <w:szCs w:val="21"/>
          <w:rtl w:val="0"/>
        </w:rPr>
        <w:t xml:space="preserve">Jhon Edier Jaramillo Ferro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de Junio de 2026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INTRODUCCIÓN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inteligencia artificial  (en adelante IA) en la administración de justicia, escenarios en los cuales interviene el Estado, como garante de los Derechos fundamentales, ha constituido uno de los fenómenos de mayor trascendencia jurídica, política y filosófica en  las últimas décadas. El uso frecuente por los actores y partes en los procesos judiciales representa una transformación en la administración de justicia, en especial en  el ámbito del derecho penal, los cuales enfrentan grandes desafíos en la implementación de la IA, por el riesgo eminente de a no aplicar la racionalidad humana, racionalidad jurídica, la sana crítica, la dignidad humana y la materialización del Estado Social de Derecho.  El encuentro mediante la implementación de los algoritmos de aprendizaje automático,  exige mayor rigurosidad  en la aplicación de los principios constitucionales y del derecho penal, que deben cumplir con las garantías constitucionales y fundamentales que se encuentran en juego. En la práctica judicial el uso de algoritmos opacos conocidos como “cajas negras”, representa un riesgo latente para la valoración de pruebas y la proyección de fallos, que generan una tensión enorme que este anteproyecto se propone examinar de manera sistemática, rigurosa y crítica.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histórica, la relación entre la tecnología y la justicia ha estado presente como un desafío en la administración de justicia: la intervención de la imprenta transformó la codificación del Derecho; la grabación magnetofónica renovó la práctica del juicio oral con el fin de “refrescar memoria a los jueces”; los sistemas de gestión electrónica de expedientes modificaron la tramitacion procesal en los juzgados y optimizo la mano obrera “patinadores” y desgastes de los profesionales del derecho en los desplazamientos. Sin embargo, la IA  generativa y los sistemas de soporte a las decisiones judiciales representan un salto cualitativo sin precedentes, pues ya no se trata de herramientas de almacén o que solo transmiten información y la guardan en una nube, sino son sistemas capaces de procesar, inferir y, en ciertos modelos de despliegue, proponer soluciones jurídicas de manera autónoma. Esta capacidad autoinferencial del algoritmo desafía el razonamiento jurídico y la motivación judicial, entendida como el deber constitucional del juez de explicar las razones que sostienen su decisiones (Corte Constitucional de Colombia, sentencia C-037 de 1996).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el fenómeno adquiere aspectos particulares, como lo es el sistema judicial, el cual enfrenta una crisis estructural de congestión que, según el Consejo Superior de la Judicatura, para 2023 supera los cuatro millones de procesos represados. Ante esta realidad, la incorporación de herramientas como PretorIA o PROMETA, se presentan como una solución atractiva para la descongestión judicial. No obstante, la Corte Constitucional, mediante la sentencia T-323 de 2024, fijó un precedente fundamental al establecer que el uso de la IA generativa en la administración de justicia debe sujetarse a principios de transparencia, responsabilidad, racionalidad e inmediación  y autonomía  del juez natural; prohibiendo que la inteligencia artificial sustituye el razonamiento humano.Este fallo hito constituye el eje normativo de la presente investigación.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penal, por la especificidad de los derechos que se comprometen, como lo son la libertad personal, la presunción de inocencia, el debido proceso, entre otros, exige un análisis diferencial frente a otras ramas del derecho, Los errores algoritmos, conocidos en la doctrina como “alucinaciones” (Bender et al.,2021), o los sesgos sistemáticos incorporados por la “big data” (Angwin et al..2016), pueden resultar en privaciones injustas de la libertad, en vulneración del principio de igualdad procesal o desnaturalización de la sana crítica como principio de la valoración probatoria. el antecedente estadounidense del caso State vs Loomis (2016), en e que el Tribunal Supremo de Wisconsin, avalo con importantes matizaciones del uso del sistema COMPAS para orientar decisiones de condena, resulta paradigmático del debate que esta investigación pretende abordar las alucinaciones y sesgos en la implementación en Colombia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se estructura bajo un enfoque garantista del derecho penal, perspectiva teórica desarrollada principalmente por Luigi Ferrajoli (1995), según la cual la legitimación del sistema penal depende de la estricta sujeción a los derechos y garantías fundamentales. Desde esta óptica, la IA no puede ser simplemente adoptada como eficiencia administrativa, sino que debe ser sometida a un riguroso test de compatibilidad constitucional que  evalúe si su uso fortalece o erosiona las garantías procesales penales.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11999511718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UBICACIÓN DEL PROBLEMA.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360" w:lineRule="auto"/>
        <w:ind w:left="569.55993652343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Descripción del problema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administrativo de justicia en Colombia atraviesa una transformación estructural impulsada por el avance exponencial de las tecnologías de la información y la comunicación, mediante el auge y el uso de la inteligencia artificial en la aplicación e intervención en el derecho. Esta transformación, en principio podría concebirse como una oportunidad para mejorar la eficiencia del sistema judicial, genera tensiones significativas cuando se proyecta sobre el ámbito del derecho procesal penal. </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penal requiere de una mayor rigurosidad en la implementación de apoyo de inteligencias artificiales por las garantías constitucionales y fundamentales que se deben garantizar mediante esta implementación; con el fin de implementar la IA en el sistema penal como un apoyo y no como una sustitución.</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central que motiva esta investigación se articula en torno a tres dimensiones interrelacionadas. En primer lugar una dimensión tecnológica: los sistemas de inteligencia artificial disponibles para el ámbito judicial, tanto los de uso generalizado como Chat GPT, Gemini o Copilot, como los especializados en el ámbito jurídico como PROMETEA o PretorIA, operan en mayor o menor medida, mediante modelos de aprendizaje automático que procesa grandes volúmenes de datos, no necesariamente verdaderos o jurídicamente correctos. </w:t>
      </w:r>
    </w:p>
    <w:p w:rsidR="00000000" w:rsidDel="00000000" w:rsidP="00000000" w:rsidRDefault="00000000" w:rsidRPr="00000000" w14:paraId="0000002D">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la dimensión normativa: Colombia carece a la fecha de elaboración de este anteproyecto, de una regulación integral que determine con precisión los límites, las condiciones y los procedimientos bajo los cuales los operadores judiciales pueden utilizar herramientas de IA en los procesos penales. Si bien la sentencia T-323 de 2024 de la Corte Constitucional establece unos parámetros para su utilización es más generalizado y no una ley específica.</w:t>
      </w:r>
    </w:p>
    <w:p w:rsidR="00000000" w:rsidDel="00000000" w:rsidP="00000000" w:rsidRDefault="00000000" w:rsidRPr="00000000" w14:paraId="0000002E">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tercer lugar, la dimensión garantista: el proceso penal acusatorio está construido sobre un conjunto de principios constitucionales y convencionales como son el debido proceso art 29 CP, la presunción de inocencia, la inmediación probatoria, el principio del juez natural, la sana crítica como método de valoración probatoria, que podrían verse afectados por la incorporación acrítica de algoritmos en las decisiones judiciales. La Corte Interamericana de Derechos Humanos ha sido enfática en señalar que las garantías del debido proceso son inderogables incluso ante situaciones de urgencia institucional (CIDH, Caso Barreto Leiva vs. Venezuela, 2009), criterio que debe proyectarse sobre la incorporación de tecnologías en la justicia penal.</w:t>
      </w:r>
    </w:p>
    <w:p w:rsidR="00000000" w:rsidDel="00000000" w:rsidP="00000000" w:rsidRDefault="00000000" w:rsidRPr="00000000" w14:paraId="0000002F">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del problema también debe examinarse desde las perspectiva de los actores procesales. Para el juez, el riesgo consiste en la delegación implícita del razonamiento judicial en el algoritmo. Para el fiscal, la tentación de apoyarse en predicciones algorítmicas de reincidencia o peligrosidad. Para la defensa técnica, la opacidad de los algoritmos o el fenómeno de la caja negra dificulta el derecho de contradicción. </w:t>
      </w:r>
    </w:p>
    <w:p w:rsidR="00000000" w:rsidDel="00000000" w:rsidP="00000000" w:rsidRDefault="00000000" w:rsidRPr="00000000" w14:paraId="00000030">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anteriormente descrito evidencia que el problema no es simplemente técnico ni exclusivamente normativo, sino que constituye un desafío sistémico. La pregunta que subyace a toda la investigación es, una pregunta sobre los límites del poder punitivo del estado en la era algorítmica. ¿Puede un sistema de inteligencia artificial, reemplazar o condicionar el juicio humano en materias que comprometen la libertad y la dignidad de las personas?</w:t>
      </w:r>
    </w:p>
    <w:p w:rsidR="00000000" w:rsidDel="00000000" w:rsidP="00000000" w:rsidRDefault="00000000" w:rsidRPr="00000000" w14:paraId="00000031">
      <w:pPr>
        <w:widowControl w:val="0"/>
        <w:spacing w:line="360" w:lineRule="auto"/>
        <w:ind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Formulación del problema  </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desincronización entre el avance exponencial de la inteligencia artificial y la capacidad de respuesta normativa conforme a derecho. En el ámbito penal, el uso de algoritmos opacos conocidos como las cajas negras; para la valoración de pruebas o proyección de fallos genera riesgos de sesgos discriminatorios y vulnerar el deber de motivación judicial. </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radica si realimenta las inteligencias artificiales propuestas para la implementación en el derecho como PretorIA o Prometa, cumplen la eficiencia y justifica el sacrificio de las garantías procesales como la inmediación, la sana crítica y el principio al juez natural. </w:t>
      </w:r>
    </w:p>
    <w:p w:rsidR="00000000" w:rsidDel="00000000" w:rsidP="00000000" w:rsidRDefault="00000000" w:rsidRPr="00000000" w14:paraId="00000034">
      <w:pPr>
        <w:widowControl w:val="0"/>
        <w:spacing w:after="240" w:line="36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los parámetros jurídicos, constitucionales y garantistas que deben regir el uso de la inteligencia artificial por parte de los actores procesales en el proceso penal colombiano, de manera que dicho uso fortalezca la administración de justicia sin vulnerar los principios fundamentales del derecho penal y procesal penal?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pregunta principal surgen otros interrogantes adicionales que encuentran el desarrollo metodológico de la investigación: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riesgos específicos genera el uso de algoritmos opacos en la valoración probatoria y en la proyección de fallos en materia penal, y cómo se relacionan dichos riesgos con las garantías del debido proceso y la presunción de inocencia?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han abordado otros ordenamientos jurídicos, particularmente la Unión Europea, Estados Unidos, Argentina y Brasil, la regulación de la IA en la administración de justicia penal, y qué lecciones pueden extraerse para el contexto colombiano?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protocolo de transparencia algorítmica, compatible con el debido proceso penal, debe implementarse para los operadores jurídicos que utilicen herramientas de IA en el marco de un proceso penal?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55993652343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Justificación.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la inteligencia artificial en la administración de justicia corresponde uno de los más grandes desafíos para el derecho procesal y constitucional, especialmente en el ámbito penal, donde se encuentran comprometidos derechos fundamentales. </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relevancia de esta investigación radica en la necesidad de analizar los límites, alcances y parámetros que deben regir el uso de inteligencia artificial por parte de jueces, fiscales, defensores y demás intervinientes en el proceso penal, evitando que dichas herramientas sustituyan el razonamiento jurídico humano o generen decisiones automatizadas incompatibles con los principios garantistas del derecho penal y procesal penal colombiano.</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es imperativa ante la ausencia de una regulación integral en Colombia y la aparición de fallos que anulan sentencias por el uso indebido de la IA.Con un precedente enmarcado por la sentencia T-323 de 2024 la cual establece que la IA únicamente puede ser utilizada como herramienta de apoyo y no como sustitución de la función jurisdiccional; en especial en materia penal, donde la libertad es la regla general y estaría en juego por una frontera ética de la IA.</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investigación ópera en cuatro planos que se complementan mutuamente: el plano científico, el plano jurídico-constitucional, el plano social y el plano institucional. Desde el plano científico, la investigación aporta al desarrollo de una doctrina jurídica específica sobre el uso de la IA en el derecho procesal penal colombiano. Si bien existen trabajos pioneros como lo son Suarez Manrique y De Leon Vargas (2019), este se centra en el derecho colombiano en general, sin profundizar en las especificidades del proceso penal acusatorio. La presente investigación busca desarrollar un análisis sistemático que combine el derecho constitucional, el derecho procesal penal y la teoría de la IA aplicada al derecho. </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plano jurídico constitucional, la investigación se justifica por la necesidad de clarificar el alcance de los principios procesales penales frente al desafío algorítmico. La sentencia T-323 DE 2024 constituye un hito jurisprudencial fundamental, pero sus efectos sobre el proceso penal en particular no han sido suficientemente estudiados. La investigación propone un análisis detallado de dicho fallo en relación con el principio de inmediación, sana crítica, juez natural y deber de motivación, identificando las zonas de tensión y los parámetros de compatibilidad  constitucional que debe orientar el uso de la IA en la justicia penal.  </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plano social, la investigación responde a una necesidad social en cuanto a la congestión judicial en Colombia; más de cuatro millones de procesos represados, según el Consejo Superior de la Judicatura (2023), sin que la búsqueda de eficiencia se traduce en la erosión de garantías. El impacto social de la propuesta se concreta en la protección reforzada de las personas sometidas al poder punitivo, en especial de las poblaciones históricamente discriminadas, que son las más expuestas a los sesgos algoritmos.  </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plano institucional ofrece a la Rama Judicial, la Fiscalía General de la Nación (FGN), la Defensoría del pueblo y el legislador de un instrumento concreto, el Protocolo de transparencia Algorítmica y Garantía Penales, susceptible de apropiación normativa operativa.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5599365234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Objetivos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5599365234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41.6400146484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 General </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uso de la Inteligencia Artificial en la administración de justicia penal bajo un enfoque de justicia, que conciba la incorporación de tecnologías como  la potenciación del derecho sin sustituir el razonamiento humano. </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41.6400146484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 Específicos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41.6400146484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ageBreakBefore w:val="0"/>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el procedimiento de la implementación de la Inteligencia artificial generativa (IA), los riesgos de alucinaciones algorítmicas y las garantías en su implementación en el proceso penal.    </w:t>
      </w:r>
    </w:p>
    <w:p w:rsidR="00000000" w:rsidDel="00000000" w:rsidP="00000000" w:rsidRDefault="00000000" w:rsidRPr="00000000" w14:paraId="0000004F">
      <w:pPr>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w:t>
      </w:r>
      <w:r w:rsidDel="00000000" w:rsidR="00000000" w:rsidRPr="00000000">
        <w:rPr>
          <w:rFonts w:ascii="Times New Roman" w:cs="Times New Roman" w:eastAsia="Times New Roman" w:hAnsi="Times New Roman"/>
          <w:sz w:val="24"/>
          <w:szCs w:val="24"/>
          <w:rtl w:val="0"/>
        </w:rPr>
        <w:t xml:space="preserve"> el marco normativo, jurisprudencial y doctrinal en Colombia, mediante el cual se ha regulado y/o analizado el uso de la inteligencia artificial en el marco de los procesos judiciales. </w:t>
      </w:r>
    </w:p>
    <w:p w:rsidR="00000000" w:rsidDel="00000000" w:rsidP="00000000" w:rsidRDefault="00000000" w:rsidRPr="00000000" w14:paraId="00000050">
      <w:pPr>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los parámetros que deben implementarse para el uso de la inteligencia artificial por las partes procesales con protocolo de transparencia conforme al debido proceso.  </w:t>
      </w:r>
    </w:p>
    <w:p w:rsidR="00000000" w:rsidDel="00000000" w:rsidP="00000000" w:rsidRDefault="00000000" w:rsidRPr="00000000" w14:paraId="0000005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360" w:lineRule="auto"/>
        <w:ind w:left="5.5200195312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MARCOS DE REFERENCIA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550.119934082031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Marco histórico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tecnología y administración de justicia tiene una historia que se remonta a los primeros esfuerzos de racionalización y sistematización del derecho. Sin embargo, la incorporación de sistemas computacionales en la toma de decisiones judiciales constituye un fenómeno relativamente reciente que reconoce hitos fundamentales en la evolución del pensamiento jurídico y de la tecnología aplicada al derecho.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invención de la imprenta de tipos móviles transformó la codificación y la difusión del derecho, posibilitando la circulación de cuerpos normativos uniformes. Siglos después, la grabación magnetofónica y, más tarde, la videograbación renovaron la práctica del juicio oral, permitiendo documentar la inmediación y “refrescar la memoria” de los jueces. En la segunda mitad del siglo XX, la informática jurídica documental dio lugar a las primeras bases de fotos de jurisprudencia y legislación.  Y en el siglo XXI, los sistemas de gestión electrónica de expedientes modificaron la tramitación procesal, redujeron los desplazamientos físicos y optimizaron el trabajo de los despachos. La pandemia de 2021, aceleró esta digitalización en Colombia, mediante el Decreto Legislativo 806 de 2020, luego incorporado de forma permanente por la Ley 2213 de 2022 la cual consolidó el uso de las TICS en las actuaciones judiciales.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550.1199340820312"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Sentencia hito del caso </w:t>
      </w:r>
      <w:r w:rsidDel="00000000" w:rsidR="00000000" w:rsidRPr="00000000">
        <w:rPr>
          <w:rFonts w:ascii="Times New Roman" w:cs="Times New Roman" w:eastAsia="Times New Roman" w:hAnsi="Times New Roman"/>
          <w:b w:val="1"/>
          <w:bCs w:val="1"/>
          <w:color w:val="303030"/>
          <w:sz w:val="24"/>
          <w:szCs w:val="24"/>
          <w:highlight w:val="white"/>
          <w:rtl w:val="0"/>
        </w:rPr>
        <w:t xml:space="preserve">State v. Loomis</w:t>
      </w:r>
      <w:r w:rsidDel="00000000" w:rsidR="00000000" w:rsidRPr="00000000">
        <w:rPr>
          <w:rFonts w:ascii="Times New Roman" w:cs="Times New Roman" w:eastAsia="Times New Roman" w:hAnsi="Times New Roman"/>
          <w:color w:val="303030"/>
          <w:sz w:val="24"/>
          <w:szCs w:val="24"/>
          <w:highlight w:val="white"/>
          <w:rtl w:val="0"/>
        </w:rPr>
        <w:t xml:space="preserve"> en EE.UU. como antecedente del riesgo de usar algoritmos propietarios (</w:t>
      </w:r>
      <w:r w:rsidDel="00000000" w:rsidR="00000000" w:rsidRPr="00000000">
        <w:rPr>
          <w:rFonts w:ascii="Times New Roman" w:cs="Times New Roman" w:eastAsia="Times New Roman" w:hAnsi="Times New Roman"/>
          <w:color w:val="303030"/>
          <w:sz w:val="24"/>
          <w:szCs w:val="24"/>
          <w:highlight w:val="white"/>
          <w:rtl w:val="0"/>
        </w:rPr>
        <w:t xml:space="preserve">COMPAS</w:t>
      </w:r>
      <w:r w:rsidDel="00000000" w:rsidR="00000000" w:rsidRPr="00000000">
        <w:rPr>
          <w:rFonts w:ascii="Times New Roman" w:cs="Times New Roman" w:eastAsia="Times New Roman" w:hAnsi="Times New Roman"/>
          <w:color w:val="303030"/>
          <w:sz w:val="24"/>
          <w:szCs w:val="24"/>
          <w:highlight w:val="white"/>
          <w:rtl w:val="0"/>
        </w:rPr>
        <w:t xml:space="preserve">) en sentencias criminales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550.1199340820312"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 </w:t>
      </w:r>
    </w:p>
    <w:p w:rsidR="00000000" w:rsidDel="00000000" w:rsidP="00000000" w:rsidRDefault="00000000" w:rsidRPr="00000000" w14:paraId="0000005A">
      <w:pPr>
        <w:widowControl w:val="0"/>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Hitos históricos de la relación entre tecnología y justicia</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25"/>
        <w:gridCol w:w="3570"/>
        <w:tblGridChange w:id="0">
          <w:tblGrid>
            <w:gridCol w:w="2880"/>
            <w:gridCol w:w="2925"/>
            <w:gridCol w:w="3570"/>
          </w:tblGrid>
        </w:tblGridChange>
      </w:tblGrid>
      <w:tr>
        <w:trPr>
          <w:cantSplit w:val="0"/>
          <w:trHeight w:val="390" w:hRule="atLeast"/>
          <w:tblHeader w:val="0"/>
        </w:trPr>
        <w:tc>
          <w:tcPr>
            <w:tcBorders>
              <w:top w:color="666666" w:space="0" w:sz="7" w:val="single"/>
              <w:left w:color="666666" w:space="0" w:sz="7" w:val="single"/>
              <w:bottom w:color="999999" w:space="0" w:sz="7" w:val="single"/>
              <w:right w:color="999999"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5B">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Etapa</w:t>
            </w:r>
          </w:p>
        </w:tc>
        <w:tc>
          <w:tcPr>
            <w:tcBorders>
              <w:top w:color="666666" w:space="0" w:sz="7" w:val="single"/>
              <w:left w:color="000000" w:space="0" w:sz="0" w:val="nil"/>
              <w:bottom w:color="999999" w:space="0" w:sz="7" w:val="single"/>
              <w:right w:color="999999"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5C">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w:t>
            </w:r>
          </w:p>
        </w:tc>
        <w:tc>
          <w:tcPr>
            <w:tcBorders>
              <w:top w:color="666666" w:space="0" w:sz="7" w:val="single"/>
              <w:left w:color="000000" w:space="0" w:sz="0" w:val="nil"/>
              <w:bottom w:color="999999" w:space="0" w:sz="7" w:val="single"/>
              <w:right w:color="666666"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5D">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 en la función judicial</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5E">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Imprenta</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5F">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móviles</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0">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y difusión uniforme del derecho</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1">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Siglo XX</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2">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Grabación magnetofónica y video</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3">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la inmediación en el juicio oral</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4">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Finales del s. XX</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5">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Informática jurídica documental</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6">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 de datos de legislación y jurisprudencia</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7">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Inicios del s. XXI</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8">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electrónica de expedientes</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9">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Tramitación digital; reducción de desplazamientos</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A">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2020-2022</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B">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 procesales (D.L. 806/2020; Ley 2213/2022)</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C">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Virtualización de audiencias y actuaciones</w:t>
            </w:r>
          </w:p>
        </w:tc>
      </w:tr>
      <w:tr>
        <w:trPr>
          <w:cantSplit w:val="0"/>
          <w:trHeight w:val="91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D">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(EE. UU.)</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6E">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actuarial (</w:t>
            </w:r>
            <w:r w:rsidDel="00000000" w:rsidR="00000000" w:rsidRPr="00000000">
              <w:rPr>
                <w:rFonts w:ascii="Times New Roman" w:cs="Times New Roman" w:eastAsia="Times New Roman" w:hAnsi="Times New Roman"/>
                <w:sz w:val="24"/>
                <w:szCs w:val="24"/>
                <w:rtl w:val="0"/>
              </w:rPr>
              <w:t xml:space="preserve">COMPAS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6F">
            <w:pPr>
              <w:widowControl w:val="0"/>
              <w:spacing w:after="20" w:lineRule="auto"/>
              <w:ind w:left="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 v. Loomis</w:t>
            </w:r>
            <w:r w:rsidDel="00000000" w:rsidR="00000000" w:rsidRPr="00000000">
              <w:rPr>
                <w:rFonts w:ascii="Times New Roman" w:cs="Times New Roman" w:eastAsia="Times New Roman" w:hAnsi="Times New Roman"/>
                <w:rtl w:val="0"/>
              </w:rPr>
              <w:t xml:space="preserve">: primer precedente sobre algoritmos opacos en la pena</w:t>
            </w:r>
          </w:p>
        </w:tc>
      </w:tr>
      <w:tr>
        <w:trPr>
          <w:cantSplit w:val="0"/>
          <w:trHeight w:val="645" w:hRule="atLeast"/>
          <w:tblHeader w:val="0"/>
        </w:trPr>
        <w:tc>
          <w:tcPr>
            <w:tcBorders>
              <w:top w:color="000000" w:space="0" w:sz="0" w:val="nil"/>
              <w:left w:color="666666" w:space="0" w:sz="7" w:val="single"/>
              <w:bottom w:color="666666"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70">
            <w:pPr>
              <w:widowControl w:val="0"/>
              <w:spacing w:after="20" w:lineRule="auto"/>
              <w:ind w:left="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2023-2024 (Col.)</w:t>
            </w:r>
          </w:p>
        </w:tc>
        <w:tc>
          <w:tcPr>
            <w:tcBorders>
              <w:top w:color="000000" w:space="0" w:sz="0" w:val="nil"/>
              <w:left w:color="000000" w:space="0" w:sz="0" w:val="nil"/>
              <w:bottom w:color="666666"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71">
            <w:pPr>
              <w:widowControl w:val="0"/>
              <w:spacing w:after="20" w:lineRule="auto"/>
              <w:ind w:left="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generativa (Chat GPT)</w:t>
            </w:r>
          </w:p>
        </w:tc>
        <w:tc>
          <w:tcPr>
            <w:tcBorders>
              <w:top w:color="000000" w:space="0" w:sz="0" w:val="nil"/>
              <w:left w:color="000000" w:space="0" w:sz="0" w:val="nil"/>
              <w:bottom w:color="666666"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72">
            <w:pPr>
              <w:widowControl w:val="0"/>
              <w:spacing w:after="20" w:lineRule="auto"/>
              <w:ind w:left="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fáctico de la Sentencia T-323 de 2024</w:t>
            </w:r>
          </w:p>
        </w:tc>
      </w:tr>
    </w:tbl>
    <w:p w:rsidR="00000000" w:rsidDel="00000000" w:rsidP="00000000" w:rsidRDefault="00000000" w:rsidRPr="00000000" w14:paraId="00000073">
      <w:pPr>
        <w:widowControl w:val="0"/>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4">
      <w:pPr>
        <w:widowControl w:val="0"/>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550.1199340820312"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Marco jurídico  </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Fundamento Constitucional </w:t>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ancla en la Constitución Política de 1991, la dignidad humana y la cláusula del Estado Social de Derecho (art. 13), el debido proceso y sus garantías (art 29), el principio de igualdad (art. 13) el habeas data y la autodeterminación informativa (art. 15) y la función jurisdiccional como expresión de la soberanía (art 113 y 228-230). El bloque de constitucionalidad (art. 93) incorpora, además, las garantías judiciales de la Convención Americana sobre Derechos Humanos (arts. 8 y 25).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Sentencia T-323 de 2024: Fallo hito</w:t>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Sentencia T-323 de 2024 (Corte Constitucional de Colombia, 2024), proferida por la Sala Sexta de Revisión con ponencia del magistrado Jose Fernando Reyes Cuartas, constituye el eje normativo de esta investigación. El caso tuvo origen en una acción de tutela promovida en favor de un niño diagnosticado con Trastorno de Espectro Autsta, en la que se discutía la exoneración de copagos y cuotas moderadoras frente a su entidad promotora de </w:t>
      </w:r>
      <w:r w:rsidDel="00000000" w:rsidR="00000000" w:rsidRPr="00000000">
        <w:rPr>
          <w:rFonts w:ascii="Times New Roman" w:cs="Times New Roman" w:eastAsia="Times New Roman" w:hAnsi="Times New Roman"/>
          <w:sz w:val="24"/>
          <w:szCs w:val="24"/>
          <w:rtl w:val="0"/>
        </w:rPr>
        <w:t xml:space="preserve">salud. En</w:t>
      </w:r>
      <w:r w:rsidDel="00000000" w:rsidR="00000000" w:rsidRPr="00000000">
        <w:rPr>
          <w:rFonts w:ascii="Times New Roman" w:cs="Times New Roman" w:eastAsia="Times New Roman" w:hAnsi="Times New Roman"/>
          <w:sz w:val="24"/>
          <w:szCs w:val="24"/>
          <w:rtl w:val="0"/>
        </w:rPr>
        <w:t xml:space="preserve"> segunda instancia, el juez empleó la herramienta de IA generativa Chat GPT para apoyar la fundamentación de su decisión, lo que motivó la revisión del caso por  la Corte para examinar si tal uso vulneraba el debido proceso.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Corte determinó que, en el caso concreto, el uso de la herramienta no vulnero el debido proceso porque operó como apoyo y la decisión fue adoptada por el juez, pero, a partir de ahí,fijó criterios y principios orientadores de obligatoria observancia para el uso de  la IA en la administración de justicia. La ratio decidendi se sintetiza en tres reglas importantes. </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 se puede reemplazar el razonamiento humano del juez.</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 uso debe seguir principios de transparencia, responsabilidad y autonomía.</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juez debe verificar rigurosamente cualquier información suministrada por la herramienta para evitar "alucinaciones" (datos falsos).</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construir estos criterios generales, la Corte se apoyó en instrumentos de soft law, como la Recomendación sobre la Ética de Inteligencia Artificial de la Unesco (2021) y el Marco Ética para la IA en Colombia (MinTIC, 2021). La trascendencia del fallo radica radica en que constitucionaliza el uso de la VÍA judicial y traslada al operador deberes concretos de transparencia y verificación. No obstante, como se argumenta en esta investigación, sus criterios fueron formulados con vocación general y requieren una especificación para el proceso penal, donde la inmediación y la presunción de inocencia imponen exigencias adicionales.   </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Desarrollo legal </w:t>
      </w:r>
    </w:p>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2.2.1  Ley 2430 de 2024 </w:t>
      </w:r>
      <w:r w:rsidDel="00000000" w:rsidR="00000000" w:rsidRPr="00000000">
        <w:rPr>
          <w:rFonts w:ascii="Times New Roman" w:cs="Times New Roman" w:eastAsia="Times New Roman" w:hAnsi="Times New Roman"/>
          <w:sz w:val="24"/>
          <w:szCs w:val="24"/>
          <w:rtl w:val="0"/>
        </w:rPr>
        <w:t xml:space="preserve">– Congreso de la República Modifica la Ley 270 de 1996 (Ley Estatutaria de Administración de Justicia) y fortalece y moderniza el sistema judicial. Establece que la administración de justicia debe aprovechar las tecnologías de la información y las comunicaciones, y ordena al Consejo Superior de la Judicatura expedir cada cuatro años el Plan de Transformación Digital de la Rama Judicial.</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2.2.2 Acuerdo </w:t>
      </w:r>
      <w:r w:rsidDel="00000000" w:rsidR="00000000" w:rsidRPr="00000000">
        <w:rPr>
          <w:rFonts w:ascii="Times New Roman" w:cs="Times New Roman" w:eastAsia="Times New Roman" w:hAnsi="Times New Roman"/>
          <w:b w:val="1"/>
          <w:bCs w:val="1"/>
          <w:sz w:val="24"/>
          <w:szCs w:val="24"/>
          <w:rtl w:val="0"/>
        </w:rPr>
        <w:t xml:space="preserve">PCSJA24</w:t>
      </w:r>
      <w:r w:rsidDel="00000000" w:rsidR="00000000" w:rsidRPr="00000000">
        <w:rPr>
          <w:rFonts w:ascii="Times New Roman" w:cs="Times New Roman" w:eastAsia="Times New Roman" w:hAnsi="Times New Roman"/>
          <w:b w:val="1"/>
          <w:bCs w:val="1"/>
          <w:sz w:val="24"/>
          <w:szCs w:val="24"/>
          <w:rtl w:val="0"/>
        </w:rPr>
        <w:t xml:space="preserve">-12243 de 2024</w:t>
      </w:r>
      <w:r w:rsidDel="00000000" w:rsidR="00000000" w:rsidRPr="00000000">
        <w:rPr>
          <w:rFonts w:ascii="Times New Roman" w:cs="Times New Roman" w:eastAsia="Times New Roman" w:hAnsi="Times New Roman"/>
          <w:sz w:val="24"/>
          <w:szCs w:val="24"/>
          <w:rtl w:val="0"/>
        </w:rPr>
        <w:t xml:space="preserve"> Adoptado el 16 de diciembre de 2024, establece lineamientos para el uso respetuoso, responsable, seguro y ético de la inteligencia artificial en la Rama Judicial. Aplica a magistrados, jueces y empleados de todas las jurisdicciones y especialidades, y obliga a informar explícitamente el uso de IA en cualquier expediente, actuación o decisión judicial, detallando la herramienta, el modelo, la empresa proveedora y la fecha de uso.</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2.2.3 Circular </w:t>
      </w:r>
      <w:r w:rsidDel="00000000" w:rsidR="00000000" w:rsidRPr="00000000">
        <w:rPr>
          <w:rFonts w:ascii="Times New Roman" w:cs="Times New Roman" w:eastAsia="Times New Roman" w:hAnsi="Times New Roman"/>
          <w:b w:val="1"/>
          <w:bCs w:val="1"/>
          <w:sz w:val="24"/>
          <w:szCs w:val="24"/>
          <w:rtl w:val="0"/>
        </w:rPr>
        <w:t xml:space="preserve">PCSJC24</w:t>
      </w:r>
      <w:r w:rsidDel="00000000" w:rsidR="00000000" w:rsidRPr="00000000">
        <w:rPr>
          <w:rFonts w:ascii="Times New Roman" w:cs="Times New Roman" w:eastAsia="Times New Roman" w:hAnsi="Times New Roman"/>
          <w:b w:val="1"/>
          <w:bCs w:val="1"/>
          <w:sz w:val="24"/>
          <w:szCs w:val="24"/>
          <w:rtl w:val="0"/>
        </w:rPr>
        <w:t xml:space="preserve">-37 de 2024</w:t>
      </w:r>
      <w:r w:rsidDel="00000000" w:rsidR="00000000" w:rsidRPr="00000000">
        <w:rPr>
          <w:rFonts w:ascii="Times New Roman" w:cs="Times New Roman" w:eastAsia="Times New Roman" w:hAnsi="Times New Roman"/>
          <w:sz w:val="24"/>
          <w:szCs w:val="24"/>
          <w:rtl w:val="0"/>
        </w:rPr>
        <w:t xml:space="preserve"> – ABC de la Sentencia T-323 El Consejo Superior de la Judicatura expidió esta circular para poner a disposición el ABC de la Sentencia T-323 de 2024, con lineamientos, principios y criterios orientadores sobre el uso de herramientas de IA generativa en la administración de justicia.</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2.2.4 Proyecto de Ley de Inteligencia Artificial (PL 043-25S / 324-25C) P</w:t>
      </w:r>
      <w:r w:rsidDel="00000000" w:rsidR="00000000" w:rsidRPr="00000000">
        <w:rPr>
          <w:rFonts w:ascii="Times New Roman" w:cs="Times New Roman" w:eastAsia="Times New Roman" w:hAnsi="Times New Roman"/>
          <w:sz w:val="24"/>
          <w:szCs w:val="24"/>
          <w:rtl w:val="0"/>
        </w:rPr>
        <w:t xml:space="preserve">royecto en trámite en el Congreso que propone una regulación basada en riesgos con cuatro niveles, crea la Autoridad Nacional para la Inteligencia Artificial en cabeza del Min Ciencias, y designa a la Superintendencia de Industria y Comercio como autoridad de inspección y vigilancia.</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8C">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p>
    <w:p w:rsidR="00000000" w:rsidDel="00000000" w:rsidP="00000000" w:rsidRDefault="00000000" w:rsidRPr="00000000" w14:paraId="0000008D">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Marco normativo e institucional colombiano sobre IA y justicia</w:t>
      </w:r>
    </w:p>
    <w:tbl>
      <w:tblPr>
        <w:tblStyle w:val="Table2"/>
        <w:tblW w:w="95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3610.000000000001"/>
        <w:tblGridChange w:id="0">
          <w:tblGrid>
            <w:gridCol w:w="2955"/>
            <w:gridCol w:w="2970"/>
            <w:gridCol w:w="3610.000000000001"/>
          </w:tblGrid>
        </w:tblGridChange>
      </w:tblGrid>
      <w:tr>
        <w:trPr>
          <w:cantSplit w:val="0"/>
          <w:trHeight w:val="390" w:hRule="atLeast"/>
          <w:tblHeader w:val="0"/>
        </w:trPr>
        <w:tc>
          <w:tcPr>
            <w:tcBorders>
              <w:top w:color="666666" w:space="0" w:sz="7" w:val="single"/>
              <w:left w:color="666666" w:space="0" w:sz="7" w:val="single"/>
              <w:bottom w:color="999999" w:space="0" w:sz="7" w:val="single"/>
              <w:right w:color="999999"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8E">
            <w:pPr>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w:t>
            </w:r>
          </w:p>
        </w:tc>
        <w:tc>
          <w:tcPr>
            <w:tcBorders>
              <w:top w:color="666666" w:space="0" w:sz="7" w:val="single"/>
              <w:left w:color="000000" w:space="0" w:sz="0" w:val="nil"/>
              <w:bottom w:color="999999" w:space="0" w:sz="7" w:val="single"/>
              <w:right w:color="999999"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8F">
            <w:pPr>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Naturaleza</w:t>
            </w:r>
          </w:p>
        </w:tc>
        <w:tc>
          <w:tcPr>
            <w:tcBorders>
              <w:top w:color="666666" w:space="0" w:sz="7" w:val="single"/>
              <w:left w:color="000000" w:space="0" w:sz="0" w:val="nil"/>
              <w:bottom w:color="999999" w:space="0" w:sz="7" w:val="single"/>
              <w:right w:color="666666" w:space="0" w:sz="7" w:val="single"/>
            </w:tcBorders>
            <w:shd w:fill="e7e6e6" w:val="clear"/>
            <w:tcMar>
              <w:top w:w="40.0" w:type="dxa"/>
              <w:left w:w="80.0" w:type="dxa"/>
              <w:bottom w:w="40.0" w:type="dxa"/>
              <w:right w:w="80.0" w:type="dxa"/>
            </w:tcMar>
            <w:vAlign w:val="top"/>
          </w:tcPr>
          <w:p w:rsidR="00000000" w:rsidDel="00000000" w:rsidP="00000000" w:rsidRDefault="00000000" w:rsidRPr="00000000" w14:paraId="00000090">
            <w:pPr>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1">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Constitución Política (1991)</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2">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Constitucional</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93">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Dignidad, debido proceso (art. 29), igualdad, habeas data</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4">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270 de 1996 (mod. Ley 2430 de 2024)</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5">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Estatutaria</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96">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Transformación digital de la Rama Judicial</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7">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906 de 2004</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8">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Procesal penal</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99">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acusatorio: inmediación, contradicción</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A">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2213 de 2022</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B">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Ordinaria</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9C">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TIC en actuaciones judiciales</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D">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Sentencia T-323 de 2024</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9E">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Jurisprudencial</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9F">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Principios para la IA generativa judicial</w:t>
            </w:r>
          </w:p>
        </w:tc>
      </w:tr>
      <w:tr>
        <w:trPr>
          <w:cantSplit w:val="0"/>
          <w:trHeight w:val="645"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0">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Acuerdo </w:t>
            </w:r>
            <w:r w:rsidDel="00000000" w:rsidR="00000000" w:rsidRPr="00000000">
              <w:rPr>
                <w:rFonts w:ascii="Times New Roman" w:cs="Times New Roman" w:eastAsia="Times New Roman" w:hAnsi="Times New Roman"/>
                <w:sz w:val="24"/>
                <w:szCs w:val="24"/>
                <w:rtl w:val="0"/>
              </w:rPr>
              <w:t xml:space="preserve">PCSJA24</w:t>
            </w:r>
            <w:r w:rsidDel="00000000" w:rsidR="00000000" w:rsidRPr="00000000">
              <w:rPr>
                <w:rFonts w:ascii="Times New Roman" w:cs="Times New Roman" w:eastAsia="Times New Roman" w:hAnsi="Times New Roman"/>
                <w:sz w:val="24"/>
                <w:szCs w:val="24"/>
                <w:rtl w:val="0"/>
              </w:rPr>
              <w:t xml:space="preserve">-12243 de 2024</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1">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Reglamentaria (CSJ)</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A2">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 de revelación detallada del uso de IA</w:t>
            </w:r>
          </w:p>
        </w:tc>
      </w:tr>
      <w:tr>
        <w:trPr>
          <w:cantSplit w:val="0"/>
          <w:trHeight w:val="390" w:hRule="atLeast"/>
          <w:tblHeader w:val="0"/>
        </w:trPr>
        <w:tc>
          <w:tcPr>
            <w:tcBorders>
              <w:top w:color="000000" w:space="0" w:sz="0" w:val="nil"/>
              <w:left w:color="666666" w:space="0" w:sz="7" w:val="single"/>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3">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w:t>
            </w:r>
            <w:r w:rsidDel="00000000" w:rsidR="00000000" w:rsidRPr="00000000">
              <w:rPr>
                <w:rFonts w:ascii="Times New Roman" w:cs="Times New Roman" w:eastAsia="Times New Roman" w:hAnsi="Times New Roman"/>
                <w:sz w:val="24"/>
                <w:szCs w:val="24"/>
                <w:rtl w:val="0"/>
              </w:rPr>
              <w:t xml:space="preserve">PCSJC24</w:t>
            </w:r>
            <w:r w:rsidDel="00000000" w:rsidR="00000000" w:rsidRPr="00000000">
              <w:rPr>
                <w:rFonts w:ascii="Times New Roman" w:cs="Times New Roman" w:eastAsia="Times New Roman" w:hAnsi="Times New Roman"/>
                <w:sz w:val="24"/>
                <w:szCs w:val="24"/>
                <w:rtl w:val="0"/>
              </w:rPr>
              <w:t xml:space="preserve">-37 de 2024</w:t>
            </w:r>
          </w:p>
        </w:tc>
        <w:tc>
          <w:tcPr>
            <w:tcBorders>
              <w:top w:color="000000" w:space="0" w:sz="0" w:val="nil"/>
              <w:left w:color="000000" w:space="0" w:sz="0" w:val="nil"/>
              <w:bottom w:color="999999"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4">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Reglamentaria (CSJ)</w:t>
            </w:r>
          </w:p>
        </w:tc>
        <w:tc>
          <w:tcPr>
            <w:tcBorders>
              <w:top w:color="000000" w:space="0" w:sz="0" w:val="nil"/>
              <w:left w:color="000000" w:space="0" w:sz="0" w:val="nil"/>
              <w:bottom w:color="999999"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A5">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de la T-323</w:t>
            </w:r>
          </w:p>
        </w:tc>
      </w:tr>
      <w:tr>
        <w:trPr>
          <w:cantSplit w:val="0"/>
          <w:trHeight w:val="390" w:hRule="atLeast"/>
          <w:tblHeader w:val="0"/>
        </w:trPr>
        <w:tc>
          <w:tcPr>
            <w:tcBorders>
              <w:top w:color="000000" w:space="0" w:sz="0" w:val="nil"/>
              <w:left w:color="666666" w:space="0" w:sz="7" w:val="single"/>
              <w:bottom w:color="666666"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6">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 043-25S / 324-25C</w:t>
            </w:r>
          </w:p>
        </w:tc>
        <w:tc>
          <w:tcPr>
            <w:tcBorders>
              <w:top w:color="000000" w:space="0" w:sz="0" w:val="nil"/>
              <w:left w:color="000000" w:space="0" w:sz="0" w:val="nil"/>
              <w:bottom w:color="666666" w:space="0" w:sz="7" w:val="single"/>
              <w:right w:color="999999" w:space="0" w:sz="7" w:val="single"/>
            </w:tcBorders>
            <w:tcMar>
              <w:top w:w="40.0" w:type="dxa"/>
              <w:left w:w="80.0" w:type="dxa"/>
              <w:bottom w:w="40.0" w:type="dxa"/>
              <w:right w:w="80.0" w:type="dxa"/>
            </w:tcMar>
            <w:vAlign w:val="top"/>
          </w:tcPr>
          <w:p w:rsidR="00000000" w:rsidDel="00000000" w:rsidP="00000000" w:rsidRDefault="00000000" w:rsidRPr="00000000" w14:paraId="000000A7">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ley</w:t>
            </w:r>
          </w:p>
        </w:tc>
        <w:tc>
          <w:tcPr>
            <w:tcBorders>
              <w:top w:color="000000" w:space="0" w:sz="0" w:val="nil"/>
              <w:left w:color="000000" w:space="0" w:sz="0" w:val="nil"/>
              <w:bottom w:color="666666" w:space="0" w:sz="7" w:val="single"/>
              <w:right w:color="666666" w:space="0" w:sz="7" w:val="single"/>
            </w:tcBorders>
            <w:tcMar>
              <w:top w:w="40.0" w:type="dxa"/>
              <w:left w:w="80.0" w:type="dxa"/>
              <w:bottom w:w="40.0" w:type="dxa"/>
              <w:right w:w="80.0" w:type="dxa"/>
            </w:tcMar>
            <w:vAlign w:val="top"/>
          </w:tcPr>
          <w:p w:rsidR="00000000" w:rsidDel="00000000" w:rsidP="00000000" w:rsidRDefault="00000000" w:rsidRPr="00000000" w14:paraId="000000A8">
            <w:pPr>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Regulación por niveles de riesgo</w:t>
            </w:r>
          </w:p>
        </w:tc>
      </w:tr>
    </w:tbl>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con base en la normativa citada.</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Marco institucional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de la política pública, en el Marco Ético para la Inteligencia Artificial en Colombia (MinTIC, 2021) y en el documento CONPES 3975 de 2019 establecen principios orientadores para el uso de la IA en el Estado, referenciados por la jurisprudencia, En el plano doctrinal, la investigación dialoga con los trabajos de Suárez Manrique y De León Vargas (2019) y Suárez Manrique et al. (2023)  sobre la aplicabilidad de la IA en el derecho colombiano, así como con los estudios sobre sesgos algorítmicos en el poder judicial (Duitama Pulido, 2022)  y sobre modelos de predicción de decisiones (Galvis Vega et al., 2022).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w:t>
      </w:r>
      <w:r w:rsidDel="00000000" w:rsidR="00000000" w:rsidRPr="00000000">
        <w:rPr>
          <w:rFonts w:ascii="Times New Roman" w:cs="Times New Roman" w:eastAsia="Times New Roman" w:hAnsi="Times New Roman"/>
          <w:b w:val="1"/>
          <w:bCs w:val="1"/>
          <w:sz w:val="26"/>
          <w:szCs w:val="26"/>
          <w:rtl w:val="0"/>
        </w:rPr>
        <w:t xml:space="preserve">Marco demográfico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administración de justicia penal colombiano, que comprende los despachos penales de la Corte Suprema de Justicia (Sala de Casación Penal), los Tribunales Superiores del Distrito Judicial, los Juzgados Penales del Circuito (especializados y ordinarios) y los Juzgados Penales Municipales. Según el Consejo Superior de la Judicatura (2023), existen aproximadamente 1.500 despachos con competencia penal, atendidos por más de 6.000 entre jueces, magistrados y conjueces. A ellos se suman 5.000 fiscales de la Fiscalía General de la Nación y cerca de 1.800 defensores públicos del Sistema Nacional de Defensoría Pública. El dimensionamiento de este universo es relevante para calibrar la magnitud del desafío regulatorio y formativo que implica la incorporación de la IA.</w:t>
      </w:r>
    </w:p>
    <w:p w:rsidR="00000000" w:rsidDel="00000000" w:rsidP="00000000" w:rsidRDefault="00000000" w:rsidRPr="00000000" w14:paraId="000000AF">
      <w:pPr>
        <w:widowControl w:val="0"/>
        <w:spacing w:before="272.3199462890625" w:line="360" w:lineRule="auto"/>
        <w:ind w:left="550.119934082031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Aproximación estado del arte   </w:t>
      </w:r>
    </w:p>
    <w:p w:rsidR="00000000" w:rsidDel="00000000" w:rsidP="00000000" w:rsidRDefault="00000000" w:rsidRPr="00000000" w14:paraId="000000B0">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 corrientes doctrinales confluyen en el análisis del problema: la teoría garantista del derecho penal, la teoría de la inteligencia artificial aplicada al derecho, y la teoría de los derechos fundamentales en la era digital.</w:t>
      </w:r>
    </w:p>
    <w:p w:rsidR="00000000" w:rsidDel="00000000" w:rsidP="00000000" w:rsidRDefault="00000000" w:rsidRPr="00000000" w14:paraId="000000B1">
      <w:pPr>
        <w:widowControl w:val="0"/>
        <w:spacing w:before="272.319946289062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2.7 </w:t>
      </w:r>
      <w:r w:rsidDel="00000000" w:rsidR="00000000" w:rsidRPr="00000000">
        <w:rPr>
          <w:rFonts w:ascii="Times New Roman" w:cs="Times New Roman" w:eastAsia="Times New Roman" w:hAnsi="Times New Roman"/>
          <w:b w:val="1"/>
          <w:bCs w:val="1"/>
          <w:sz w:val="24"/>
          <w:szCs w:val="24"/>
          <w:rtl w:val="0"/>
        </w:rPr>
        <w:t xml:space="preserve">MARCO TEÓRICO.</w:t>
      </w:r>
    </w:p>
    <w:p w:rsidR="00000000" w:rsidDel="00000000" w:rsidP="00000000" w:rsidRDefault="00000000" w:rsidRPr="00000000" w14:paraId="000000B2">
      <w:pPr>
        <w:widowControl w:val="0"/>
        <w:spacing w:before="272.319946289062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2.7.1 La teoría garantista del derecho penal: Garantismo penal y límites al poder punitivo. </w:t>
      </w:r>
    </w:p>
    <w:p w:rsidR="00000000" w:rsidDel="00000000" w:rsidP="00000000" w:rsidRDefault="00000000" w:rsidRPr="00000000" w14:paraId="000000B3">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es la teoría del garantismo penal de Luigi Ferrajoli. Para el autor, el derecho penal legítimo no se define por la severidad de la sanción ni por la eficiencia del aparato punitivo, sino por la existencia de límites jurídicos al poder del Estado. El modelo garantista exige que la acusación, la prueba, el juicio y la decisión estén sometidos a reglas verificables y a derechos fundamentales. </w:t>
      </w:r>
    </w:p>
    <w:p w:rsidR="00000000" w:rsidDel="00000000" w:rsidP="00000000" w:rsidRDefault="00000000" w:rsidRPr="00000000" w14:paraId="000000B4">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perspectiva resulta especialmente pertinente frente a la inteligencia artificial. La tecnología puede aumentar la capacidad operativa del sistema judicial, pero no puede convertir la probabilidad estadística en prueba de responsabilidad, ni la predicción de riesgo en fundamento autónomo de una restricción de la libertad. En un proceso penal garantista, la IA puede organizar información detectar patrones o apoyar tareas documentales, pero no puede sustituir la imputación individual, la valoración racional de la prueba ni la motivación judicial. </w:t>
      </w:r>
    </w:p>
    <w:p w:rsidR="00000000" w:rsidDel="00000000" w:rsidP="00000000" w:rsidRDefault="00000000" w:rsidRPr="00000000" w14:paraId="000000B5">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Alexy derechos fundamentales como principios que deben fundamentarse mediante juicios de proporcionalidad.</w:t>
      </w:r>
    </w:p>
    <w:p w:rsidR="00000000" w:rsidDel="00000000" w:rsidP="00000000" w:rsidRDefault="00000000" w:rsidRPr="00000000" w14:paraId="000000B6">
      <w:pPr>
        <w:widowControl w:val="0"/>
        <w:spacing w:before="272.319946289062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 La teoría de la inteligencia artificial aplicada al derecho: Inteligencia artificial aplicada a la justicia. </w:t>
      </w:r>
    </w:p>
    <w:p w:rsidR="00000000" w:rsidDel="00000000" w:rsidP="00000000" w:rsidRDefault="00000000" w:rsidRPr="00000000" w14:paraId="000000B7">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Jordi Nieva Fenoll advierte que la IA puede incidir en la valoración de la prueba, la tutela cautelar y la motivación judicial, pero también muestra que el juicio jurisdiccional no puede reducirse a una operación estadística. Su aporte es útil para diferenciar entre la asistencia tecnológica y la sustitución del juicio.  </w:t>
      </w:r>
    </w:p>
    <w:p w:rsidR="00000000" w:rsidDel="00000000" w:rsidP="00000000" w:rsidRDefault="00000000" w:rsidRPr="00000000" w14:paraId="000000B8">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rtl w:val="0"/>
        </w:rPr>
        <w:t xml:space="preserve">IA judicial</w:t>
      </w:r>
      <w:r w:rsidDel="00000000" w:rsidR="00000000" w:rsidRPr="00000000">
        <w:rPr>
          <w:rFonts w:ascii="Times New Roman" w:cs="Times New Roman" w:eastAsia="Times New Roman" w:hAnsi="Times New Roman"/>
          <w:sz w:val="24"/>
          <w:szCs w:val="24"/>
          <w:rtl w:val="0"/>
        </w:rPr>
        <w:t xml:space="preserve"> debe estudiarse bajo cuatro niveles de incidencia: </w:t>
      </w:r>
    </w:p>
    <w:p w:rsidR="00000000" w:rsidDel="00000000" w:rsidP="00000000" w:rsidRDefault="00000000" w:rsidRPr="00000000" w14:paraId="000000B9">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0 Administrativo: </w:t>
      </w:r>
      <w:r w:rsidDel="00000000" w:rsidR="00000000" w:rsidRPr="00000000">
        <w:rPr>
          <w:rFonts w:ascii="Times New Roman" w:cs="Times New Roman" w:eastAsia="Times New Roman" w:hAnsi="Times New Roman"/>
          <w:sz w:val="24"/>
          <w:szCs w:val="24"/>
          <w:rtl w:val="0"/>
        </w:rPr>
        <w:t xml:space="preserve">clasificación, radicación, agenda, anonimización o gestión documental, sin influencia en el contenido de la decisión. </w:t>
      </w:r>
    </w:p>
    <w:p w:rsidR="00000000" w:rsidDel="00000000" w:rsidP="00000000" w:rsidRDefault="00000000" w:rsidRPr="00000000" w14:paraId="000000BA">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1, Documental: </w:t>
      </w:r>
      <w:r w:rsidDel="00000000" w:rsidR="00000000" w:rsidRPr="00000000">
        <w:rPr>
          <w:rFonts w:ascii="Times New Roman" w:cs="Times New Roman" w:eastAsia="Times New Roman" w:hAnsi="Times New Roman"/>
          <w:sz w:val="24"/>
          <w:szCs w:val="24"/>
          <w:rtl w:val="0"/>
        </w:rPr>
        <w:t xml:space="preserve">transcripción, resumen, búsqueda normativa, traducción o corrección, siempre con verificación humana. </w:t>
      </w:r>
    </w:p>
    <w:p w:rsidR="00000000" w:rsidDel="00000000" w:rsidP="00000000" w:rsidRDefault="00000000" w:rsidRPr="00000000" w14:paraId="000000BB">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2, analítico: </w:t>
      </w:r>
      <w:r w:rsidDel="00000000" w:rsidR="00000000" w:rsidRPr="00000000">
        <w:rPr>
          <w:rFonts w:ascii="Times New Roman" w:cs="Times New Roman" w:eastAsia="Times New Roman" w:hAnsi="Times New Roman"/>
          <w:sz w:val="24"/>
          <w:szCs w:val="24"/>
          <w:rtl w:val="0"/>
        </w:rPr>
        <w:t xml:space="preserve">Identificación de precedentes, comparación de argumentos, detección de inconsistencias o apoyo a la organización probatoria. </w:t>
      </w:r>
    </w:p>
    <w:p w:rsidR="00000000" w:rsidDel="00000000" w:rsidP="00000000" w:rsidRDefault="00000000" w:rsidRPr="00000000" w14:paraId="000000BC">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3, decisional: </w:t>
      </w:r>
      <w:r w:rsidDel="00000000" w:rsidR="00000000" w:rsidRPr="00000000">
        <w:rPr>
          <w:rFonts w:ascii="Times New Roman" w:cs="Times New Roman" w:eastAsia="Times New Roman" w:hAnsi="Times New Roman"/>
          <w:sz w:val="24"/>
          <w:szCs w:val="24"/>
          <w:rtl w:val="0"/>
        </w:rPr>
        <w:t xml:space="preserve">predicción de resultados, evaluación de riesgo, recomendación de medidas cautelares o sugerencia de sentido del fallo, lo cual indica que este nivel debería estar totalmente prohibido en la mayoría de los casos. </w:t>
      </w:r>
    </w:p>
    <w:p w:rsidR="00000000" w:rsidDel="00000000" w:rsidP="00000000" w:rsidRDefault="00000000" w:rsidRPr="00000000" w14:paraId="000000BD">
      <w:pPr>
        <w:widowControl w:val="0"/>
        <w:spacing w:before="272.3199462890625"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360" w:lineRule="auto"/>
        <w:ind w:left="7.92007446289062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FORMULACIÓN DE HIPÓTESIS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360" w:lineRule="auto"/>
        <w:ind w:left="7.92007446289062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la inteligencia artificial en el proceso penal colombiano, tal como se viene practicando en la actualidad, no cumple con los requisitos de transparencia, verificabilidad y supervisión humana exigidos por la Sentencia T-323 de 2024 y los principios garantistas del derecho penal, generando riesgos de vulneración de los derechos fundamentales de los intervinientes en el proceso, en particular del imputado o acusado. En consecuencia, solo un modelo de justicia aumentada, bajo el sustento de un protocolo de transparencia algorítmica y un test de compatibilidad constitucional escalonado permite armonizar la eficiencia tecnológica con las garantías del debido proceso penal.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2.16003417968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TRATAMIENTO DE VARIABLES  </w:t>
      </w:r>
    </w:p>
    <w:p w:rsidR="00000000" w:rsidDel="00000000" w:rsidP="00000000" w:rsidRDefault="00000000" w:rsidRPr="00000000" w14:paraId="000000C1">
      <w:pPr>
        <w:widowControl w:val="0"/>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tratamiento de variables en esta investigación se estructura a partir de la naturaleza cualitativa del estudio, que examina fenómenos jurídicos, normativos y jurisprudenciales cuya comprensión no es susceptible de cuantificación simple. No obstante, se identifican variables analíticas que orientan el desarrollo de la investigación.</w:t>
      </w:r>
    </w:p>
    <w:p w:rsidR="00000000" w:rsidDel="00000000" w:rsidP="00000000" w:rsidRDefault="00000000" w:rsidRPr="00000000" w14:paraId="000000C2">
      <w:pPr>
        <w:widowControl w:val="0"/>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w:t>
      </w:r>
    </w:p>
    <w:p w:rsidR="00000000" w:rsidDel="00000000" w:rsidP="00000000" w:rsidRDefault="00000000" w:rsidRPr="00000000" w14:paraId="000000C3">
      <w:pPr>
        <w:widowControl w:val="0"/>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Operacionalización de variables analíticas</w:t>
      </w:r>
    </w:p>
    <w:p w:rsidR="00000000" w:rsidDel="00000000" w:rsidP="00000000" w:rsidRDefault="00000000" w:rsidRPr="00000000" w14:paraId="000000C4">
      <w:pPr>
        <w:widowControl w:val="0"/>
        <w:spacing w:after="120" w:line="36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3"/>
        <w:tblW w:w="9563.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340"/>
        <w:gridCol w:w="2783.333333333333"/>
        <w:tblGridChange w:id="0">
          <w:tblGrid>
            <w:gridCol w:w="2220"/>
            <w:gridCol w:w="2220"/>
            <w:gridCol w:w="2340"/>
            <w:gridCol w:w="2783.333333333333"/>
          </w:tblGrid>
        </w:tblGridChange>
      </w:tblGrid>
      <w:tr>
        <w:trPr>
          <w:cantSplit w:val="0"/>
          <w:trHeight w:val="630" w:hRule="atLeast"/>
          <w:tblHeader w:val="0"/>
        </w:trPr>
        <w:tc>
          <w:tcPr>
            <w:tcBorders>
              <w:top w:color="666666" w:space="0" w:sz="6" w:val="single"/>
              <w:left w:color="666666" w:space="0" w:sz="6" w:val="single"/>
              <w:bottom w:color="999999" w:space="0" w:sz="6" w:val="single"/>
              <w:right w:color="999999" w:space="0" w:sz="6" w:val="single"/>
            </w:tcBorders>
            <w:shd w:fill="e7e6e6" w:val="clear"/>
            <w:tcMar>
              <w:top w:w="40.0" w:type="dxa"/>
              <w:left w:w="80.0" w:type="dxa"/>
              <w:bottom w:w="40.0" w:type="dxa"/>
              <w:right w:w="80.0" w:type="dxa"/>
            </w:tcMar>
            <w:vAlign w:val="top"/>
          </w:tcPr>
          <w:p w:rsidR="00000000" w:rsidDel="00000000" w:rsidP="00000000" w:rsidRDefault="00000000" w:rsidRPr="00000000" w14:paraId="000000C5">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tcBorders>
              <w:top w:color="666666" w:space="0" w:sz="6" w:val="single"/>
              <w:left w:color="000000" w:space="0" w:sz="0" w:val="nil"/>
              <w:bottom w:color="999999" w:space="0" w:sz="6" w:val="single"/>
              <w:right w:color="999999" w:space="0" w:sz="6" w:val="single"/>
            </w:tcBorders>
            <w:shd w:fill="e7e6e6" w:val="clear"/>
            <w:tcMar>
              <w:top w:w="40.0" w:type="dxa"/>
              <w:left w:w="80.0" w:type="dxa"/>
              <w:bottom w:w="40.0" w:type="dxa"/>
              <w:right w:w="80.0" w:type="dxa"/>
            </w:tcMar>
            <w:vAlign w:val="top"/>
          </w:tcPr>
          <w:p w:rsidR="00000000" w:rsidDel="00000000" w:rsidP="00000000" w:rsidRDefault="00000000" w:rsidRPr="00000000" w14:paraId="000000C6">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666666" w:space="0" w:sz="6" w:val="single"/>
              <w:left w:color="000000" w:space="0" w:sz="0" w:val="nil"/>
              <w:bottom w:color="999999" w:space="0" w:sz="6" w:val="single"/>
              <w:right w:color="999999" w:space="0" w:sz="6" w:val="single"/>
            </w:tcBorders>
            <w:shd w:fill="e7e6e6" w:val="clear"/>
            <w:tcMar>
              <w:top w:w="40.0" w:type="dxa"/>
              <w:left w:w="80.0" w:type="dxa"/>
              <w:bottom w:w="40.0" w:type="dxa"/>
              <w:right w:w="80.0" w:type="dxa"/>
            </w:tcMar>
            <w:vAlign w:val="top"/>
          </w:tcPr>
          <w:p w:rsidR="00000000" w:rsidDel="00000000" w:rsidP="00000000" w:rsidRDefault="00000000" w:rsidRPr="00000000" w14:paraId="000000C7">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operativa</w:t>
            </w:r>
          </w:p>
        </w:tc>
        <w:tc>
          <w:tcPr>
            <w:tcBorders>
              <w:top w:color="666666" w:space="0" w:sz="6" w:val="single"/>
              <w:left w:color="000000" w:space="0" w:sz="0" w:val="nil"/>
              <w:bottom w:color="999999" w:space="0" w:sz="6" w:val="single"/>
              <w:right w:color="666666" w:space="0" w:sz="6" w:val="single"/>
            </w:tcBorders>
            <w:shd w:fill="e7e6e6" w:val="clear"/>
            <w:tcMar>
              <w:top w:w="40.0" w:type="dxa"/>
              <w:left w:w="80.0" w:type="dxa"/>
              <w:bottom w:w="40.0" w:type="dxa"/>
              <w:right w:w="80.0" w:type="dxa"/>
            </w:tcMar>
            <w:vAlign w:val="top"/>
          </w:tcPr>
          <w:p w:rsidR="00000000" w:rsidDel="00000000" w:rsidP="00000000" w:rsidRDefault="00000000" w:rsidRPr="00000000" w14:paraId="000000C8">
            <w:pPr>
              <w:widowControl w:val="0"/>
              <w:spacing w:after="20" w:lineRule="auto"/>
              <w:ind w:left="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 categorías de análisis</w:t>
            </w:r>
          </w:p>
        </w:tc>
      </w:tr>
      <w:tr>
        <w:trPr>
          <w:cantSplit w:val="0"/>
          <w:trHeight w:val="1140" w:hRule="atLeast"/>
          <w:tblHeader w:val="0"/>
        </w:trPr>
        <w:tc>
          <w:tcPr>
            <w:tcBorders>
              <w:top w:color="000000" w:space="0" w:sz="0" w:val="nil"/>
              <w:left w:color="666666" w:space="0" w:sz="6" w:val="single"/>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9">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IA en el proceso penal</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A">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Independiente</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B">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Empleo de herramientas de IA por jueces, fiscales y defensores en actuaciones penales</w:t>
            </w:r>
          </w:p>
        </w:tc>
        <w:tc>
          <w:tcPr>
            <w:tcBorders>
              <w:top w:color="000000" w:space="0" w:sz="0" w:val="nil"/>
              <w:left w:color="000000" w:space="0" w:sz="0" w:val="nil"/>
              <w:bottom w:color="999999" w:space="0" w:sz="6" w:val="single"/>
              <w:right w:color="666666" w:space="0" w:sz="6" w:val="single"/>
            </w:tcBorders>
            <w:tcMar>
              <w:top w:w="40.0" w:type="dxa"/>
              <w:left w:w="80.0" w:type="dxa"/>
              <w:bottom w:w="40.0" w:type="dxa"/>
              <w:right w:w="80.0" w:type="dxa"/>
            </w:tcMar>
            <w:vAlign w:val="top"/>
          </w:tcPr>
          <w:p w:rsidR="00000000" w:rsidDel="00000000" w:rsidP="00000000" w:rsidRDefault="00000000" w:rsidRPr="00000000" w14:paraId="000000CC">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herramienta; etapa procesal; finalidad (apoyo vs. decisión); revelación del uso</w:t>
            </w:r>
          </w:p>
        </w:tc>
      </w:tr>
      <w:tr>
        <w:trPr>
          <w:cantSplit w:val="0"/>
          <w:trHeight w:val="1650" w:hRule="atLeast"/>
          <w:tblHeader w:val="0"/>
        </w:trPr>
        <w:tc>
          <w:tcPr>
            <w:tcBorders>
              <w:top w:color="000000" w:space="0" w:sz="0" w:val="nil"/>
              <w:left w:color="666666" w:space="0" w:sz="6" w:val="single"/>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D">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Garantías del debido proceso penal</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E">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Dependiente</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CF">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Vigencia efectiva de los principios procesales penales</w:t>
            </w:r>
          </w:p>
        </w:tc>
        <w:tc>
          <w:tcPr>
            <w:tcBorders>
              <w:top w:color="000000" w:space="0" w:sz="0" w:val="nil"/>
              <w:left w:color="000000" w:space="0" w:sz="0" w:val="nil"/>
              <w:bottom w:color="999999" w:space="0" w:sz="6" w:val="single"/>
              <w:right w:color="666666" w:space="0" w:sz="6" w:val="single"/>
            </w:tcBorders>
            <w:tcMar>
              <w:top w:w="40.0" w:type="dxa"/>
              <w:left w:w="80.0" w:type="dxa"/>
              <w:bottom w:w="40.0" w:type="dxa"/>
              <w:right w:w="80.0" w:type="dxa"/>
            </w:tcMar>
            <w:vAlign w:val="top"/>
          </w:tcPr>
          <w:p w:rsidR="00000000" w:rsidDel="00000000" w:rsidP="00000000" w:rsidRDefault="00000000" w:rsidRPr="00000000" w14:paraId="000000D0">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Inmediación; presunción de inocencia; sana crítica; juez natural; deber de motivación; contradicción</w:t>
            </w:r>
          </w:p>
        </w:tc>
      </w:tr>
      <w:tr>
        <w:trPr>
          <w:cantSplit w:val="0"/>
          <w:trHeight w:val="1395" w:hRule="atLeast"/>
          <w:tblHeader w:val="0"/>
        </w:trPr>
        <w:tc>
          <w:tcPr>
            <w:tcBorders>
              <w:top w:color="000000" w:space="0" w:sz="0" w:val="nil"/>
              <w:left w:color="666666" w:space="0" w:sz="6" w:val="single"/>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1">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Transparencia algorítmica</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2">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Interviniente</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3">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de explicabilidad, trazabilidad y revelación del uso de IA</w:t>
            </w:r>
          </w:p>
        </w:tc>
        <w:tc>
          <w:tcPr>
            <w:tcBorders>
              <w:top w:color="000000" w:space="0" w:sz="0" w:val="nil"/>
              <w:left w:color="000000" w:space="0" w:sz="0" w:val="nil"/>
              <w:bottom w:color="999999" w:space="0" w:sz="6" w:val="single"/>
              <w:right w:color="666666" w:space="0" w:sz="6" w:val="single"/>
            </w:tcBorders>
            <w:tcMar>
              <w:top w:w="40.0" w:type="dxa"/>
              <w:left w:w="80.0" w:type="dxa"/>
              <w:bottom w:w="40.0" w:type="dxa"/>
              <w:right w:w="80.0" w:type="dxa"/>
            </w:tcMar>
            <w:vAlign w:val="top"/>
          </w:tcPr>
          <w:p w:rsidR="00000000" w:rsidDel="00000000" w:rsidP="00000000" w:rsidRDefault="00000000" w:rsidRPr="00000000" w14:paraId="000000D4">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Revelación documentada; explicabilidad; auditabilidad; acceso de la defensa</w:t>
            </w:r>
          </w:p>
        </w:tc>
      </w:tr>
      <w:tr>
        <w:trPr>
          <w:cantSplit w:val="0"/>
          <w:trHeight w:val="885" w:hRule="atLeast"/>
          <w:tblHeader w:val="0"/>
        </w:trPr>
        <w:tc>
          <w:tcPr>
            <w:tcBorders>
              <w:top w:color="000000" w:space="0" w:sz="0" w:val="nil"/>
              <w:left w:color="666666" w:space="0" w:sz="6" w:val="single"/>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5">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algorítmicos</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6">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Interviniente</w:t>
            </w:r>
          </w:p>
        </w:tc>
        <w:tc>
          <w:tcPr>
            <w:tcBorders>
              <w:top w:color="000000" w:space="0" w:sz="0" w:val="nil"/>
              <w:left w:color="000000" w:space="0" w:sz="0" w:val="nil"/>
              <w:bottom w:color="999999"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7">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 de alucinaciones y sesgos</w:t>
            </w:r>
          </w:p>
        </w:tc>
        <w:tc>
          <w:tcPr>
            <w:tcBorders>
              <w:top w:color="000000" w:space="0" w:sz="0" w:val="nil"/>
              <w:left w:color="000000" w:space="0" w:sz="0" w:val="nil"/>
              <w:bottom w:color="999999" w:space="0" w:sz="6" w:val="single"/>
              <w:right w:color="666666" w:space="0" w:sz="6" w:val="single"/>
            </w:tcBorders>
            <w:tcMar>
              <w:top w:w="40.0" w:type="dxa"/>
              <w:left w:w="80.0" w:type="dxa"/>
              <w:bottom w:w="40.0" w:type="dxa"/>
              <w:right w:w="80.0" w:type="dxa"/>
            </w:tcMar>
            <w:vAlign w:val="top"/>
          </w:tcPr>
          <w:p w:rsidR="00000000" w:rsidDel="00000000" w:rsidP="00000000" w:rsidRDefault="00000000" w:rsidRPr="00000000" w14:paraId="000000D8">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error; sesgos en datos de entrenamiento; opacidad ("caja negra")</w:t>
            </w:r>
          </w:p>
        </w:tc>
      </w:tr>
      <w:tr>
        <w:trPr>
          <w:cantSplit w:val="0"/>
          <w:trHeight w:val="1140" w:hRule="atLeast"/>
          <w:tblHeader w:val="0"/>
        </w:trPr>
        <w:tc>
          <w:tcPr>
            <w:tcBorders>
              <w:top w:color="000000" w:space="0" w:sz="0" w:val="nil"/>
              <w:left w:color="666666" w:space="0" w:sz="6" w:val="single"/>
              <w:bottom w:color="666666"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9">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humano significativo</w:t>
            </w:r>
          </w:p>
        </w:tc>
        <w:tc>
          <w:tcPr>
            <w:tcBorders>
              <w:top w:color="000000" w:space="0" w:sz="0" w:val="nil"/>
              <w:left w:color="000000" w:space="0" w:sz="0" w:val="nil"/>
              <w:bottom w:color="666666"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A">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Moderadora</w:t>
            </w:r>
          </w:p>
        </w:tc>
        <w:tc>
          <w:tcPr>
            <w:tcBorders>
              <w:top w:color="000000" w:space="0" w:sz="0" w:val="nil"/>
              <w:left w:color="000000" w:space="0" w:sz="0" w:val="nil"/>
              <w:bottom w:color="666666" w:space="0" w:sz="6" w:val="single"/>
              <w:right w:color="999999" w:space="0" w:sz="6" w:val="single"/>
            </w:tcBorders>
            <w:tcMar>
              <w:top w:w="40.0" w:type="dxa"/>
              <w:left w:w="80.0" w:type="dxa"/>
              <w:bottom w:w="40.0" w:type="dxa"/>
              <w:right w:w="80.0" w:type="dxa"/>
            </w:tcMar>
            <w:vAlign w:val="top"/>
          </w:tcPr>
          <w:p w:rsidR="00000000" w:rsidDel="00000000" w:rsidP="00000000" w:rsidRDefault="00000000" w:rsidRPr="00000000" w14:paraId="000000DB">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real del operador de verificar, corregir o descartar la salida del sistema</w:t>
            </w:r>
          </w:p>
        </w:tc>
        <w:tc>
          <w:tcPr>
            <w:tcBorders>
              <w:top w:color="000000" w:space="0" w:sz="0" w:val="nil"/>
              <w:left w:color="000000" w:space="0" w:sz="0" w:val="nil"/>
              <w:bottom w:color="666666" w:space="0" w:sz="6" w:val="single"/>
              <w:right w:color="666666" w:space="0" w:sz="6" w:val="single"/>
            </w:tcBorders>
            <w:tcMar>
              <w:top w:w="40.0" w:type="dxa"/>
              <w:left w:w="80.0" w:type="dxa"/>
              <w:bottom w:w="40.0" w:type="dxa"/>
              <w:right w:w="80.0" w:type="dxa"/>
            </w:tcMar>
            <w:vAlign w:val="top"/>
          </w:tcPr>
          <w:p w:rsidR="00000000" w:rsidDel="00000000" w:rsidP="00000000" w:rsidRDefault="00000000" w:rsidRPr="00000000" w14:paraId="000000DC">
            <w:pPr>
              <w:widowControl w:val="0"/>
              <w:spacing w:after="20" w:lineRule="auto"/>
              <w:ind w:lef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fuentes; motivación autónoma; decisión final humana</w:t>
            </w:r>
          </w:p>
        </w:tc>
      </w:tr>
    </w:tbl>
    <w:p w:rsidR="00000000" w:rsidDel="00000000" w:rsidP="00000000" w:rsidRDefault="00000000" w:rsidRPr="00000000" w14:paraId="000000DD">
      <w:pPr>
        <w:widowControl w:val="0"/>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360" w:lineRule="auto"/>
        <w:ind w:left="7.92007446289062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METODOLÓGICO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50.599975585937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Tipo de investigación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50.599975585937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adopta un enfoque cualitativo de naturaleza jurídica, fundamentado en la investigación socio-jurídica y el análisis documental. El diseño metodológico es de tipo descriptivo-</w:t>
      </w:r>
      <w:r w:rsidDel="00000000" w:rsidR="00000000" w:rsidRPr="00000000">
        <w:rPr>
          <w:rFonts w:ascii="Times New Roman" w:cs="Times New Roman" w:eastAsia="Times New Roman" w:hAnsi="Times New Roman"/>
          <w:sz w:val="24"/>
          <w:szCs w:val="24"/>
          <w:rtl w:val="0"/>
        </w:rPr>
        <w:t xml:space="preserve">propositivo</w:t>
      </w:r>
      <w:r w:rsidDel="00000000" w:rsidR="00000000" w:rsidRPr="00000000">
        <w:rPr>
          <w:rFonts w:ascii="Times New Roman" w:cs="Times New Roman" w:eastAsia="Times New Roman" w:hAnsi="Times New Roman"/>
          <w:sz w:val="24"/>
          <w:szCs w:val="24"/>
          <w:rtl w:val="0"/>
        </w:rPr>
        <w:t xml:space="preserve">, en cuanto identifica y sistematiza el estado actual  uso de la IA en la justicia penal colombiana; y propositivo, en cuanto fórmula parámetros y protocolos específicos para la regulación. El método predominante es el analitico- sintetico, complementado hermenéutico (para la interpretación de normas y jurisprudencia) y el método comparado (para el análisis de ordenamientos extranjeros).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derecho comparado constituye un componente metodológico fundamental de esta investigación, pues permite identificar tendencias globales en la regulación de la IA en la justicia penal y extraer lecciones aplicables al contexto colombiano. La selección de los ordenamientos jurídicos comparados responde a criterios de relevancia normativa y relevancia contextual.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Técnicas e instrumentos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emplean 3 técnicas (i) el análisis documental de fuentes normativas, jurisprudenciales y doctrinales, mediante fichas de análisis. (ii) el análisis jurisprudencial estructurado de la sentencia T-323 de 2024 y de los precedentes relevantes, identificado hechos, problema jurídico, ratio decidendi y obiter dicta; (iii) el análisis de derecho comparado, mediante una matriz que contrasta los ordenamientos ser  seleccionados según criterios homogéneos.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Selección de los ordenamientos comparados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la Unión Europea, los Estados Unidos, Argentina y Brasil responde a criterios de relevancia normativa (existencia de regulación o jurisprudencia significativa sobre IA judicial) y de relevancia contextual (proximidad jurídica o influencia sobre el constitucionalismo colombiano).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6.95999145507812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IMPACTO ESPERADO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CRONOGRAMAS DE ACTIVIDADES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9.12002563476562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widowControl w:val="0"/>
        <w:spacing w:before="267.520141601562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CAPÍTULO 2</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 RIESGOS DE ALUCINACIONES ALGORÍTMICAS Y SESGOS EN EL PROCESO PENAL </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Categorizar los riesgos de alucinaciones algorítmicas y sesgos en el proceso penal Determinar los parámetros y garantías que se han usado en la implementación de la inteligencia artificial por las partes que intervienen en un proceso judicial. )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BIBLIOGRAFÍA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Duitama Pulido, E. A. (2022). Sesgos algorítmicos e inteligencia artificial en el poder judicial. En </w:t>
      </w:r>
      <w:r w:rsidDel="00000000" w:rsidR="00000000" w:rsidRPr="00000000">
        <w:rPr>
          <w:rFonts w:ascii="Times New Roman" w:cs="Times New Roman" w:eastAsia="Times New Roman" w:hAnsi="Times New Roman"/>
          <w:i w:val="1"/>
          <w:iCs w:val="1"/>
          <w:sz w:val="24"/>
          <w:szCs w:val="24"/>
          <w:rtl w:val="0"/>
        </w:rPr>
        <w:t xml:space="preserve">El derecho como laboratorio de saberes</w:t>
      </w:r>
      <w:r w:rsidDel="00000000" w:rsidR="00000000" w:rsidRPr="00000000">
        <w:rPr>
          <w:rFonts w:ascii="Times New Roman" w:cs="Times New Roman" w:eastAsia="Times New Roman" w:hAnsi="Times New Roman"/>
          <w:sz w:val="24"/>
          <w:szCs w:val="24"/>
          <w:rtl w:val="0"/>
        </w:rPr>
        <w:t xml:space="preserve">. Editorial Universidad del Rosario.</w:t>
      </w:r>
    </w:p>
    <w:p w:rsidR="00000000" w:rsidDel="00000000" w:rsidP="00000000" w:rsidRDefault="00000000" w:rsidRPr="00000000" w14:paraId="00000102">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Galvis Vega, G. A., et al. (2022). </w:t>
      </w:r>
      <w:r w:rsidDel="00000000" w:rsidR="00000000" w:rsidRPr="00000000">
        <w:rPr>
          <w:rFonts w:ascii="Times New Roman" w:cs="Times New Roman" w:eastAsia="Times New Roman" w:hAnsi="Times New Roman"/>
          <w:i w:val="1"/>
          <w:iCs w:val="1"/>
          <w:sz w:val="24"/>
          <w:szCs w:val="24"/>
          <w:rtl w:val="0"/>
        </w:rPr>
        <w:t xml:space="preserve">Inteligencia artificial en el proceso de predicción de decisiones judiciales como modelo asistencialista mixto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vLex</w:t>
      </w:r>
      <w:r w:rsidDel="00000000" w:rsidR="00000000" w:rsidRPr="00000000">
        <w:rPr>
          <w:rFonts w:ascii="Times New Roman" w:cs="Times New Roman" w:eastAsia="Times New Roman" w:hAnsi="Times New Roman"/>
          <w:sz w:val="24"/>
          <w:szCs w:val="24"/>
          <w:rtl w:val="0"/>
        </w:rPr>
        <w:t xml:space="preserve"> Colombia.</w:t>
      </w:r>
    </w:p>
    <w:p w:rsidR="00000000" w:rsidDel="00000000" w:rsidP="00000000" w:rsidRDefault="00000000" w:rsidRPr="00000000" w14:paraId="00000103">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 Constitucional de Colombia. (2024). Sentencia T-323 de 2024. M. P. [completar].</w:t>
      </w:r>
    </w:p>
    <w:p w:rsidR="00000000" w:rsidDel="00000000" w:rsidP="00000000" w:rsidRDefault="00000000" w:rsidRPr="00000000" w14:paraId="00000104">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State v. Loomis</w:t>
      </w:r>
      <w:r w:rsidDel="00000000" w:rsidR="00000000" w:rsidRPr="00000000">
        <w:rPr>
          <w:rFonts w:ascii="Times New Roman" w:cs="Times New Roman" w:eastAsia="Times New Roman" w:hAnsi="Times New Roman"/>
          <w:sz w:val="24"/>
          <w:szCs w:val="24"/>
          <w:rtl w:val="0"/>
        </w:rPr>
        <w:t xml:space="preserve">, Tribunal Supremo de Wisconsin, N.º 2015AP157-CR (2016).</w:t>
      </w:r>
    </w:p>
    <w:p w:rsidR="00000000" w:rsidDel="00000000" w:rsidP="00000000" w:rsidRDefault="00000000" w:rsidRPr="00000000" w14:paraId="00000105">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Unión Europea. (2024). </w:t>
      </w:r>
      <w:r w:rsidDel="00000000" w:rsidR="00000000" w:rsidRPr="00000000">
        <w:rPr>
          <w:rFonts w:ascii="Times New Roman" w:cs="Times New Roman" w:eastAsia="Times New Roman" w:hAnsi="Times New Roman"/>
          <w:i w:val="1"/>
          <w:iCs w:val="1"/>
          <w:sz w:val="24"/>
          <w:szCs w:val="24"/>
          <w:rtl w:val="0"/>
        </w:rPr>
        <w:t xml:space="preserve">Reglamento (UE) 2024/1689 del Parlamento Europeo y del Consejo, de 13 de junio de 2024, por el que se establecen normas armonizadas en materia de inteligencia artificial (Ley de Inteligencia Artificial)</w:t>
      </w:r>
      <w:r w:rsidDel="00000000" w:rsidR="00000000" w:rsidRPr="00000000">
        <w:rPr>
          <w:rFonts w:ascii="Times New Roman" w:cs="Times New Roman" w:eastAsia="Times New Roman" w:hAnsi="Times New Roman"/>
          <w:sz w:val="24"/>
          <w:szCs w:val="24"/>
          <w:rtl w:val="0"/>
        </w:rPr>
        <w:t xml:space="preserve">. Diario Oficial de la Unión Europea, L 2024/1689.</w:t>
      </w:r>
    </w:p>
    <w:p w:rsidR="00000000" w:rsidDel="00000000" w:rsidP="00000000" w:rsidRDefault="00000000" w:rsidRPr="00000000" w14:paraId="00000106">
      <w:pPr>
        <w:spacing w:after="120" w:line="36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Corte Constitucional de Colombia. Sentencia SU-067 de 202</w:t>
      </w:r>
      <w:r w:rsidDel="00000000" w:rsidR="00000000" w:rsidRPr="00000000">
        <w:rPr>
          <w:rFonts w:ascii="Times New Roman" w:cs="Times New Roman" w:eastAsia="Times New Roman" w:hAnsi="Times New Roman"/>
          <w:sz w:val="24"/>
          <w:szCs w:val="24"/>
          <w:rtl w:val="0"/>
        </w:rPr>
        <w:t xml:space="preserve">5 </w:t>
      </w:r>
    </w:p>
    <w:p w:rsidR="00000000" w:rsidDel="00000000" w:rsidP="00000000" w:rsidRDefault="00000000" w:rsidRPr="00000000" w14:paraId="00000107">
      <w:pPr>
        <w:spacing w:after="120" w:line="360" w:lineRule="auto"/>
        <w:ind w:left="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UNESCO (2021). Recomendación sobre la Ética de la Inteligencia Artificial.</w:t>
      </w:r>
    </w:p>
    <w:p w:rsidR="00000000" w:rsidDel="00000000" w:rsidP="00000000" w:rsidRDefault="00000000" w:rsidRPr="00000000" w14:paraId="00000108">
      <w:pPr>
        <w:widowControl w:val="0"/>
        <w:spacing w:before="267.5201416015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Marco Ético para la Inteligencia Artificial en Colombia (2021) – MinTIC / Presidencia Documento de política pública con principios éticos orientadores para el uso de la IA en el Estado colombiano, referenciado en la jurisprudencia.</w:t>
      </w:r>
    </w:p>
    <w:p w:rsidR="00000000" w:rsidDel="00000000" w:rsidP="00000000" w:rsidRDefault="00000000" w:rsidRPr="00000000" w14:paraId="00000109">
      <w:pPr>
        <w:widowControl w:val="0"/>
        <w:spacing w:before="267.5201416015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  Suárez Manrique, </w:t>
      </w:r>
      <w:r w:rsidDel="00000000" w:rsidR="00000000" w:rsidRPr="00000000">
        <w:rPr>
          <w:rFonts w:ascii="Times New Roman" w:cs="Times New Roman" w:eastAsia="Times New Roman" w:hAnsi="Times New Roman"/>
          <w:sz w:val="24"/>
          <w:szCs w:val="24"/>
          <w:rtl w:val="0"/>
        </w:rPr>
        <w:t xml:space="preserve">W. Y. &amp; De</w:t>
      </w:r>
      <w:r w:rsidDel="00000000" w:rsidR="00000000" w:rsidRPr="00000000">
        <w:rPr>
          <w:rFonts w:ascii="Times New Roman" w:cs="Times New Roman" w:eastAsia="Times New Roman" w:hAnsi="Times New Roman"/>
          <w:sz w:val="24"/>
          <w:szCs w:val="24"/>
          <w:rtl w:val="0"/>
        </w:rPr>
        <w:t xml:space="preserve"> León Vargas, G. I. (2019) </w:t>
      </w:r>
      <w:r w:rsidDel="00000000" w:rsidR="00000000" w:rsidRPr="00000000">
        <w:rPr>
          <w:rFonts w:ascii="Times New Roman" w:cs="Times New Roman" w:eastAsia="Times New Roman" w:hAnsi="Times New Roman"/>
          <w:i w:val="1"/>
          <w:iCs w:val="1"/>
          <w:sz w:val="24"/>
          <w:szCs w:val="24"/>
          <w:rtl w:val="0"/>
        </w:rPr>
        <w:t xml:space="preserve">"Inteligencia artificial y su aplicación en la administración de justicia"</w:t>
      </w:r>
      <w:r w:rsidDel="00000000" w:rsidR="00000000" w:rsidRPr="00000000">
        <w:rPr>
          <w:rFonts w:ascii="Times New Roman" w:cs="Times New Roman" w:eastAsia="Times New Roman" w:hAnsi="Times New Roman"/>
          <w:sz w:val="24"/>
          <w:szCs w:val="24"/>
          <w:rtl w:val="0"/>
        </w:rPr>
        <w:t xml:space="preserve"> Revista Jurídica Mario Alario D'Filippo, 11(21), 71–83. Universidad de Cartagena.</w:t>
      </w:r>
    </w:p>
    <w:p w:rsidR="00000000" w:rsidDel="00000000" w:rsidP="00000000" w:rsidRDefault="00000000" w:rsidRPr="00000000" w14:paraId="0000010A">
      <w:pPr>
        <w:widowControl w:val="0"/>
        <w:spacing w:before="267.52014160156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 Suárez Manrique, W. Y., De León Vargas, </w:t>
      </w:r>
      <w:r w:rsidDel="00000000" w:rsidR="00000000" w:rsidRPr="00000000">
        <w:rPr>
          <w:rFonts w:ascii="Times New Roman" w:cs="Times New Roman" w:eastAsia="Times New Roman" w:hAnsi="Times New Roman"/>
          <w:sz w:val="24"/>
          <w:szCs w:val="24"/>
          <w:rtl w:val="0"/>
        </w:rPr>
        <w:t xml:space="preserve">G. I. &amp; Monsalve</w:t>
      </w:r>
      <w:r w:rsidDel="00000000" w:rsidR="00000000" w:rsidRPr="00000000">
        <w:rPr>
          <w:rFonts w:ascii="Times New Roman" w:cs="Times New Roman" w:eastAsia="Times New Roman" w:hAnsi="Times New Roman"/>
          <w:sz w:val="24"/>
          <w:szCs w:val="24"/>
          <w:rtl w:val="0"/>
        </w:rPr>
        <w:t xml:space="preserve"> Pinto, J. J. (2023) </w:t>
      </w:r>
      <w:r w:rsidDel="00000000" w:rsidR="00000000" w:rsidRPr="00000000">
        <w:rPr>
          <w:rFonts w:ascii="Times New Roman" w:cs="Times New Roman" w:eastAsia="Times New Roman" w:hAnsi="Times New Roman"/>
          <w:i w:val="1"/>
          <w:iCs w:val="1"/>
          <w:sz w:val="24"/>
          <w:szCs w:val="24"/>
          <w:rtl w:val="0"/>
        </w:rPr>
        <w:t xml:space="preserve">"Un análisis sobre la aplicabilidad de la inteligencia artificial en el derecho colombiano"</w:t>
      </w:r>
      <w:r w:rsidDel="00000000" w:rsidR="00000000" w:rsidRPr="00000000">
        <w:rPr>
          <w:rFonts w:ascii="Times New Roman" w:cs="Times New Roman" w:eastAsia="Times New Roman" w:hAnsi="Times New Roman"/>
          <w:sz w:val="24"/>
          <w:szCs w:val="24"/>
          <w:rtl w:val="0"/>
        </w:rPr>
        <w:t xml:space="preserve"> Prolegómenos, 26(52), 11–23. Universidad Militar Nueva Granada</w:t>
      </w:r>
    </w:p>
    <w:p w:rsidR="00000000" w:rsidDel="00000000" w:rsidP="00000000" w:rsidRDefault="00000000" w:rsidRPr="00000000" w14:paraId="0000010B">
      <w:pPr>
        <w:spacing w:after="120" w:line="360" w:lineRule="auto"/>
        <w:ind w:left="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C">
      <w:pPr>
        <w:spacing w:after="120"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20" w:line="36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680053710937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ANEXOS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600830078125" w:line="360" w:lineRule="auto"/>
        <w:ind w:left="5.443267822265625" w:right="0" w:firstLine="8.9422607421875"/>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w:drawing>
          <wp:inline distB="19050" distT="19050" distL="19050" distR="19050">
            <wp:extent cx="752475" cy="8286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24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2421875" w:line="240" w:lineRule="auto"/>
        <w:ind w:left="12.29766845703125" w:right="0" w:firstLine="0"/>
        <w:jc w:val="left"/>
        <w:rPr>
          <w:rFonts w:ascii="Arial Narrow" w:cs="Arial Narrow" w:eastAsia="Arial Narrow" w:hAnsi="Arial Narrow"/>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sectPr>
      <w:pgSz w:h="15840" w:w="12240" w:orient="portrait"/>
      <w:pgMar w:bottom="1454.8800659179688" w:top="1401.99951171875" w:left="1699.6800231933594" w:right="1651.5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ara.gov.co/wp-content/uploads/2025/12/proyectos-ley/publicaciones/proyecto-35981/PPDSC-PL-043-25S-324-25C-INTELIGENCIA-ARTIFICIAL-SC.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uncionpublica.gov.co/eva/gestornormativo/norma.php?i=253156" TargetMode="External"/><Relationship Id="rId8" Type="http://schemas.openxmlformats.org/officeDocument/2006/relationships/hyperlink" Target="https://www.ramajudicial.gov.co/web/consejo-superior-de-la-judicatura/-/consejo-superior-de-la-judicatura-expidi%C3%B3-lineamientos-para-el-uso-responsable-y-seguro-de-la-ia-generativa-en-la-rama-judi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