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F523D" w14:textId="77777777" w:rsidR="00C753A6" w:rsidRPr="00C753A6" w:rsidRDefault="00C753A6" w:rsidP="00C753A6">
      <w:pPr>
        <w:shd w:val="clear" w:color="auto" w:fill="FAECE1"/>
        <w:spacing w:after="0" w:line="240" w:lineRule="auto"/>
        <w:textAlignment w:val="baseline"/>
        <w:rPr>
          <w:rFonts w:ascii="Merriweather" w:eastAsia="Times New Roman" w:hAnsi="Merriweather" w:cs="Times New Roman"/>
          <w:color w:val="1A1A1A"/>
          <w:kern w:val="0"/>
          <w14:ligatures w14:val="none"/>
        </w:rPr>
      </w:pPr>
      <w:r w:rsidRPr="00C753A6">
        <w:rPr>
          <w:rFonts w:ascii="Merriweather" w:eastAsia="Times New Roman" w:hAnsi="Merriweather" w:cs="Times New Roman"/>
          <w:i/>
          <w:iCs/>
          <w:color w:val="1A1A1A"/>
          <w:kern w:val="0"/>
          <w:bdr w:val="none" w:sz="0" w:space="0" w:color="auto" w:frame="1"/>
          <w14:ligatures w14:val="none"/>
        </w:rPr>
        <w:t>Ethereum is facing its $4,400-resistance with bullish on-chain signals, overheated leverage, and liquidity clusters ready to spark big moves.</w:t>
      </w:r>
    </w:p>
    <w:p w14:paraId="5BA2D75C" w14:textId="77777777" w:rsidR="00C753A6" w:rsidRPr="00C753A6" w:rsidRDefault="00FE527E" w:rsidP="00C753A6">
      <w:pPr>
        <w:spacing w:after="0" w:line="240" w:lineRule="auto"/>
        <w:rPr>
          <w:rFonts w:ascii="Merriweather" w:eastAsia="Times New Roman" w:hAnsi="Merriweather" w:cs="Times New Roman"/>
          <w:kern w:val="0"/>
          <w14:ligatures w14:val="none"/>
        </w:rPr>
      </w:pPr>
      <w:r w:rsidRPr="00FE527E">
        <w:rPr>
          <w:rFonts w:ascii="Times New Roman" w:eastAsia="Times New Roman" w:hAnsi="Times New Roman" w:cs="Times New Roman"/>
          <w:noProof/>
          <w:kern w:val="0"/>
        </w:rPr>
        <w:pict w14:anchorId="5C1652B4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112CBF2A" w14:textId="77777777" w:rsidR="00C753A6" w:rsidRPr="00C753A6" w:rsidRDefault="00C753A6" w:rsidP="00C753A6">
      <w:pPr>
        <w:shd w:val="clear" w:color="auto" w:fill="FAECE1"/>
        <w:spacing w:after="0" w:line="240" w:lineRule="auto"/>
        <w:textAlignment w:val="baseline"/>
        <w:rPr>
          <w:rFonts w:ascii="Merriweather" w:eastAsia="Times New Roman" w:hAnsi="Merriweather" w:cs="Times New Roman"/>
          <w:color w:val="1A1A1A"/>
          <w:kern w:val="0"/>
          <w14:ligatures w14:val="none"/>
        </w:rPr>
      </w:pPr>
      <w:hyperlink r:id="rId4" w:tgtFrame="_blank" w:history="1">
        <w:r w:rsidRPr="00C753A6">
          <w:rPr>
            <w:rFonts w:ascii="Merriweather" w:eastAsia="Times New Roman" w:hAnsi="Merriweather" w:cs="Times New Roman"/>
            <w:color w:val="1A1A1A"/>
            <w:kern w:val="0"/>
            <w:bdr w:val="none" w:sz="0" w:space="0" w:color="auto" w:frame="1"/>
            <w14:ligatures w14:val="none"/>
          </w:rPr>
          <w:t>Ethereum [ETH]</w:t>
        </w:r>
      </w:hyperlink>
      <w:r w:rsidRPr="00C753A6">
        <w:rPr>
          <w:rFonts w:ascii="Merriweather" w:eastAsia="Times New Roman" w:hAnsi="Merriweather" w:cs="Times New Roman"/>
          <w:color w:val="1A1A1A"/>
          <w:kern w:val="0"/>
          <w14:ligatures w14:val="none"/>
        </w:rPr>
        <w:t> extended its rally from the $2,400-range to test the crucial $4,400-resistance on the charts. In fact, this is a level that has triggered reversals in the past for ETH.</w:t>
      </w:r>
    </w:p>
    <w:p w14:paraId="7CAE6075" w14:textId="77777777" w:rsidR="00C753A6" w:rsidRPr="00C753A6" w:rsidRDefault="00C753A6" w:rsidP="00C753A6">
      <w:pPr>
        <w:shd w:val="clear" w:color="auto" w:fill="FAECE1"/>
        <w:spacing w:after="375" w:line="240" w:lineRule="auto"/>
        <w:textAlignment w:val="baseline"/>
        <w:rPr>
          <w:rFonts w:ascii="Merriweather" w:eastAsia="Times New Roman" w:hAnsi="Merriweather" w:cs="Times New Roman"/>
          <w:color w:val="1A1A1A"/>
          <w:kern w:val="0"/>
          <w14:ligatures w14:val="none"/>
        </w:rPr>
      </w:pPr>
      <w:r w:rsidRPr="00C753A6">
        <w:rPr>
          <w:rFonts w:ascii="Merriweather" w:eastAsia="Times New Roman" w:hAnsi="Merriweather" w:cs="Times New Roman"/>
          <w:color w:val="1A1A1A"/>
          <w:kern w:val="0"/>
          <w14:ligatures w14:val="none"/>
        </w:rPr>
        <w:t>Valued at $4,206 at press time, it can be argued that the market is at a decisive inflection point.</w:t>
      </w:r>
    </w:p>
    <w:p w14:paraId="48B75D2B" w14:textId="77777777" w:rsidR="00C753A6" w:rsidRPr="00C753A6" w:rsidRDefault="00C753A6" w:rsidP="00C753A6">
      <w:pPr>
        <w:shd w:val="clear" w:color="auto" w:fill="FAECE1"/>
        <w:spacing w:after="0" w:line="240" w:lineRule="auto"/>
        <w:textAlignment w:val="baseline"/>
        <w:rPr>
          <w:rFonts w:ascii="Merriweather" w:eastAsia="Times New Roman" w:hAnsi="Merriweather" w:cs="Times New Roman"/>
          <w:color w:val="1A1A1A"/>
          <w:kern w:val="0"/>
          <w14:ligatures w14:val="none"/>
        </w:rPr>
      </w:pPr>
      <w:r w:rsidRPr="00C753A6">
        <w:rPr>
          <w:rFonts w:ascii="Merriweather" w:eastAsia="Times New Roman" w:hAnsi="Merriweather" w:cs="Times New Roman"/>
          <w:color w:val="1A1A1A"/>
          <w:kern w:val="0"/>
          <w14:ligatures w14:val="none"/>
        </w:rPr>
        <w:t>Importantly though, long-term on-chain </w:t>
      </w:r>
      <w:hyperlink r:id="rId5" w:tgtFrame="_blank" w:history="1">
        <w:r w:rsidRPr="00C753A6">
          <w:rPr>
            <w:rFonts w:ascii="Merriweather" w:eastAsia="Times New Roman" w:hAnsi="Merriweather" w:cs="Times New Roman"/>
            <w:color w:val="1A1A1A"/>
            <w:kern w:val="0"/>
            <w:bdr w:val="none" w:sz="0" w:space="0" w:color="auto" w:frame="1"/>
            <w14:ligatures w14:val="none"/>
          </w:rPr>
          <w:t>signals</w:t>
        </w:r>
      </w:hyperlink>
      <w:r w:rsidRPr="00C753A6">
        <w:rPr>
          <w:rFonts w:ascii="Merriweather" w:eastAsia="Times New Roman" w:hAnsi="Merriweather" w:cs="Times New Roman"/>
          <w:color w:val="1A1A1A"/>
          <w:kern w:val="0"/>
          <w14:ligatures w14:val="none"/>
        </w:rPr>
        <w:t> have been leaning bullish lately.  For example – The all-exchange Exchange Supply Ratio (ESR) has been steadily falling since 2022, reflecting reduced sell-side liquidity and stronger accumulation trends.</w:t>
      </w:r>
    </w:p>
    <w:p w14:paraId="3D7E0D6B" w14:textId="77777777" w:rsidR="00C753A6" w:rsidRPr="00C753A6" w:rsidRDefault="00C753A6" w:rsidP="00C753A6">
      <w:pPr>
        <w:shd w:val="clear" w:color="auto" w:fill="FAECE1"/>
        <w:spacing w:after="375" w:line="240" w:lineRule="auto"/>
        <w:textAlignment w:val="baseline"/>
        <w:rPr>
          <w:rFonts w:ascii="Merriweather" w:eastAsia="Times New Roman" w:hAnsi="Merriweather" w:cs="Times New Roman"/>
          <w:color w:val="1A1A1A"/>
          <w:kern w:val="0"/>
          <w14:ligatures w14:val="none"/>
        </w:rPr>
      </w:pPr>
      <w:r w:rsidRPr="00C753A6">
        <w:rPr>
          <w:rFonts w:ascii="Merriweather" w:eastAsia="Times New Roman" w:hAnsi="Merriweather" w:cs="Times New Roman"/>
          <w:color w:val="1A1A1A"/>
          <w:kern w:val="0"/>
          <w14:ligatures w14:val="none"/>
        </w:rPr>
        <w:t>On the contrary, Binance-specific data painted a shorter-term warning. Its ESR has been climbing since early 2025, coupled with notable inflows – Conditions often tied to selling readiness.</w:t>
      </w:r>
    </w:p>
    <w:p w14:paraId="27D590B3" w14:textId="77777777" w:rsidR="00C753A6" w:rsidRPr="00C753A6" w:rsidRDefault="00C753A6" w:rsidP="00C753A6">
      <w:pPr>
        <w:shd w:val="clear" w:color="auto" w:fill="FAECE1"/>
        <w:spacing w:after="375" w:line="240" w:lineRule="auto"/>
        <w:textAlignment w:val="baseline"/>
        <w:rPr>
          <w:rFonts w:ascii="Merriweather" w:eastAsia="Times New Roman" w:hAnsi="Merriweather" w:cs="Times New Roman"/>
          <w:color w:val="1A1A1A"/>
          <w:kern w:val="0"/>
          <w14:ligatures w14:val="none"/>
        </w:rPr>
      </w:pPr>
      <w:r w:rsidRPr="00C753A6">
        <w:rPr>
          <w:rFonts w:ascii="Merriweather" w:eastAsia="Times New Roman" w:hAnsi="Merriweather" w:cs="Times New Roman"/>
          <w:color w:val="1A1A1A"/>
          <w:kern w:val="0"/>
          <w14:ligatures w14:val="none"/>
        </w:rPr>
        <w:t>Such a divergence between macro strength and tactical caution might hint at potential volatility ahead.</w:t>
      </w:r>
    </w:p>
    <w:p w14:paraId="471CD9CD" w14:textId="77777777" w:rsidR="00C753A6" w:rsidRPr="00C753A6" w:rsidRDefault="00C753A6" w:rsidP="00C753A6">
      <w:pPr>
        <w:shd w:val="clear" w:color="auto" w:fill="FAECE1"/>
        <w:spacing w:after="300" w:line="600" w:lineRule="atLeast"/>
        <w:textAlignment w:val="baseline"/>
        <w:outlineLvl w:val="1"/>
        <w:rPr>
          <w:rFonts w:ascii="Times New Roman" w:eastAsia="Times New Roman" w:hAnsi="Times New Roman" w:cs="Times New Roman"/>
          <w:color w:val="1A1A1A"/>
          <w:kern w:val="0"/>
          <w:sz w:val="60"/>
          <w:szCs w:val="60"/>
          <w14:ligatures w14:val="none"/>
        </w:rPr>
      </w:pPr>
      <w:r w:rsidRPr="00C753A6">
        <w:rPr>
          <w:rFonts w:ascii="Times New Roman" w:eastAsia="Times New Roman" w:hAnsi="Times New Roman" w:cs="Times New Roman"/>
          <w:color w:val="1A1A1A"/>
          <w:kern w:val="0"/>
          <w:sz w:val="60"/>
          <w:szCs w:val="60"/>
          <w14:ligatures w14:val="none"/>
        </w:rPr>
        <w:t>Is Ethereum’s chart hinting at a breakout or an exhaustion point?</w:t>
      </w:r>
    </w:p>
    <w:p w14:paraId="38DC5ED8" w14:textId="77777777" w:rsidR="00C753A6" w:rsidRPr="00C753A6" w:rsidRDefault="00C753A6" w:rsidP="00C753A6">
      <w:pPr>
        <w:shd w:val="clear" w:color="auto" w:fill="FAECE1"/>
        <w:spacing w:after="0" w:line="240" w:lineRule="auto"/>
        <w:textAlignment w:val="baseline"/>
        <w:rPr>
          <w:rFonts w:ascii="Merriweather" w:eastAsia="Times New Roman" w:hAnsi="Merriweather" w:cs="Times New Roman"/>
          <w:color w:val="1A1A1A"/>
          <w:kern w:val="0"/>
          <w14:ligatures w14:val="none"/>
        </w:rPr>
      </w:pPr>
      <w:r w:rsidRPr="00C753A6">
        <w:rPr>
          <w:rFonts w:ascii="Merriweather" w:eastAsia="Times New Roman" w:hAnsi="Merriweather" w:cs="Times New Roman"/>
          <w:color w:val="1A1A1A"/>
          <w:kern w:val="0"/>
          <w:bdr w:val="none" w:sz="0" w:space="0" w:color="auto" w:frame="1"/>
          <w14:ligatures w14:val="none"/>
        </w:rPr>
        <w:t>At the time of writing, the daily chart revealed that Ethereum was testing the $4,400 barrier, while maintaining support near $4,000. </w:t>
      </w:r>
    </w:p>
    <w:p w14:paraId="792F6858" w14:textId="77777777" w:rsidR="00C753A6" w:rsidRPr="00C753A6" w:rsidRDefault="00C753A6" w:rsidP="00C753A6">
      <w:pPr>
        <w:shd w:val="clear" w:color="auto" w:fill="FAECE1"/>
        <w:spacing w:after="0" w:line="240" w:lineRule="auto"/>
        <w:textAlignment w:val="baseline"/>
        <w:rPr>
          <w:rFonts w:ascii="Merriweather" w:eastAsia="Times New Roman" w:hAnsi="Merriweather" w:cs="Times New Roman"/>
          <w:color w:val="1A1A1A"/>
          <w:kern w:val="0"/>
          <w14:ligatures w14:val="none"/>
        </w:rPr>
      </w:pPr>
      <w:r w:rsidRPr="00C753A6">
        <w:rPr>
          <w:rFonts w:ascii="Merriweather" w:eastAsia="Times New Roman" w:hAnsi="Merriweather" w:cs="Times New Roman"/>
          <w:color w:val="1A1A1A"/>
          <w:kern w:val="0"/>
          <w:bdr w:val="none" w:sz="0" w:space="0" w:color="auto" w:frame="1"/>
          <w14:ligatures w14:val="none"/>
        </w:rPr>
        <w:t>The Relative Strength Index hovered around 71 – A sign that the market may be entering overbought territory. </w:t>
      </w:r>
      <w:r w:rsidRPr="00C753A6">
        <w:rPr>
          <w:rFonts w:ascii="Merriweather" w:eastAsia="Times New Roman" w:hAnsi="Merriweather" w:cs="Times New Roman"/>
          <w:color w:val="1A1A1A"/>
          <w:kern w:val="0"/>
          <w14:ligatures w14:val="none"/>
        </w:rPr>
        <w:t>In fact, the Fibonacci extensions outlined $4,302 as the immediate upside and $4,886 as the next target if momentum holds.</w:t>
      </w:r>
    </w:p>
    <w:p w14:paraId="2AC2FD0B" w14:textId="77777777" w:rsidR="00C753A6" w:rsidRPr="00C753A6" w:rsidRDefault="00C753A6" w:rsidP="00C753A6">
      <w:pPr>
        <w:shd w:val="clear" w:color="auto" w:fill="FAECE1"/>
        <w:spacing w:after="375" w:line="240" w:lineRule="auto"/>
        <w:textAlignment w:val="baseline"/>
        <w:rPr>
          <w:rFonts w:ascii="Merriweather" w:eastAsia="Times New Roman" w:hAnsi="Merriweather" w:cs="Times New Roman"/>
          <w:color w:val="1A1A1A"/>
          <w:kern w:val="0"/>
          <w14:ligatures w14:val="none"/>
        </w:rPr>
      </w:pPr>
      <w:r w:rsidRPr="00C753A6">
        <w:rPr>
          <w:rFonts w:ascii="Merriweather" w:eastAsia="Times New Roman" w:hAnsi="Merriweather" w:cs="Times New Roman"/>
          <w:color w:val="1A1A1A"/>
          <w:kern w:val="0"/>
          <w14:ligatures w14:val="none"/>
        </w:rPr>
        <w:t>And yet, elevated RSI readings meant profit-taking could be a real possibility. Hence, traders might need to be watchful for a few signs of exhaustion.</w:t>
      </w:r>
    </w:p>
    <w:p w14:paraId="15725941" w14:textId="43193CA4" w:rsidR="00C753A6" w:rsidRPr="00C753A6" w:rsidRDefault="00C753A6" w:rsidP="00C753A6">
      <w:pPr>
        <w:shd w:val="clear" w:color="auto" w:fill="FAECE1"/>
        <w:spacing w:after="0" w:line="240" w:lineRule="auto"/>
        <w:textAlignment w:val="baseline"/>
        <w:rPr>
          <w:rFonts w:ascii="Merriweather" w:eastAsia="Times New Roman" w:hAnsi="Merriweather" w:cs="Times New Roman"/>
          <w:color w:val="777777"/>
          <w:kern w:val="0"/>
          <w14:ligatures w14:val="none"/>
        </w:rPr>
      </w:pPr>
      <w:r w:rsidRPr="00C753A6">
        <w:rPr>
          <w:rFonts w:ascii="Merriweather" w:eastAsia="Times New Roman" w:hAnsi="Merriweather" w:cs="Times New Roman"/>
          <w:noProof/>
          <w:color w:val="1A1A1A"/>
          <w:kern w:val="0"/>
          <w:sz w:val="19"/>
          <w:szCs w:val="19"/>
          <w:bdr w:val="none" w:sz="0" w:space="0" w:color="auto" w:frame="1"/>
          <w14:ligatures w14:val="none"/>
        </w:rPr>
        <w:lastRenderedPageBreak/>
        <w:drawing>
          <wp:inline distT="0" distB="0" distL="0" distR="0" wp14:anchorId="5F6FBD5F" wp14:editId="43F22123">
            <wp:extent cx="5943600" cy="3075940"/>
            <wp:effectExtent l="0" t="0" r="0" b="0"/>
            <wp:docPr id="1015562702" name="Picture 4" descr="A graph of stock market&#10;&#10;AI-generated content may be incorrect.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62702" name="Picture 4" descr="A graph of stock market&#10;&#10;AI-generated content may be incorrect.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6C650" w14:textId="77777777" w:rsidR="00C753A6" w:rsidRPr="00C753A6" w:rsidRDefault="00C753A6" w:rsidP="00C753A6">
      <w:pPr>
        <w:shd w:val="clear" w:color="auto" w:fill="FAECE1"/>
        <w:spacing w:after="375" w:line="240" w:lineRule="auto"/>
        <w:textAlignment w:val="baseline"/>
        <w:rPr>
          <w:rFonts w:ascii="Merriweather" w:eastAsia="Times New Roman" w:hAnsi="Merriweather" w:cs="Times New Roman"/>
          <w:color w:val="1A1A1A"/>
          <w:kern w:val="0"/>
          <w:sz w:val="19"/>
          <w:szCs w:val="19"/>
          <w14:ligatures w14:val="none"/>
        </w:rPr>
      </w:pPr>
      <w:r w:rsidRPr="00C753A6">
        <w:rPr>
          <w:rFonts w:ascii="Merriweather" w:eastAsia="Times New Roman" w:hAnsi="Merriweather" w:cs="Times New Roman"/>
          <w:color w:val="1A1A1A"/>
          <w:kern w:val="0"/>
          <w:sz w:val="19"/>
          <w:szCs w:val="19"/>
          <w14:ligatures w14:val="none"/>
        </w:rPr>
        <w:t xml:space="preserve">Source: </w:t>
      </w:r>
      <w:proofErr w:type="spellStart"/>
      <w:r w:rsidRPr="00C753A6">
        <w:rPr>
          <w:rFonts w:ascii="Merriweather" w:eastAsia="Times New Roman" w:hAnsi="Merriweather" w:cs="Times New Roman"/>
          <w:color w:val="1A1A1A"/>
          <w:kern w:val="0"/>
          <w:sz w:val="19"/>
          <w:szCs w:val="19"/>
          <w14:ligatures w14:val="none"/>
        </w:rPr>
        <w:t>TradingView</w:t>
      </w:r>
      <w:proofErr w:type="spellEnd"/>
    </w:p>
    <w:p w14:paraId="7082D1A3" w14:textId="77777777" w:rsidR="00C753A6" w:rsidRPr="00C753A6" w:rsidRDefault="00C753A6" w:rsidP="00C753A6">
      <w:pPr>
        <w:shd w:val="clear" w:color="auto" w:fill="FAECE1"/>
        <w:spacing w:after="300" w:line="600" w:lineRule="atLeast"/>
        <w:textAlignment w:val="baseline"/>
        <w:outlineLvl w:val="1"/>
        <w:rPr>
          <w:rFonts w:ascii="Times New Roman" w:eastAsia="Times New Roman" w:hAnsi="Times New Roman" w:cs="Times New Roman"/>
          <w:color w:val="1A1A1A"/>
          <w:kern w:val="0"/>
          <w:sz w:val="60"/>
          <w:szCs w:val="60"/>
          <w14:ligatures w14:val="none"/>
        </w:rPr>
      </w:pPr>
      <w:r w:rsidRPr="00C753A6">
        <w:rPr>
          <w:rFonts w:ascii="Times New Roman" w:eastAsia="Times New Roman" w:hAnsi="Times New Roman" w:cs="Times New Roman"/>
          <w:color w:val="1A1A1A"/>
          <w:kern w:val="0"/>
          <w:sz w:val="60"/>
          <w:szCs w:val="60"/>
          <w14:ligatures w14:val="none"/>
        </w:rPr>
        <w:t>Are Futures traders pushing leverage to dangerous extremes?</w:t>
      </w:r>
    </w:p>
    <w:p w14:paraId="65B14D9A" w14:textId="77777777" w:rsidR="00C753A6" w:rsidRPr="00C753A6" w:rsidRDefault="00C753A6" w:rsidP="00C753A6">
      <w:pPr>
        <w:shd w:val="clear" w:color="auto" w:fill="FAECE1"/>
        <w:spacing w:after="375" w:line="240" w:lineRule="auto"/>
        <w:textAlignment w:val="baseline"/>
        <w:rPr>
          <w:rFonts w:ascii="Merriweather" w:eastAsia="Times New Roman" w:hAnsi="Merriweather" w:cs="Times New Roman"/>
          <w:color w:val="1A1A1A"/>
          <w:kern w:val="0"/>
          <w14:ligatures w14:val="none"/>
        </w:rPr>
      </w:pPr>
      <w:r w:rsidRPr="00C753A6">
        <w:rPr>
          <w:rFonts w:ascii="Merriweather" w:eastAsia="Times New Roman" w:hAnsi="Merriweather" w:cs="Times New Roman"/>
          <w:color w:val="1A1A1A"/>
          <w:kern w:val="0"/>
          <w14:ligatures w14:val="none"/>
        </w:rPr>
        <w:t>Futures volume data flagged “overheating” as leveraged positions piled up in recent sessions.</w:t>
      </w:r>
    </w:p>
    <w:p w14:paraId="5DFB02A8" w14:textId="77777777" w:rsidR="00C753A6" w:rsidRPr="00C753A6" w:rsidRDefault="00C753A6" w:rsidP="00C753A6">
      <w:pPr>
        <w:shd w:val="clear" w:color="auto" w:fill="FAECE1"/>
        <w:spacing w:after="375" w:line="240" w:lineRule="auto"/>
        <w:textAlignment w:val="baseline"/>
        <w:rPr>
          <w:rFonts w:ascii="Merriweather" w:eastAsia="Times New Roman" w:hAnsi="Merriweather" w:cs="Times New Roman"/>
          <w:color w:val="1A1A1A"/>
          <w:kern w:val="0"/>
          <w14:ligatures w14:val="none"/>
        </w:rPr>
      </w:pPr>
      <w:r w:rsidRPr="00C753A6">
        <w:rPr>
          <w:rFonts w:ascii="Merriweather" w:eastAsia="Times New Roman" w:hAnsi="Merriweather" w:cs="Times New Roman"/>
          <w:color w:val="1A1A1A"/>
          <w:kern w:val="0"/>
          <w14:ligatures w14:val="none"/>
        </w:rPr>
        <w:t>Now, while leverage can accelerate bullish moves, it can just as easily fuel sharp liquidations if sentiment flips itself.</w:t>
      </w:r>
    </w:p>
    <w:p w14:paraId="01A1CE96" w14:textId="77777777" w:rsidR="00C753A6" w:rsidRPr="00C753A6" w:rsidRDefault="00C753A6" w:rsidP="00C753A6">
      <w:pPr>
        <w:shd w:val="clear" w:color="auto" w:fill="FAECE1"/>
        <w:spacing w:after="375" w:line="240" w:lineRule="auto"/>
        <w:textAlignment w:val="baseline"/>
        <w:rPr>
          <w:rFonts w:ascii="Merriweather" w:eastAsia="Times New Roman" w:hAnsi="Merriweather" w:cs="Times New Roman"/>
          <w:color w:val="1A1A1A"/>
          <w:kern w:val="0"/>
          <w14:ligatures w14:val="none"/>
        </w:rPr>
      </w:pPr>
      <w:r w:rsidRPr="00C753A6">
        <w:rPr>
          <w:rFonts w:ascii="Merriweather" w:eastAsia="Times New Roman" w:hAnsi="Merriweather" w:cs="Times New Roman"/>
          <w:color w:val="1A1A1A"/>
          <w:kern w:val="0"/>
          <w14:ligatures w14:val="none"/>
        </w:rPr>
        <w:t>Historically, overheated derivatives markets have triggered quick retracements, especially near heavy resistance levels. Hence, the question is – Can buyers keep control without sparking forced unwinds?</w:t>
      </w:r>
    </w:p>
    <w:p w14:paraId="377F0505" w14:textId="779A4CA9" w:rsidR="00C753A6" w:rsidRPr="00C753A6" w:rsidRDefault="00C753A6" w:rsidP="00C753A6">
      <w:pPr>
        <w:shd w:val="clear" w:color="auto" w:fill="FAECE1"/>
        <w:spacing w:after="0" w:line="240" w:lineRule="auto"/>
        <w:textAlignment w:val="baseline"/>
        <w:rPr>
          <w:rFonts w:ascii="Merriweather" w:eastAsia="Times New Roman" w:hAnsi="Merriweather" w:cs="Times New Roman"/>
          <w:color w:val="777777"/>
          <w:kern w:val="0"/>
          <w14:ligatures w14:val="none"/>
        </w:rPr>
      </w:pPr>
      <w:r w:rsidRPr="00C753A6">
        <w:rPr>
          <w:rFonts w:ascii="Merriweather" w:eastAsia="Times New Roman" w:hAnsi="Merriweather" w:cs="Times New Roman"/>
          <w:noProof/>
          <w:color w:val="1A1A1A"/>
          <w:kern w:val="0"/>
          <w:sz w:val="19"/>
          <w:szCs w:val="19"/>
          <w:bdr w:val="none" w:sz="0" w:space="0" w:color="auto" w:frame="1"/>
          <w14:ligatures w14:val="none"/>
        </w:rPr>
        <w:lastRenderedPageBreak/>
        <w:drawing>
          <wp:inline distT="0" distB="0" distL="0" distR="0" wp14:anchorId="5CC0DAA0" wp14:editId="434B89CC">
            <wp:extent cx="5943600" cy="3343275"/>
            <wp:effectExtent l="0" t="0" r="0" b="0"/>
            <wp:docPr id="742726477" name="Picture 3" descr="A graph of a graph showing the growth of a bitcoin&#10;&#10;AI-generated content may be incorrect.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26477" name="Picture 3" descr="A graph of a graph showing the growth of a bitcoin&#10;&#10;AI-generated content may be incorrect.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050F5" w14:textId="77777777" w:rsidR="00C753A6" w:rsidRPr="00C753A6" w:rsidRDefault="00C753A6" w:rsidP="00C753A6">
      <w:pPr>
        <w:shd w:val="clear" w:color="auto" w:fill="FAECE1"/>
        <w:spacing w:after="0" w:line="240" w:lineRule="auto"/>
        <w:textAlignment w:val="baseline"/>
        <w:rPr>
          <w:rFonts w:ascii="Merriweather" w:eastAsia="Times New Roman" w:hAnsi="Merriweather" w:cs="Times New Roman"/>
          <w:color w:val="1A1A1A"/>
          <w:kern w:val="0"/>
          <w:sz w:val="19"/>
          <w:szCs w:val="19"/>
          <w14:ligatures w14:val="none"/>
        </w:rPr>
      </w:pPr>
      <w:r w:rsidRPr="00C753A6">
        <w:rPr>
          <w:rFonts w:ascii="Merriweather" w:eastAsia="Times New Roman" w:hAnsi="Merriweather" w:cs="Times New Roman"/>
          <w:color w:val="1A1A1A"/>
          <w:kern w:val="0"/>
          <w:sz w:val="19"/>
          <w:szCs w:val="19"/>
          <w14:ligatures w14:val="none"/>
        </w:rPr>
        <w:t>Source: </w:t>
      </w:r>
      <w:proofErr w:type="spellStart"/>
      <w:r w:rsidRPr="00C753A6">
        <w:rPr>
          <w:rFonts w:ascii="Merriweather" w:eastAsia="Times New Roman" w:hAnsi="Merriweather" w:cs="Times New Roman"/>
          <w:color w:val="1A1A1A"/>
          <w:kern w:val="0"/>
          <w:sz w:val="19"/>
          <w:szCs w:val="19"/>
          <w14:ligatures w14:val="none"/>
        </w:rPr>
        <w:fldChar w:fldCharType="begin"/>
      </w:r>
      <w:r w:rsidRPr="00C753A6">
        <w:rPr>
          <w:rFonts w:ascii="Merriweather" w:eastAsia="Times New Roman" w:hAnsi="Merriweather" w:cs="Times New Roman"/>
          <w:color w:val="1A1A1A"/>
          <w:kern w:val="0"/>
          <w:sz w:val="19"/>
          <w:szCs w:val="19"/>
          <w14:ligatures w14:val="none"/>
        </w:rPr>
        <w:instrText>HYPERLINK "https://cryptoquant.com/asset/eth/chart/market-indicator/futures-volume-bubble-map?window=DAY" \t "_blank"</w:instrText>
      </w:r>
      <w:r w:rsidRPr="00C753A6">
        <w:rPr>
          <w:rFonts w:ascii="Merriweather" w:eastAsia="Times New Roman" w:hAnsi="Merriweather" w:cs="Times New Roman"/>
          <w:color w:val="1A1A1A"/>
          <w:kern w:val="0"/>
          <w:sz w:val="19"/>
          <w:szCs w:val="19"/>
          <w14:ligatures w14:val="none"/>
        </w:rPr>
      </w:r>
      <w:r w:rsidRPr="00C753A6">
        <w:rPr>
          <w:rFonts w:ascii="Merriweather" w:eastAsia="Times New Roman" w:hAnsi="Merriweather" w:cs="Times New Roman"/>
          <w:color w:val="1A1A1A"/>
          <w:kern w:val="0"/>
          <w:sz w:val="19"/>
          <w:szCs w:val="19"/>
          <w14:ligatures w14:val="none"/>
        </w:rPr>
        <w:fldChar w:fldCharType="separate"/>
      </w:r>
      <w:r w:rsidRPr="00C753A6">
        <w:rPr>
          <w:rFonts w:ascii="Merriweather" w:eastAsia="Times New Roman" w:hAnsi="Merriweather" w:cs="Times New Roman"/>
          <w:color w:val="1A1A1A"/>
          <w:kern w:val="0"/>
          <w:sz w:val="19"/>
          <w:szCs w:val="19"/>
          <w:bdr w:val="none" w:sz="0" w:space="0" w:color="auto" w:frame="1"/>
          <w14:ligatures w14:val="none"/>
        </w:rPr>
        <w:t>CryptoQuant</w:t>
      </w:r>
      <w:proofErr w:type="spellEnd"/>
      <w:r w:rsidRPr="00C753A6">
        <w:rPr>
          <w:rFonts w:ascii="Merriweather" w:eastAsia="Times New Roman" w:hAnsi="Merriweather" w:cs="Times New Roman"/>
          <w:color w:val="1A1A1A"/>
          <w:kern w:val="0"/>
          <w:sz w:val="19"/>
          <w:szCs w:val="19"/>
          <w14:ligatures w14:val="none"/>
        </w:rPr>
        <w:fldChar w:fldCharType="end"/>
      </w:r>
    </w:p>
    <w:p w14:paraId="045E9888" w14:textId="77777777" w:rsidR="00C753A6" w:rsidRPr="00C753A6" w:rsidRDefault="00C753A6" w:rsidP="00C753A6">
      <w:pPr>
        <w:shd w:val="clear" w:color="auto" w:fill="FAECE1"/>
        <w:spacing w:after="300" w:line="600" w:lineRule="atLeast"/>
        <w:textAlignment w:val="baseline"/>
        <w:outlineLvl w:val="1"/>
        <w:rPr>
          <w:rFonts w:ascii="Times New Roman" w:eastAsia="Times New Roman" w:hAnsi="Times New Roman" w:cs="Times New Roman"/>
          <w:color w:val="1A1A1A"/>
          <w:kern w:val="0"/>
          <w:sz w:val="60"/>
          <w:szCs w:val="60"/>
          <w14:ligatures w14:val="none"/>
        </w:rPr>
      </w:pPr>
      <w:r w:rsidRPr="00C753A6">
        <w:rPr>
          <w:rFonts w:ascii="Times New Roman" w:eastAsia="Times New Roman" w:hAnsi="Times New Roman" w:cs="Times New Roman"/>
          <w:color w:val="1A1A1A"/>
          <w:kern w:val="0"/>
          <w:sz w:val="60"/>
          <w:szCs w:val="60"/>
          <w14:ligatures w14:val="none"/>
        </w:rPr>
        <w:t>Are whales pulling ETH off exchanges for good?</w:t>
      </w:r>
    </w:p>
    <w:p w14:paraId="3C0E3E7F" w14:textId="77777777" w:rsidR="00C753A6" w:rsidRPr="00C753A6" w:rsidRDefault="00C753A6" w:rsidP="00C753A6">
      <w:pPr>
        <w:shd w:val="clear" w:color="auto" w:fill="FAECE1"/>
        <w:spacing w:after="0" w:line="240" w:lineRule="auto"/>
        <w:textAlignment w:val="baseline"/>
        <w:rPr>
          <w:rFonts w:ascii="Merriweather" w:eastAsia="Times New Roman" w:hAnsi="Merriweather" w:cs="Times New Roman"/>
          <w:color w:val="1A1A1A"/>
          <w:kern w:val="0"/>
          <w14:ligatures w14:val="none"/>
        </w:rPr>
      </w:pPr>
      <w:proofErr w:type="spellStart"/>
      <w:r w:rsidRPr="00C753A6">
        <w:rPr>
          <w:rFonts w:ascii="Merriweather" w:eastAsia="Times New Roman" w:hAnsi="Merriweather" w:cs="Times New Roman"/>
          <w:color w:val="1A1A1A"/>
          <w:kern w:val="0"/>
          <w:bdr w:val="none" w:sz="0" w:space="0" w:color="auto" w:frame="1"/>
          <w14:ligatures w14:val="none"/>
        </w:rPr>
        <w:t>Netflow</w:t>
      </w:r>
      <w:proofErr w:type="spellEnd"/>
      <w:r w:rsidRPr="00C753A6">
        <w:rPr>
          <w:rFonts w:ascii="Merriweather" w:eastAsia="Times New Roman" w:hAnsi="Merriweather" w:cs="Times New Roman"/>
          <w:color w:val="1A1A1A"/>
          <w:kern w:val="0"/>
          <w:bdr w:val="none" w:sz="0" w:space="0" w:color="auto" w:frame="1"/>
          <w14:ligatures w14:val="none"/>
        </w:rPr>
        <w:t xml:space="preserve"> data highlighted outflows of $245.57 million on 10 August, adding to a recent pattern of sustained withdrawals from exchanges. </w:t>
      </w:r>
    </w:p>
    <w:p w14:paraId="0980649C" w14:textId="77777777" w:rsidR="00C753A6" w:rsidRPr="00C753A6" w:rsidRDefault="00C753A6" w:rsidP="00C753A6">
      <w:pPr>
        <w:shd w:val="clear" w:color="auto" w:fill="FAECE1"/>
        <w:spacing w:after="0" w:line="240" w:lineRule="auto"/>
        <w:textAlignment w:val="baseline"/>
        <w:rPr>
          <w:rFonts w:ascii="Merriweather" w:eastAsia="Times New Roman" w:hAnsi="Merriweather" w:cs="Times New Roman"/>
          <w:color w:val="1A1A1A"/>
          <w:kern w:val="0"/>
          <w14:ligatures w14:val="none"/>
        </w:rPr>
      </w:pPr>
      <w:r w:rsidRPr="00C753A6">
        <w:rPr>
          <w:rFonts w:ascii="Merriweather" w:eastAsia="Times New Roman" w:hAnsi="Merriweather" w:cs="Times New Roman"/>
          <w:color w:val="1A1A1A"/>
          <w:kern w:val="0"/>
          <w:bdr w:val="none" w:sz="0" w:space="0" w:color="auto" w:frame="1"/>
          <w14:ligatures w14:val="none"/>
        </w:rPr>
        <w:t xml:space="preserve">Such negative </w:t>
      </w:r>
      <w:proofErr w:type="spellStart"/>
      <w:r w:rsidRPr="00C753A6">
        <w:rPr>
          <w:rFonts w:ascii="Merriweather" w:eastAsia="Times New Roman" w:hAnsi="Merriweather" w:cs="Times New Roman"/>
          <w:color w:val="1A1A1A"/>
          <w:kern w:val="0"/>
          <w:bdr w:val="none" w:sz="0" w:space="0" w:color="auto" w:frame="1"/>
          <w14:ligatures w14:val="none"/>
        </w:rPr>
        <w:t>netflows</w:t>
      </w:r>
      <w:proofErr w:type="spellEnd"/>
      <w:r w:rsidRPr="00C753A6">
        <w:rPr>
          <w:rFonts w:ascii="Merriweather" w:eastAsia="Times New Roman" w:hAnsi="Merriweather" w:cs="Times New Roman"/>
          <w:color w:val="1A1A1A"/>
          <w:kern w:val="0"/>
          <w:bdr w:val="none" w:sz="0" w:space="0" w:color="auto" w:frame="1"/>
          <w14:ligatures w14:val="none"/>
        </w:rPr>
        <w:t xml:space="preserve"> typically reflect investors moving assets into self-custody, something that aligns with accumulation behavior and reduced near-term selling pressure. </w:t>
      </w:r>
    </w:p>
    <w:p w14:paraId="1DA05950" w14:textId="77777777" w:rsidR="00C753A6" w:rsidRPr="00C753A6" w:rsidRDefault="00C753A6" w:rsidP="00C753A6">
      <w:pPr>
        <w:shd w:val="clear" w:color="auto" w:fill="FAECE1"/>
        <w:spacing w:after="0" w:line="240" w:lineRule="auto"/>
        <w:textAlignment w:val="baseline"/>
        <w:rPr>
          <w:rFonts w:ascii="Merriweather" w:eastAsia="Times New Roman" w:hAnsi="Merriweather" w:cs="Times New Roman"/>
          <w:color w:val="1A1A1A"/>
          <w:kern w:val="0"/>
          <w14:ligatures w14:val="none"/>
        </w:rPr>
      </w:pPr>
      <w:r w:rsidRPr="00C753A6">
        <w:rPr>
          <w:rFonts w:ascii="Merriweather" w:eastAsia="Times New Roman" w:hAnsi="Merriweather" w:cs="Times New Roman"/>
          <w:color w:val="1A1A1A"/>
          <w:kern w:val="0"/>
          <w:bdr w:val="none" w:sz="0" w:space="0" w:color="auto" w:frame="1"/>
          <w14:ligatures w14:val="none"/>
        </w:rPr>
        <w:t>However, the presence of positive Binance ESR readings suggested some traders are still moving coins towards centralized exchanges for potential selling. </w:t>
      </w:r>
    </w:p>
    <w:p w14:paraId="2B8F2516" w14:textId="77777777" w:rsidR="00C753A6" w:rsidRPr="00C753A6" w:rsidRDefault="00C753A6" w:rsidP="00C753A6">
      <w:pPr>
        <w:shd w:val="clear" w:color="auto" w:fill="FAECE1"/>
        <w:spacing w:after="0" w:line="240" w:lineRule="auto"/>
        <w:textAlignment w:val="baseline"/>
        <w:rPr>
          <w:rFonts w:ascii="Merriweather" w:eastAsia="Times New Roman" w:hAnsi="Merriweather" w:cs="Times New Roman"/>
          <w:color w:val="1A1A1A"/>
          <w:kern w:val="0"/>
          <w14:ligatures w14:val="none"/>
        </w:rPr>
      </w:pPr>
      <w:r w:rsidRPr="00C753A6">
        <w:rPr>
          <w:rFonts w:ascii="Merriweather" w:eastAsia="Times New Roman" w:hAnsi="Merriweather" w:cs="Times New Roman"/>
          <w:color w:val="1A1A1A"/>
          <w:kern w:val="0"/>
          <w:bdr w:val="none" w:sz="0" w:space="0" w:color="auto" w:frame="1"/>
          <w14:ligatures w14:val="none"/>
        </w:rPr>
        <w:t>The tug-of-war between accumulation and selling readiness can fuel uncertain short-term environment. This, despite the long-term structure remaining favorable for further gains.</w:t>
      </w:r>
    </w:p>
    <w:p w14:paraId="2D8E7A5C" w14:textId="668EB554" w:rsidR="00C753A6" w:rsidRPr="00C753A6" w:rsidRDefault="00C753A6" w:rsidP="00C753A6">
      <w:pPr>
        <w:shd w:val="clear" w:color="auto" w:fill="FAECE1"/>
        <w:spacing w:after="0" w:line="240" w:lineRule="auto"/>
        <w:textAlignment w:val="baseline"/>
        <w:rPr>
          <w:rFonts w:ascii="Merriweather" w:eastAsia="Times New Roman" w:hAnsi="Merriweather" w:cs="Times New Roman"/>
          <w:color w:val="777777"/>
          <w:kern w:val="0"/>
          <w14:ligatures w14:val="none"/>
        </w:rPr>
      </w:pPr>
      <w:r w:rsidRPr="00C753A6">
        <w:rPr>
          <w:rFonts w:ascii="Merriweather" w:eastAsia="Times New Roman" w:hAnsi="Merriweather" w:cs="Times New Roman"/>
          <w:noProof/>
          <w:color w:val="1A1A1A"/>
          <w:kern w:val="0"/>
          <w:sz w:val="19"/>
          <w:szCs w:val="19"/>
          <w:bdr w:val="none" w:sz="0" w:space="0" w:color="auto" w:frame="1"/>
          <w14:ligatures w14:val="none"/>
        </w:rPr>
        <w:lastRenderedPageBreak/>
        <w:drawing>
          <wp:inline distT="0" distB="0" distL="0" distR="0" wp14:anchorId="6D90024A" wp14:editId="3483E741">
            <wp:extent cx="5943600" cy="1763395"/>
            <wp:effectExtent l="0" t="0" r="0" b="1905"/>
            <wp:docPr id="1702731452" name="Picture 2" descr="A graph with red and blue lines&#10;&#10;AI-generated content may be incorrect.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31452" name="Picture 2" descr="A graph with red and blue lines&#10;&#10;AI-generated content may be incorrect.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8EC32" w14:textId="77777777" w:rsidR="00C753A6" w:rsidRPr="00C753A6" w:rsidRDefault="00C753A6" w:rsidP="00C753A6">
      <w:pPr>
        <w:shd w:val="clear" w:color="auto" w:fill="FAECE1"/>
        <w:spacing w:after="0" w:line="240" w:lineRule="auto"/>
        <w:textAlignment w:val="baseline"/>
        <w:rPr>
          <w:rFonts w:ascii="Merriweather" w:eastAsia="Times New Roman" w:hAnsi="Merriweather" w:cs="Times New Roman"/>
          <w:color w:val="1A1A1A"/>
          <w:kern w:val="0"/>
          <w:sz w:val="19"/>
          <w:szCs w:val="19"/>
          <w14:ligatures w14:val="none"/>
        </w:rPr>
      </w:pPr>
      <w:hyperlink r:id="rId12" w:tgtFrame="_blank" w:history="1">
        <w:r w:rsidRPr="00C753A6">
          <w:rPr>
            <w:rFonts w:ascii="Merriweather" w:eastAsia="Times New Roman" w:hAnsi="Merriweather" w:cs="Times New Roman"/>
            <w:color w:val="1A1A1A"/>
            <w:kern w:val="0"/>
            <w:sz w:val="19"/>
            <w:szCs w:val="19"/>
            <w:bdr w:val="none" w:sz="0" w:space="0" w:color="auto" w:frame="1"/>
            <w14:ligatures w14:val="none"/>
          </w:rPr>
          <w:t xml:space="preserve">Source: </w:t>
        </w:r>
        <w:proofErr w:type="spellStart"/>
        <w:r w:rsidRPr="00C753A6">
          <w:rPr>
            <w:rFonts w:ascii="Merriweather" w:eastAsia="Times New Roman" w:hAnsi="Merriweather" w:cs="Times New Roman"/>
            <w:color w:val="1A1A1A"/>
            <w:kern w:val="0"/>
            <w:sz w:val="19"/>
            <w:szCs w:val="19"/>
            <w:bdr w:val="none" w:sz="0" w:space="0" w:color="auto" w:frame="1"/>
            <w14:ligatures w14:val="none"/>
          </w:rPr>
          <w:t>CoinGlass</w:t>
        </w:r>
        <w:proofErr w:type="spellEnd"/>
      </w:hyperlink>
    </w:p>
    <w:p w14:paraId="618A0CA9" w14:textId="77777777" w:rsidR="00C753A6" w:rsidRPr="00C753A6" w:rsidRDefault="00C753A6" w:rsidP="00C753A6">
      <w:pPr>
        <w:shd w:val="clear" w:color="auto" w:fill="FAECE1"/>
        <w:spacing w:after="300" w:line="600" w:lineRule="atLeast"/>
        <w:textAlignment w:val="baseline"/>
        <w:outlineLvl w:val="1"/>
        <w:rPr>
          <w:rFonts w:ascii="Times New Roman" w:eastAsia="Times New Roman" w:hAnsi="Times New Roman" w:cs="Times New Roman"/>
          <w:color w:val="1A1A1A"/>
          <w:kern w:val="0"/>
          <w:sz w:val="60"/>
          <w:szCs w:val="60"/>
          <w14:ligatures w14:val="none"/>
        </w:rPr>
      </w:pPr>
      <w:r w:rsidRPr="00C753A6">
        <w:rPr>
          <w:rFonts w:ascii="Times New Roman" w:eastAsia="Times New Roman" w:hAnsi="Times New Roman" w:cs="Times New Roman"/>
          <w:color w:val="1A1A1A"/>
          <w:kern w:val="0"/>
          <w:sz w:val="60"/>
          <w:szCs w:val="60"/>
          <w14:ligatures w14:val="none"/>
        </w:rPr>
        <w:t>Will THESE liquidation zones dictate Ethereum’s next move?</w:t>
      </w:r>
    </w:p>
    <w:p w14:paraId="081488B6" w14:textId="77777777" w:rsidR="00C753A6" w:rsidRPr="00C753A6" w:rsidRDefault="00C753A6" w:rsidP="00C753A6">
      <w:pPr>
        <w:shd w:val="clear" w:color="auto" w:fill="FAECE1"/>
        <w:spacing w:after="0" w:line="240" w:lineRule="auto"/>
        <w:textAlignment w:val="baseline"/>
        <w:rPr>
          <w:rFonts w:ascii="Merriweather" w:eastAsia="Times New Roman" w:hAnsi="Merriweather" w:cs="Times New Roman"/>
          <w:color w:val="1A1A1A"/>
          <w:kern w:val="0"/>
          <w14:ligatures w14:val="none"/>
        </w:rPr>
      </w:pPr>
      <w:r w:rsidRPr="00C753A6">
        <w:rPr>
          <w:rFonts w:ascii="Merriweather" w:eastAsia="Times New Roman" w:hAnsi="Merriweather" w:cs="Times New Roman"/>
          <w:color w:val="1A1A1A"/>
          <w:kern w:val="0"/>
          <w:bdr w:val="none" w:sz="0" w:space="0" w:color="auto" w:frame="1"/>
          <w14:ligatures w14:val="none"/>
        </w:rPr>
        <w:t>The liquidation heatmap underlined dense clusters between $4,300 and $4,400 – levels that could act as price magnets in the immediate term. </w:t>
      </w:r>
    </w:p>
    <w:p w14:paraId="16CD7560" w14:textId="77777777" w:rsidR="00C753A6" w:rsidRPr="00C753A6" w:rsidRDefault="00C753A6" w:rsidP="00C753A6">
      <w:pPr>
        <w:shd w:val="clear" w:color="auto" w:fill="FAECE1"/>
        <w:spacing w:after="0" w:line="240" w:lineRule="auto"/>
        <w:textAlignment w:val="baseline"/>
        <w:rPr>
          <w:rFonts w:ascii="Merriweather" w:eastAsia="Times New Roman" w:hAnsi="Merriweather" w:cs="Times New Roman"/>
          <w:color w:val="1A1A1A"/>
          <w:kern w:val="0"/>
          <w14:ligatures w14:val="none"/>
        </w:rPr>
      </w:pPr>
      <w:r w:rsidRPr="00C753A6">
        <w:rPr>
          <w:rFonts w:ascii="Merriweather" w:eastAsia="Times New Roman" w:hAnsi="Merriweather" w:cs="Times New Roman"/>
          <w:color w:val="1A1A1A"/>
          <w:kern w:val="0"/>
          <w:bdr w:val="none" w:sz="0" w:space="0" w:color="auto" w:frame="1"/>
          <w14:ligatures w14:val="none"/>
        </w:rPr>
        <w:t>A decisive breakout above these clusters could trigger a chain reaction of short liquidations, accelerating the rally towards higher Fibonacci targets. </w:t>
      </w:r>
    </w:p>
    <w:p w14:paraId="631CB3BF" w14:textId="77777777" w:rsidR="00C753A6" w:rsidRPr="00C753A6" w:rsidRDefault="00C753A6" w:rsidP="00C753A6">
      <w:pPr>
        <w:shd w:val="clear" w:color="auto" w:fill="FAECE1"/>
        <w:spacing w:after="375" w:line="240" w:lineRule="auto"/>
        <w:textAlignment w:val="baseline"/>
        <w:rPr>
          <w:rFonts w:ascii="Merriweather" w:eastAsia="Times New Roman" w:hAnsi="Merriweather" w:cs="Times New Roman"/>
          <w:color w:val="1A1A1A"/>
          <w:kern w:val="0"/>
          <w14:ligatures w14:val="none"/>
        </w:rPr>
      </w:pPr>
      <w:r w:rsidRPr="00C753A6">
        <w:rPr>
          <w:rFonts w:ascii="Merriweather" w:eastAsia="Times New Roman" w:hAnsi="Merriweather" w:cs="Times New Roman"/>
          <w:color w:val="1A1A1A"/>
          <w:kern w:val="0"/>
          <w14:ligatures w14:val="none"/>
        </w:rPr>
        <w:t>Conversely, a failure here might invite heavy selling and a pullback towards the $4,000-support level. How ETH behaves around these liquidity pockets could dictate the next trend.</w:t>
      </w:r>
    </w:p>
    <w:p w14:paraId="5F28985A" w14:textId="39F6E0B0" w:rsidR="00C753A6" w:rsidRPr="00C753A6" w:rsidRDefault="00C753A6" w:rsidP="00C753A6">
      <w:pPr>
        <w:shd w:val="clear" w:color="auto" w:fill="FAECE1"/>
        <w:spacing w:after="0" w:line="240" w:lineRule="auto"/>
        <w:textAlignment w:val="baseline"/>
        <w:rPr>
          <w:rFonts w:ascii="Merriweather" w:eastAsia="Times New Roman" w:hAnsi="Merriweather" w:cs="Times New Roman"/>
          <w:color w:val="777777"/>
          <w:kern w:val="0"/>
          <w14:ligatures w14:val="none"/>
        </w:rPr>
      </w:pPr>
      <w:r w:rsidRPr="00C753A6">
        <w:rPr>
          <w:rFonts w:ascii="Merriweather" w:eastAsia="Times New Roman" w:hAnsi="Merriweather" w:cs="Times New Roman"/>
          <w:noProof/>
          <w:color w:val="1A1A1A"/>
          <w:kern w:val="0"/>
          <w:sz w:val="19"/>
          <w:szCs w:val="19"/>
          <w:bdr w:val="none" w:sz="0" w:space="0" w:color="auto" w:frame="1"/>
          <w14:ligatures w14:val="none"/>
        </w:rPr>
        <w:lastRenderedPageBreak/>
        <w:drawing>
          <wp:inline distT="0" distB="0" distL="0" distR="0" wp14:anchorId="48B4CCBD" wp14:editId="3C9829AF">
            <wp:extent cx="5943600" cy="4153535"/>
            <wp:effectExtent l="0" t="0" r="0" b="0"/>
            <wp:docPr id="633037800" name="Picture 1" descr="A graph of a stock market&#10;&#10;AI-generated content may be incorrect.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37800" name="Picture 1" descr="A graph of a stock market&#10;&#10;AI-generated content may be incorrect.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9991A" w14:textId="77777777" w:rsidR="00C753A6" w:rsidRPr="00C753A6" w:rsidRDefault="00C753A6" w:rsidP="00C753A6">
      <w:pPr>
        <w:shd w:val="clear" w:color="auto" w:fill="FAECE1"/>
        <w:spacing w:after="0" w:line="240" w:lineRule="auto"/>
        <w:textAlignment w:val="baseline"/>
        <w:rPr>
          <w:rFonts w:ascii="Merriweather" w:eastAsia="Times New Roman" w:hAnsi="Merriweather" w:cs="Times New Roman"/>
          <w:color w:val="1A1A1A"/>
          <w:kern w:val="0"/>
          <w:sz w:val="19"/>
          <w:szCs w:val="19"/>
          <w14:ligatures w14:val="none"/>
        </w:rPr>
      </w:pPr>
      <w:r w:rsidRPr="00C753A6">
        <w:rPr>
          <w:rFonts w:ascii="Merriweather" w:eastAsia="Times New Roman" w:hAnsi="Merriweather" w:cs="Times New Roman"/>
          <w:color w:val="1A1A1A"/>
          <w:kern w:val="0"/>
          <w:sz w:val="19"/>
          <w:szCs w:val="19"/>
          <w14:ligatures w14:val="none"/>
        </w:rPr>
        <w:t>Source: </w:t>
      </w:r>
      <w:proofErr w:type="spellStart"/>
      <w:r w:rsidRPr="00C753A6">
        <w:rPr>
          <w:rFonts w:ascii="Merriweather" w:eastAsia="Times New Roman" w:hAnsi="Merriweather" w:cs="Times New Roman"/>
          <w:color w:val="1A1A1A"/>
          <w:kern w:val="0"/>
          <w:sz w:val="19"/>
          <w:szCs w:val="19"/>
          <w14:ligatures w14:val="none"/>
        </w:rPr>
        <w:fldChar w:fldCharType="begin"/>
      </w:r>
      <w:r w:rsidRPr="00C753A6">
        <w:rPr>
          <w:rFonts w:ascii="Merriweather" w:eastAsia="Times New Roman" w:hAnsi="Merriweather" w:cs="Times New Roman"/>
          <w:color w:val="1A1A1A"/>
          <w:kern w:val="0"/>
          <w:sz w:val="19"/>
          <w:szCs w:val="19"/>
          <w14:ligatures w14:val="none"/>
        </w:rPr>
        <w:instrText>HYPERLINK "https://www.coinglass.com/pro/futures/LiquidationHeatMap" \t "_blank"</w:instrText>
      </w:r>
      <w:r w:rsidRPr="00C753A6">
        <w:rPr>
          <w:rFonts w:ascii="Merriweather" w:eastAsia="Times New Roman" w:hAnsi="Merriweather" w:cs="Times New Roman"/>
          <w:color w:val="1A1A1A"/>
          <w:kern w:val="0"/>
          <w:sz w:val="19"/>
          <w:szCs w:val="19"/>
          <w14:ligatures w14:val="none"/>
        </w:rPr>
      </w:r>
      <w:r w:rsidRPr="00C753A6">
        <w:rPr>
          <w:rFonts w:ascii="Merriweather" w:eastAsia="Times New Roman" w:hAnsi="Merriweather" w:cs="Times New Roman"/>
          <w:color w:val="1A1A1A"/>
          <w:kern w:val="0"/>
          <w:sz w:val="19"/>
          <w:szCs w:val="19"/>
          <w14:ligatures w14:val="none"/>
        </w:rPr>
        <w:fldChar w:fldCharType="separate"/>
      </w:r>
      <w:r w:rsidRPr="00C753A6">
        <w:rPr>
          <w:rFonts w:ascii="Merriweather" w:eastAsia="Times New Roman" w:hAnsi="Merriweather" w:cs="Times New Roman"/>
          <w:color w:val="1A1A1A"/>
          <w:kern w:val="0"/>
          <w:sz w:val="19"/>
          <w:szCs w:val="19"/>
          <w:bdr w:val="none" w:sz="0" w:space="0" w:color="auto" w:frame="1"/>
          <w14:ligatures w14:val="none"/>
        </w:rPr>
        <w:t>CoinGlass</w:t>
      </w:r>
      <w:proofErr w:type="spellEnd"/>
      <w:r w:rsidRPr="00C753A6">
        <w:rPr>
          <w:rFonts w:ascii="Merriweather" w:eastAsia="Times New Roman" w:hAnsi="Merriweather" w:cs="Times New Roman"/>
          <w:color w:val="1A1A1A"/>
          <w:kern w:val="0"/>
          <w:sz w:val="19"/>
          <w:szCs w:val="19"/>
          <w14:ligatures w14:val="none"/>
        </w:rPr>
        <w:fldChar w:fldCharType="end"/>
      </w:r>
    </w:p>
    <w:p w14:paraId="75233D34" w14:textId="77777777" w:rsidR="00C753A6" w:rsidRPr="00C753A6" w:rsidRDefault="00C753A6" w:rsidP="00C753A6">
      <w:pPr>
        <w:shd w:val="clear" w:color="auto" w:fill="FAECE1"/>
        <w:spacing w:after="300" w:line="600" w:lineRule="atLeast"/>
        <w:textAlignment w:val="baseline"/>
        <w:outlineLvl w:val="1"/>
        <w:rPr>
          <w:rFonts w:ascii="Times New Roman" w:eastAsia="Times New Roman" w:hAnsi="Times New Roman" w:cs="Times New Roman"/>
          <w:color w:val="1A1A1A"/>
          <w:kern w:val="0"/>
          <w:sz w:val="60"/>
          <w:szCs w:val="60"/>
          <w14:ligatures w14:val="none"/>
        </w:rPr>
      </w:pPr>
      <w:r w:rsidRPr="00C753A6">
        <w:rPr>
          <w:rFonts w:ascii="Times New Roman" w:eastAsia="Times New Roman" w:hAnsi="Times New Roman" w:cs="Times New Roman"/>
          <w:color w:val="1A1A1A"/>
          <w:kern w:val="0"/>
          <w:sz w:val="60"/>
          <w:szCs w:val="60"/>
          <w14:ligatures w14:val="none"/>
        </w:rPr>
        <w:t>Will Ethereum break $4,400, despite overbought risks?</w:t>
      </w:r>
    </w:p>
    <w:p w14:paraId="63EFEE06" w14:textId="77777777" w:rsidR="00C753A6" w:rsidRPr="00C753A6" w:rsidRDefault="00C753A6" w:rsidP="00C753A6">
      <w:pPr>
        <w:shd w:val="clear" w:color="auto" w:fill="FAECE1"/>
        <w:spacing w:after="0" w:line="240" w:lineRule="auto"/>
        <w:textAlignment w:val="baseline"/>
        <w:rPr>
          <w:rFonts w:ascii="Merriweather" w:eastAsia="Times New Roman" w:hAnsi="Merriweather" w:cs="Times New Roman"/>
          <w:color w:val="1A1A1A"/>
          <w:kern w:val="0"/>
          <w14:ligatures w14:val="none"/>
        </w:rPr>
      </w:pPr>
      <w:r w:rsidRPr="00C753A6">
        <w:rPr>
          <w:rFonts w:ascii="Merriweather" w:eastAsia="Times New Roman" w:hAnsi="Merriweather" w:cs="Times New Roman"/>
          <w:color w:val="1A1A1A"/>
          <w:kern w:val="0"/>
          <w:bdr w:val="none" w:sz="0" w:space="0" w:color="auto" w:frame="1"/>
          <w14:ligatures w14:val="none"/>
        </w:rPr>
        <w:t>Ethereum’s structure and on-chain data appeared to favor a breakout above $4,400, despite overbought RSI conditions. </w:t>
      </w:r>
    </w:p>
    <w:p w14:paraId="068B3905" w14:textId="77777777" w:rsidR="00C753A6" w:rsidRPr="00C753A6" w:rsidRDefault="00C753A6" w:rsidP="00C753A6">
      <w:pPr>
        <w:shd w:val="clear" w:color="auto" w:fill="FAECE1"/>
        <w:spacing w:after="0" w:line="240" w:lineRule="auto"/>
        <w:textAlignment w:val="baseline"/>
        <w:rPr>
          <w:rFonts w:ascii="Merriweather" w:eastAsia="Times New Roman" w:hAnsi="Merriweather" w:cs="Times New Roman"/>
          <w:color w:val="1A1A1A"/>
          <w:kern w:val="0"/>
          <w14:ligatures w14:val="none"/>
        </w:rPr>
      </w:pPr>
      <w:r w:rsidRPr="00C753A6">
        <w:rPr>
          <w:rFonts w:ascii="Merriweather" w:eastAsia="Times New Roman" w:hAnsi="Merriweather" w:cs="Times New Roman"/>
          <w:color w:val="1A1A1A"/>
          <w:kern w:val="0"/>
          <w:bdr w:val="none" w:sz="0" w:space="0" w:color="auto" w:frame="1"/>
          <w14:ligatures w14:val="none"/>
        </w:rPr>
        <w:t>Sustained exchange outflows, a falling all-exchange ESR, and strong accumulation could outweigh the risks from rising Binance ESR and high leverage. </w:t>
      </w:r>
    </w:p>
    <w:p w14:paraId="26172A51" w14:textId="77777777" w:rsidR="00C753A6" w:rsidRPr="00C753A6" w:rsidRDefault="00C753A6" w:rsidP="00C753A6">
      <w:pPr>
        <w:shd w:val="clear" w:color="auto" w:fill="FAECE1"/>
        <w:spacing w:after="0" w:line="240" w:lineRule="auto"/>
        <w:textAlignment w:val="baseline"/>
        <w:rPr>
          <w:rFonts w:ascii="Merriweather" w:eastAsia="Times New Roman" w:hAnsi="Merriweather" w:cs="Times New Roman"/>
          <w:color w:val="1A1A1A"/>
          <w:kern w:val="0"/>
          <w14:ligatures w14:val="none"/>
        </w:rPr>
      </w:pPr>
      <w:r w:rsidRPr="00C753A6">
        <w:rPr>
          <w:rFonts w:ascii="Merriweather" w:eastAsia="Times New Roman" w:hAnsi="Merriweather" w:cs="Times New Roman"/>
          <w:color w:val="1A1A1A"/>
          <w:kern w:val="0"/>
          <w:bdr w:val="none" w:sz="0" w:space="0" w:color="auto" w:frame="1"/>
          <w14:ligatures w14:val="none"/>
        </w:rPr>
        <w:t>If bulls maintain their momentum, a rally towards $4,800 might be likely. This would reinforce the bullish trajectory, while limiting the impact of short-term cooling from overheated readings at press time. </w:t>
      </w:r>
    </w:p>
    <w:p w14:paraId="132D538D" w14:textId="77777777" w:rsidR="00C753A6" w:rsidRDefault="00C753A6"/>
    <w:sectPr w:rsidR="00C75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3A6"/>
    <w:rsid w:val="00377CD6"/>
    <w:rsid w:val="00C753A6"/>
    <w:rsid w:val="00FE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7EDF3"/>
  <w15:chartTrackingRefBased/>
  <w15:docId w15:val="{789EE7EF-EC58-2C4B-B9BB-8BABF0A7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5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3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3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3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3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3A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75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C753A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753A6"/>
    <w:rPr>
      <w:color w:val="0000FF"/>
      <w:u w:val="single"/>
    </w:rPr>
  </w:style>
  <w:style w:type="paragraph" w:customStyle="1" w:styleId="wp-caption-text">
    <w:name w:val="wp-caption-text"/>
    <w:basedOn w:val="Normal"/>
    <w:rsid w:val="00C75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bcrypto.com/wp-content/uploads/2025/08/Ethereum-Futures-Volume-Bubble-Map-1.png" TargetMode="External"/><Relationship Id="rId13" Type="http://schemas.openxmlformats.org/officeDocument/2006/relationships/hyperlink" Target="https://ambcrypto.com/wp-content/uploads/2025/08/Binance-ETH_USDT-Liquidation-Heatmap24-hour-2025-08-10_12_25_04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www.coinglass.com/currencies/ETH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mbcrypto.com/wp-content/uploads/2025/08/ETHUSD_2025-08-10_12-20-25.p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cryptoquant.com/insights/quicktake/68977fae86d6ad2493d0f5c5-Ethereum-Diverging-Exchange-Flows-and-What-They-Mean-for-Pric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mbcrypto.com/wp-content/uploads/2025/08/Screenshot-2025-08-10-122425.png" TargetMode="External"/><Relationship Id="rId4" Type="http://schemas.openxmlformats.org/officeDocument/2006/relationships/hyperlink" Target="https://ambcrypto.com/predictions/ethereum-price-prediction/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656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Faleni</dc:creator>
  <cp:keywords/>
  <dc:description/>
  <cp:lastModifiedBy>Michel Faleni</cp:lastModifiedBy>
  <cp:revision>1</cp:revision>
  <dcterms:created xsi:type="dcterms:W3CDTF">2025-08-12T17:57:00Z</dcterms:created>
  <dcterms:modified xsi:type="dcterms:W3CDTF">2025-08-12T17:58:00Z</dcterms:modified>
</cp:coreProperties>
</file>