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Öğretmen Kendi Referansına Karşı Ne Kadar İyi? Uzaktan Algılama Segmentasyonunda SAM Üretimli Test Maskelerinin Değerlendirme Yanlılığı</w:t>
      </w:r>
    </w:p>
    <w:p>
      <w:pPr>
        <w:jc w:val="center"/>
      </w:pPr>
      <w:r>
        <w:t>Araştırma bildirisi taslağı | teacher_reference_bias_v1</w:t>
      </w:r>
    </w:p>
    <w:p>
      <w:pPr>
        <w:pStyle w:val="Heading1"/>
      </w:pPr>
      <w:r>
        <w:t>Öz</w:t>
      </w:r>
    </w:p>
    <w:p>
      <w:r>
        <w:t>Otomatik pseudo-maskeler segmentation pretraining için yararlıdır; ancak bağımsız test ground truth'u olarak kullanıldıklarında referansı üreten modeli kayırabilir. iSAID ve SAMRS SOTA üzerinde eşlenmiş SAM1/SAM2/SAM3 deneyleri ile 1.033 ortak instance'ın dual-reference analizi yapılmıştır. SAM1 IoU'su insan referansında 0.648, kendi pseudo referansında 0.998 bulunmuştur.</w:t>
      </w:r>
    </w:p>
    <w:p>
      <w:pPr>
        <w:pStyle w:val="Heading1"/>
      </w:pPr>
      <w:r>
        <w:t>1. Giriş ve Katkılar</w:t>
      </w:r>
    </w:p>
    <w:p>
      <w:r>
        <w:t>Çalışma pseudo-label'ın eğitim faydası ile pseudo-reference'ın benchmark geçerliliğini ayırır. Ana soru, aynı tahmin üzerinde yalnız referans değiştiğinde skorun ne kadar değiştiğidir.</w:t>
      </w:r>
    </w:p>
    <w:p>
      <w:pPr>
        <w:pStyle w:val="ListBullet"/>
      </w:pPr>
      <w:r>
        <w:t>Source-scene-safe ve iki veri setinde eşlenmiş plane protokolü.</w:t>
      </w:r>
    </w:p>
    <w:p>
      <w:pPr>
        <w:pStyle w:val="ListBullet"/>
      </w:pPr>
      <w:r>
        <w:t>Aynı tahmin için insan ve SAM1 pseudo eşleştirilmiş değerlendirme.</w:t>
      </w:r>
    </w:p>
    <w:p>
      <w:pPr>
        <w:pStyle w:val="ListBullet"/>
      </w:pPr>
      <w:r>
        <w:t>10.000 kaynak-sahne bootstrap ile referans enflasyonu aralıkları.</w:t>
      </w:r>
    </w:p>
    <w:p>
      <w:pPr>
        <w:pStyle w:val="ListBullet"/>
      </w:pPr>
      <w:r>
        <w:t>SAM1, SAM2 ve SAM3 için ayrı GT-bbox ve YOLO-bbox analizi.</w:t>
      </w:r>
    </w:p>
    <w:p>
      <w:pPr>
        <w:pStyle w:val="Heading1"/>
      </w:pPr>
      <w:r>
        <w:t>2. İlgili Çalışmalar</w:t>
      </w:r>
    </w:p>
    <w:p>
      <w:r>
        <w:t>SAMRS detection annotation'larını SAM1 ViT-H ile segmentation maskesine dönüştürür ve pretraining verisi sağlar. Brachmann et al. pseudo-ground-truth üreten algoritmanın benzer yöntemleri kayırabildiğini göstermiştir. SOPSeg ise küçük uzaktan algılama nesnelerinde en büyük katkının crop/magnification ve oriented prompt tasarımından geldiğini raporlar.</w:t>
      </w:r>
    </w:p>
    <w:p>
      <w:pPr>
        <w:pStyle w:val="Heading1"/>
      </w:pPr>
      <w:r>
        <w:t>3. Deney Tasarımı</w:t>
      </w:r>
    </w:p>
    <w:p>
      <w:pPr>
        <w:pStyle w:val="ListBullet"/>
      </w:pPr>
      <w:r>
        <w:t>İki veri setinde plane, 1024x1024 ve 128 test görüntüsü.</w:t>
      </w:r>
    </w:p>
    <w:p>
      <w:pPr>
        <w:pStyle w:val="ListBullet"/>
      </w:pPr>
      <w:r>
        <w:t>Dört overlap x mask area katmanında 32'şer görüntü.</w:t>
      </w:r>
    </w:p>
    <w:p>
      <w:pPr>
        <w:pStyle w:val="ListBullet"/>
      </w:pPr>
      <w:r>
        <w:t>Strata görüntü düzeyinde: No Overlap için maksimum bbox-pair IoU=0, Overlap için IoU&gt;=0,001.</w:t>
      </w:r>
    </w:p>
    <w:p>
      <w:pPr>
        <w:pStyle w:val="ListBullet"/>
      </w:pPr>
      <w:r>
        <w:t>Low/high alan eşiği veri seti içi medyandır: iSAID insan maskesinde %1.671, SAMRS pseudo maskesinde %1.193; bu kırılım betimleyicidir.</w:t>
      </w:r>
    </w:p>
    <w:p>
      <w:pPr>
        <w:pStyle w:val="ListBullet"/>
      </w:pPr>
      <w:r>
        <w:t>Train/validation/test source scene kesişimi sıfır.</w:t>
      </w:r>
    </w:p>
    <w:p>
      <w:pPr>
        <w:pStyle w:val="ListBullet"/>
      </w:pPr>
      <w:r>
        <w:t>İnsan maskeleri kayıpsız RLE'dir; boş maske ve piksel alanı uyuşmazlığı sıfırdır.</w:t>
      </w:r>
    </w:p>
    <w:p>
      <w:pPr>
        <w:pStyle w:val="ListBullet"/>
      </w:pPr>
      <w:r>
        <w:t>Original detection bbox ve YOLO bbox ayrı koşullar.</w:t>
      </w:r>
    </w:p>
    <w:p>
      <w:pPr>
        <w:pStyle w:val="ListBullet"/>
      </w:pPr>
      <w:r>
        <w:t>iSAID GT prompt'u resmi insan bbox'ı, SAMRS GT prompt'u özgün DOTA RHBox'ıdır; pseudo-maskeden bbox üretilmez.</w:t>
      </w:r>
    </w:p>
    <w:p>
      <w:pPr>
        <w:pStyle w:val="ListBullet"/>
      </w:pPr>
      <w:r>
        <w:t>Ana değerlendirme instance-level; detector AP ayrı.</w:t>
      </w:r>
    </w:p>
    <w:p>
      <w:pPr>
        <w:pStyle w:val="Heading1"/>
      </w:pPr>
      <w:r>
        <w:t>4. GT-bbox Sonuçları</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D9EAF7"/>
          </w:tcPr>
          <w:p>
            <w:r>
              <w:rPr>
                <w:b/>
                <w:sz w:val="16"/>
              </w:rPr>
              <w:t>Veri / referans</w:t>
            </w:r>
          </w:p>
        </w:tc>
        <w:tc>
          <w:tcPr>
            <w:tcW w:type="dxa" w:w="1452"/>
            <w:shd w:fill="D9EAF7"/>
          </w:tcPr>
          <w:p>
            <w:r>
              <w:rPr>
                <w:b/>
                <w:sz w:val="16"/>
              </w:rPr>
              <w:t>Model</w:t>
            </w:r>
          </w:p>
        </w:tc>
        <w:tc>
          <w:tcPr>
            <w:tcW w:type="dxa" w:w="1452"/>
            <w:shd w:fill="D9EAF7"/>
          </w:tcPr>
          <w:p>
            <w:r>
              <w:rPr>
                <w:b/>
                <w:sz w:val="16"/>
              </w:rPr>
              <w:t>IoU</w:t>
            </w:r>
          </w:p>
        </w:tc>
        <w:tc>
          <w:tcPr>
            <w:tcW w:type="dxa" w:w="1452"/>
            <w:shd w:fill="D9EAF7"/>
          </w:tcPr>
          <w:p>
            <w:r>
              <w:rPr>
                <w:b/>
                <w:sz w:val="16"/>
              </w:rPr>
              <w:t>Dice</w:t>
            </w:r>
          </w:p>
        </w:tc>
        <w:tc>
          <w:tcPr>
            <w:tcW w:type="dxa" w:w="1452"/>
            <w:shd w:fill="D9EAF7"/>
          </w:tcPr>
          <w:p>
            <w:r>
              <w:rPr>
                <w:b/>
                <w:sz w:val="16"/>
              </w:rPr>
              <w:t>Precision</w:t>
            </w:r>
          </w:p>
        </w:tc>
        <w:tc>
          <w:tcPr>
            <w:tcW w:type="dxa" w:w="1452"/>
            <w:shd w:fill="D9EAF7"/>
          </w:tcPr>
          <w:p>
            <w:r>
              <w:rPr>
                <w:b/>
                <w:sz w:val="16"/>
              </w:rPr>
              <w:t>Recall</w:t>
            </w:r>
          </w:p>
        </w:tc>
        <w:tc>
          <w:tcPr>
            <w:tcW w:type="dxa" w:w="1452"/>
            <w:shd w:fill="D9EAF7"/>
          </w:tcPr>
          <w:p>
            <w:r>
              <w:rPr>
                <w:b/>
                <w:sz w:val="16"/>
              </w:rPr>
              <w:t>Boundary IoU</w:t>
            </w:r>
          </w:p>
        </w:tc>
      </w:tr>
      <w:tr>
        <w:tc>
          <w:tcPr>
            <w:tcW w:type="dxa" w:w="1452"/>
            <w:vAlign w:val="center"/>
          </w:tcPr>
          <w:p>
            <w:pPr>
              <w:jc w:val="center"/>
            </w:pPr>
            <w:r>
              <w:rPr>
                <w:sz w:val="15"/>
              </w:rPr>
              <w:t>iSAID Plane / İnsan</w:t>
            </w:r>
          </w:p>
        </w:tc>
        <w:tc>
          <w:tcPr>
            <w:tcW w:type="dxa" w:w="1452"/>
            <w:vAlign w:val="center"/>
          </w:tcPr>
          <w:p>
            <w:pPr>
              <w:jc w:val="center"/>
            </w:pPr>
            <w:r>
              <w:rPr>
                <w:sz w:val="15"/>
              </w:rPr>
              <w:t>SAM1</w:t>
            </w:r>
          </w:p>
        </w:tc>
        <w:tc>
          <w:tcPr>
            <w:tcW w:type="dxa" w:w="1452"/>
            <w:shd w:fill="B9E176"/>
            <w:vAlign w:val="center"/>
          </w:tcPr>
          <w:p>
            <w:pPr>
              <w:jc w:val="center"/>
            </w:pPr>
            <w:r>
              <w:rPr>
                <w:sz w:val="15"/>
              </w:rPr>
              <w:t>0.661</w:t>
            </w:r>
          </w:p>
        </w:tc>
        <w:tc>
          <w:tcPr>
            <w:tcW w:type="dxa" w:w="1452"/>
            <w:shd w:fill="6DC063"/>
            <w:vAlign w:val="center"/>
          </w:tcPr>
          <w:p>
            <w:pPr>
              <w:jc w:val="center"/>
            </w:pPr>
            <w:r>
              <w:rPr>
                <w:sz w:val="15"/>
              </w:rPr>
              <w:t>0.787</w:t>
            </w:r>
          </w:p>
        </w:tc>
        <w:tc>
          <w:tcPr>
            <w:tcW w:type="dxa" w:w="1452"/>
            <w:shd w:fill="A9DA6B"/>
            <w:vAlign w:val="center"/>
          </w:tcPr>
          <w:p>
            <w:pPr>
              <w:jc w:val="center"/>
            </w:pPr>
            <w:r>
              <w:rPr>
                <w:sz w:val="15"/>
              </w:rPr>
              <w:t>0.692</w:t>
            </w:r>
          </w:p>
        </w:tc>
        <w:tc>
          <w:tcPr>
            <w:tcW w:type="dxa" w:w="1452"/>
            <w:shd w:fill="0E8244"/>
            <w:vAlign w:val="center"/>
          </w:tcPr>
          <w:p>
            <w:pPr>
              <w:jc w:val="center"/>
            </w:pPr>
            <w:r>
              <w:rPr>
                <w:sz w:val="15"/>
              </w:rPr>
              <w:t>0.943</w:t>
            </w:r>
          </w:p>
        </w:tc>
        <w:tc>
          <w:tcPr>
            <w:tcW w:type="dxa" w:w="1452"/>
            <w:shd w:fill="BBE277"/>
            <w:vAlign w:val="center"/>
          </w:tcPr>
          <w:p>
            <w:pPr>
              <w:jc w:val="center"/>
            </w:pPr>
            <w:r>
              <w:rPr>
                <w:sz w:val="15"/>
              </w:rPr>
              <w:t>0.657</w:t>
            </w:r>
          </w:p>
        </w:tc>
      </w:tr>
      <w:tr>
        <w:tc>
          <w:tcPr>
            <w:tcW w:type="dxa" w:w="1452"/>
            <w:vAlign w:val="center"/>
          </w:tcPr>
          <w:p>
            <w:pPr>
              <w:jc w:val="center"/>
            </w:pPr>
            <w:r>
              <w:rPr>
                <w:sz w:val="15"/>
              </w:rPr>
              <w:t>iSAID Plane / İnsan</w:t>
            </w:r>
          </w:p>
        </w:tc>
        <w:tc>
          <w:tcPr>
            <w:tcW w:type="dxa" w:w="1452"/>
            <w:vAlign w:val="center"/>
          </w:tcPr>
          <w:p>
            <w:pPr>
              <w:jc w:val="center"/>
            </w:pPr>
            <w:r>
              <w:rPr>
                <w:sz w:val="15"/>
              </w:rPr>
              <w:t>SAM2</w:t>
            </w:r>
          </w:p>
        </w:tc>
        <w:tc>
          <w:tcPr>
            <w:tcW w:type="dxa" w:w="1452"/>
            <w:shd w:fill="BFE37A"/>
            <w:vAlign w:val="center"/>
          </w:tcPr>
          <w:p>
            <w:pPr>
              <w:jc w:val="center"/>
            </w:pPr>
            <w:r>
              <w:rPr>
                <w:sz w:val="15"/>
              </w:rPr>
              <w:t>0.650</w:t>
            </w:r>
          </w:p>
        </w:tc>
        <w:tc>
          <w:tcPr>
            <w:tcW w:type="dxa" w:w="1452"/>
            <w:shd w:fill="75C364"/>
            <w:vAlign w:val="center"/>
          </w:tcPr>
          <w:p>
            <w:pPr>
              <w:jc w:val="center"/>
            </w:pPr>
            <w:r>
              <w:rPr>
                <w:sz w:val="15"/>
              </w:rPr>
              <w:t>0.777</w:t>
            </w:r>
          </w:p>
        </w:tc>
        <w:tc>
          <w:tcPr>
            <w:tcW w:type="dxa" w:w="1452"/>
            <w:shd w:fill="B3DE72"/>
            <w:vAlign w:val="center"/>
          </w:tcPr>
          <w:p>
            <w:pPr>
              <w:jc w:val="center"/>
            </w:pPr>
            <w:r>
              <w:rPr>
                <w:sz w:val="15"/>
              </w:rPr>
              <w:t>0.673</w:t>
            </w:r>
          </w:p>
        </w:tc>
        <w:tc>
          <w:tcPr>
            <w:tcW w:type="dxa" w:w="1452"/>
            <w:shd w:fill="0B7C41"/>
            <w:vAlign w:val="center"/>
          </w:tcPr>
          <w:p>
            <w:pPr>
              <w:jc w:val="center"/>
            </w:pPr>
            <w:r>
              <w:rPr>
                <w:sz w:val="15"/>
              </w:rPr>
              <w:t>0.955</w:t>
            </w:r>
          </w:p>
        </w:tc>
        <w:tc>
          <w:tcPr>
            <w:tcW w:type="dxa" w:w="1452"/>
            <w:shd w:fill="C1E47B"/>
            <w:vAlign w:val="center"/>
          </w:tcPr>
          <w:p>
            <w:pPr>
              <w:jc w:val="center"/>
            </w:pPr>
            <w:r>
              <w:rPr>
                <w:sz w:val="15"/>
              </w:rPr>
              <w:t>0.647</w:t>
            </w:r>
          </w:p>
        </w:tc>
      </w:tr>
      <w:tr>
        <w:tc>
          <w:tcPr>
            <w:tcW w:type="dxa" w:w="1452"/>
            <w:vAlign w:val="center"/>
          </w:tcPr>
          <w:p>
            <w:pPr>
              <w:jc w:val="center"/>
            </w:pPr>
            <w:r>
              <w:rPr>
                <w:sz w:val="15"/>
              </w:rPr>
              <w:t>iSAID Plane / İnsan</w:t>
            </w:r>
          </w:p>
        </w:tc>
        <w:tc>
          <w:tcPr>
            <w:tcW w:type="dxa" w:w="1452"/>
            <w:vAlign w:val="center"/>
          </w:tcPr>
          <w:p>
            <w:pPr>
              <w:jc w:val="center"/>
            </w:pPr>
            <w:r>
              <w:rPr>
                <w:sz w:val="15"/>
              </w:rPr>
              <w:t>SAM3</w:t>
            </w:r>
          </w:p>
        </w:tc>
        <w:tc>
          <w:tcPr>
            <w:tcW w:type="dxa" w:w="1452"/>
            <w:shd w:fill="B7E075"/>
            <w:vAlign w:val="center"/>
          </w:tcPr>
          <w:p>
            <w:pPr>
              <w:jc w:val="center"/>
            </w:pPr>
            <w:r>
              <w:rPr>
                <w:sz w:val="15"/>
              </w:rPr>
              <w:t>0.667</w:t>
            </w:r>
          </w:p>
        </w:tc>
        <w:tc>
          <w:tcPr>
            <w:tcW w:type="dxa" w:w="1452"/>
            <w:shd w:fill="75C364"/>
            <w:vAlign w:val="center"/>
          </w:tcPr>
          <w:p>
            <w:pPr>
              <w:jc w:val="center"/>
            </w:pPr>
            <w:r>
              <w:rPr>
                <w:sz w:val="15"/>
              </w:rPr>
              <w:t>0.776</w:t>
            </w:r>
          </w:p>
        </w:tc>
        <w:tc>
          <w:tcPr>
            <w:tcW w:type="dxa" w:w="1452"/>
            <w:shd w:fill="A7D96A"/>
            <w:vAlign w:val="center"/>
          </w:tcPr>
          <w:p>
            <w:pPr>
              <w:jc w:val="center"/>
            </w:pPr>
            <w:r>
              <w:rPr>
                <w:sz w:val="15"/>
              </w:rPr>
              <w:t>0.696</w:t>
            </w:r>
          </w:p>
        </w:tc>
        <w:tc>
          <w:tcPr>
            <w:tcW w:type="dxa" w:w="1452"/>
            <w:shd w:fill="1B9850"/>
            <w:vAlign w:val="center"/>
          </w:tcPr>
          <w:p>
            <w:pPr>
              <w:jc w:val="center"/>
            </w:pPr>
            <w:r>
              <w:rPr>
                <w:sz w:val="15"/>
              </w:rPr>
              <w:t>0.897</w:t>
            </w:r>
          </w:p>
        </w:tc>
        <w:tc>
          <w:tcPr>
            <w:tcW w:type="dxa" w:w="1452"/>
            <w:shd w:fill="B7E075"/>
            <w:vAlign w:val="center"/>
          </w:tcPr>
          <w:p>
            <w:pPr>
              <w:jc w:val="center"/>
            </w:pPr>
            <w:r>
              <w:rPr>
                <w:sz w:val="15"/>
              </w:rPr>
              <w:t>0.665</w:t>
            </w:r>
          </w:p>
        </w:tc>
      </w:tr>
      <w:tr>
        <w:tc>
          <w:tcPr>
            <w:tcW w:type="dxa" w:w="1452"/>
            <w:vAlign w:val="center"/>
          </w:tcPr>
          <w:p>
            <w:pPr>
              <w:jc w:val="center"/>
            </w:pPr>
            <w:r>
              <w:rPr>
                <w:sz w:val="15"/>
              </w:rPr>
              <w:t>iSAID Plane / SAM1 pseudo</w:t>
            </w:r>
          </w:p>
        </w:tc>
        <w:tc>
          <w:tcPr>
            <w:tcW w:type="dxa" w:w="1452"/>
            <w:vAlign w:val="center"/>
          </w:tcPr>
          <w:p>
            <w:pPr>
              <w:jc w:val="center"/>
            </w:pPr>
            <w:r>
              <w:rPr>
                <w:sz w:val="15"/>
              </w:rPr>
              <w:t>SAM1</w:t>
            </w:r>
          </w:p>
        </w:tc>
        <w:tc>
          <w:tcPr>
            <w:tcW w:type="dxa" w:w="1452"/>
            <w:shd w:fill="006837"/>
            <w:vAlign w:val="center"/>
          </w:tcPr>
          <w:p>
            <w:pPr>
              <w:jc w:val="center"/>
            </w:pPr>
            <w:r>
              <w:rPr>
                <w:sz w:val="15"/>
              </w:rPr>
              <w:t>1.000</w:t>
            </w:r>
          </w:p>
        </w:tc>
        <w:tc>
          <w:tcPr>
            <w:tcW w:type="dxa" w:w="1452"/>
            <w:shd w:fill="006837"/>
            <w:vAlign w:val="center"/>
          </w:tcPr>
          <w:p>
            <w:pPr>
              <w:jc w:val="center"/>
            </w:pPr>
            <w:r>
              <w:rPr>
                <w:sz w:val="15"/>
              </w:rPr>
              <w:t>1.000</w:t>
            </w:r>
          </w:p>
        </w:tc>
        <w:tc>
          <w:tcPr>
            <w:tcW w:type="dxa" w:w="1452"/>
            <w:shd w:fill="006837"/>
            <w:vAlign w:val="center"/>
          </w:tcPr>
          <w:p>
            <w:pPr>
              <w:jc w:val="center"/>
            </w:pPr>
            <w:r>
              <w:rPr>
                <w:sz w:val="15"/>
              </w:rPr>
              <w:t>1.000</w:t>
            </w:r>
          </w:p>
        </w:tc>
        <w:tc>
          <w:tcPr>
            <w:tcW w:type="dxa" w:w="1452"/>
            <w:shd w:fill="006837"/>
            <w:vAlign w:val="center"/>
          </w:tcPr>
          <w:p>
            <w:pPr>
              <w:jc w:val="center"/>
            </w:pPr>
            <w:r>
              <w:rPr>
                <w:sz w:val="15"/>
              </w:rPr>
              <w:t>1.000</w:t>
            </w:r>
          </w:p>
        </w:tc>
        <w:tc>
          <w:tcPr>
            <w:tcW w:type="dxa" w:w="1452"/>
            <w:shd w:fill="006837"/>
            <w:vAlign w:val="center"/>
          </w:tcPr>
          <w:p>
            <w:pPr>
              <w:jc w:val="center"/>
            </w:pPr>
            <w:r>
              <w:rPr>
                <w:sz w:val="15"/>
              </w:rPr>
              <w:t>1.000</w:t>
            </w:r>
          </w:p>
        </w:tc>
      </w:tr>
      <w:tr>
        <w:tc>
          <w:tcPr>
            <w:tcW w:type="dxa" w:w="1452"/>
            <w:vAlign w:val="center"/>
          </w:tcPr>
          <w:p>
            <w:pPr>
              <w:jc w:val="center"/>
            </w:pPr>
            <w:r>
              <w:rPr>
                <w:sz w:val="15"/>
              </w:rPr>
              <w:t>iSAID Plane / SAM1 pseudo</w:t>
            </w:r>
          </w:p>
        </w:tc>
        <w:tc>
          <w:tcPr>
            <w:tcW w:type="dxa" w:w="1452"/>
            <w:vAlign w:val="center"/>
          </w:tcPr>
          <w:p>
            <w:pPr>
              <w:jc w:val="center"/>
            </w:pPr>
            <w:r>
              <w:rPr>
                <w:sz w:val="15"/>
              </w:rPr>
              <w:t>SAM2</w:t>
            </w:r>
          </w:p>
        </w:tc>
        <w:tc>
          <w:tcPr>
            <w:tcW w:type="dxa" w:w="1452"/>
            <w:shd w:fill="4EB15D"/>
            <w:vAlign w:val="center"/>
          </w:tcPr>
          <w:p>
            <w:pPr>
              <w:jc w:val="center"/>
            </w:pPr>
            <w:r>
              <w:rPr>
                <w:sz w:val="15"/>
              </w:rPr>
              <w:t>0.831</w:t>
            </w:r>
          </w:p>
        </w:tc>
        <w:tc>
          <w:tcPr>
            <w:tcW w:type="dxa" w:w="1452"/>
            <w:shd w:fill="19974F"/>
            <w:vAlign w:val="center"/>
          </w:tcPr>
          <w:p>
            <w:pPr>
              <w:jc w:val="center"/>
            </w:pPr>
            <w:r>
              <w:rPr>
                <w:sz w:val="15"/>
              </w:rPr>
              <w:t>0.900</w:t>
            </w:r>
          </w:p>
        </w:tc>
        <w:tc>
          <w:tcPr>
            <w:tcW w:type="dxa" w:w="1452"/>
            <w:shd w:fill="219B51"/>
            <w:vAlign w:val="center"/>
          </w:tcPr>
          <w:p>
            <w:pPr>
              <w:jc w:val="center"/>
            </w:pPr>
            <w:r>
              <w:rPr>
                <w:sz w:val="15"/>
              </w:rPr>
              <w:t>0.889</w:t>
            </w:r>
          </w:p>
        </w:tc>
        <w:tc>
          <w:tcPr>
            <w:tcW w:type="dxa" w:w="1452"/>
            <w:shd w:fill="128948"/>
            <w:vAlign w:val="center"/>
          </w:tcPr>
          <w:p>
            <w:pPr>
              <w:jc w:val="center"/>
            </w:pPr>
            <w:r>
              <w:rPr>
                <w:sz w:val="15"/>
              </w:rPr>
              <w:t>0.929</w:t>
            </w:r>
          </w:p>
        </w:tc>
        <w:tc>
          <w:tcPr>
            <w:tcW w:type="dxa" w:w="1452"/>
            <w:shd w:fill="51B25D"/>
            <w:vAlign w:val="center"/>
          </w:tcPr>
          <w:p>
            <w:pPr>
              <w:jc w:val="center"/>
            </w:pPr>
            <w:r>
              <w:rPr>
                <w:sz w:val="15"/>
              </w:rPr>
              <w:t>0.828</w:t>
            </w:r>
          </w:p>
        </w:tc>
      </w:tr>
      <w:tr>
        <w:tc>
          <w:tcPr>
            <w:tcW w:type="dxa" w:w="1452"/>
            <w:vAlign w:val="center"/>
          </w:tcPr>
          <w:p>
            <w:pPr>
              <w:jc w:val="center"/>
            </w:pPr>
            <w:r>
              <w:rPr>
                <w:sz w:val="15"/>
              </w:rPr>
              <w:t>iSAID Plane / SAM1 pseudo</w:t>
            </w:r>
          </w:p>
        </w:tc>
        <w:tc>
          <w:tcPr>
            <w:tcW w:type="dxa" w:w="1452"/>
            <w:vAlign w:val="center"/>
          </w:tcPr>
          <w:p>
            <w:pPr>
              <w:jc w:val="center"/>
            </w:pPr>
            <w:r>
              <w:rPr>
                <w:sz w:val="15"/>
              </w:rPr>
              <w:t>SAM3</w:t>
            </w:r>
          </w:p>
        </w:tc>
        <w:tc>
          <w:tcPr>
            <w:tcW w:type="dxa" w:w="1452"/>
            <w:shd w:fill="75C364"/>
            <w:vAlign w:val="center"/>
          </w:tcPr>
          <w:p>
            <w:pPr>
              <w:jc w:val="center"/>
            </w:pPr>
            <w:r>
              <w:rPr>
                <w:sz w:val="15"/>
              </w:rPr>
              <w:t>0.775</w:t>
            </w:r>
          </w:p>
        </w:tc>
        <w:tc>
          <w:tcPr>
            <w:tcW w:type="dxa" w:w="1452"/>
            <w:shd w:fill="42AB5A"/>
            <w:vAlign w:val="center"/>
          </w:tcPr>
          <w:p>
            <w:pPr>
              <w:jc w:val="center"/>
            </w:pPr>
            <w:r>
              <w:rPr>
                <w:sz w:val="15"/>
              </w:rPr>
              <w:t>0.846</w:t>
            </w:r>
          </w:p>
        </w:tc>
        <w:tc>
          <w:tcPr>
            <w:tcW w:type="dxa" w:w="1452"/>
            <w:shd w:fill="33A456"/>
            <w:vAlign w:val="center"/>
          </w:tcPr>
          <w:p>
            <w:pPr>
              <w:jc w:val="center"/>
            </w:pPr>
            <w:r>
              <w:rPr>
                <w:sz w:val="15"/>
              </w:rPr>
              <w:t>0.867</w:t>
            </w:r>
          </w:p>
        </w:tc>
        <w:tc>
          <w:tcPr>
            <w:tcW w:type="dxa" w:w="1452"/>
            <w:shd w:fill="48AE5B"/>
            <w:vAlign w:val="center"/>
          </w:tcPr>
          <w:p>
            <w:pPr>
              <w:jc w:val="center"/>
            </w:pPr>
            <w:r>
              <w:rPr>
                <w:sz w:val="15"/>
              </w:rPr>
              <w:t>0.838</w:t>
            </w:r>
          </w:p>
        </w:tc>
        <w:tc>
          <w:tcPr>
            <w:tcW w:type="dxa" w:w="1452"/>
            <w:shd w:fill="77C464"/>
            <w:vAlign w:val="center"/>
          </w:tcPr>
          <w:p>
            <w:pPr>
              <w:jc w:val="center"/>
            </w:pPr>
            <w:r>
              <w:rPr>
                <w:sz w:val="15"/>
              </w:rPr>
              <w:t>0.771</w:t>
            </w:r>
          </w:p>
        </w:tc>
      </w:tr>
      <w:tr>
        <w:tc>
          <w:tcPr>
            <w:tcW w:type="dxa" w:w="1452"/>
            <w:vAlign w:val="center"/>
          </w:tcPr>
          <w:p>
            <w:pPr>
              <w:jc w:val="center"/>
            </w:pPr>
            <w:r>
              <w:rPr>
                <w:sz w:val="15"/>
              </w:rPr>
              <w:t>SAMRS SOTA Plane / SAM1 pseudo</w:t>
            </w:r>
          </w:p>
        </w:tc>
        <w:tc>
          <w:tcPr>
            <w:tcW w:type="dxa" w:w="1452"/>
            <w:vAlign w:val="center"/>
          </w:tcPr>
          <w:p>
            <w:pPr>
              <w:jc w:val="center"/>
            </w:pPr>
            <w:r>
              <w:rPr>
                <w:sz w:val="15"/>
              </w:rPr>
              <w:t>SAM1</w:t>
            </w:r>
          </w:p>
        </w:tc>
        <w:tc>
          <w:tcPr>
            <w:tcW w:type="dxa" w:w="1452"/>
            <w:shd w:fill="006837"/>
            <w:vAlign w:val="center"/>
          </w:tcPr>
          <w:p>
            <w:pPr>
              <w:jc w:val="center"/>
            </w:pPr>
            <w:r>
              <w:rPr>
                <w:sz w:val="15"/>
              </w:rPr>
              <w:t>0.997</w:t>
            </w:r>
          </w:p>
        </w:tc>
        <w:tc>
          <w:tcPr>
            <w:tcW w:type="dxa" w:w="1452"/>
            <w:shd w:fill="006837"/>
            <w:vAlign w:val="center"/>
          </w:tcPr>
          <w:p>
            <w:pPr>
              <w:jc w:val="center"/>
            </w:pPr>
            <w:r>
              <w:rPr>
                <w:sz w:val="15"/>
              </w:rPr>
              <w:t>0.998</w:t>
            </w:r>
          </w:p>
        </w:tc>
        <w:tc>
          <w:tcPr>
            <w:tcW w:type="dxa" w:w="1452"/>
            <w:shd w:fill="006837"/>
            <w:vAlign w:val="center"/>
          </w:tcPr>
          <w:p>
            <w:pPr>
              <w:jc w:val="center"/>
            </w:pPr>
            <w:r>
              <w:rPr>
                <w:sz w:val="15"/>
              </w:rPr>
              <w:t>0.999</w:t>
            </w:r>
          </w:p>
        </w:tc>
        <w:tc>
          <w:tcPr>
            <w:tcW w:type="dxa" w:w="1452"/>
            <w:shd w:fill="006837"/>
            <w:vAlign w:val="center"/>
          </w:tcPr>
          <w:p>
            <w:pPr>
              <w:jc w:val="center"/>
            </w:pPr>
            <w:r>
              <w:rPr>
                <w:sz w:val="15"/>
              </w:rPr>
              <w:t>0.998</w:t>
            </w:r>
          </w:p>
        </w:tc>
        <w:tc>
          <w:tcPr>
            <w:tcW w:type="dxa" w:w="1452"/>
            <w:shd w:fill="006837"/>
            <w:vAlign w:val="center"/>
          </w:tcPr>
          <w:p>
            <w:pPr>
              <w:jc w:val="center"/>
            </w:pPr>
            <w:r>
              <w:rPr>
                <w:sz w:val="15"/>
              </w:rPr>
              <w:t>0.997</w:t>
            </w:r>
          </w:p>
        </w:tc>
      </w:tr>
      <w:tr>
        <w:tc>
          <w:tcPr>
            <w:tcW w:type="dxa" w:w="1452"/>
            <w:vAlign w:val="center"/>
          </w:tcPr>
          <w:p>
            <w:pPr>
              <w:jc w:val="center"/>
            </w:pPr>
            <w:r>
              <w:rPr>
                <w:sz w:val="15"/>
              </w:rPr>
              <w:t>SAMRS SOTA Plane / SAM1 pseudo</w:t>
            </w:r>
          </w:p>
        </w:tc>
        <w:tc>
          <w:tcPr>
            <w:tcW w:type="dxa" w:w="1452"/>
            <w:vAlign w:val="center"/>
          </w:tcPr>
          <w:p>
            <w:pPr>
              <w:jc w:val="center"/>
            </w:pPr>
            <w:r>
              <w:rPr>
                <w:sz w:val="15"/>
              </w:rPr>
              <w:t>SAM2</w:t>
            </w:r>
          </w:p>
        </w:tc>
        <w:tc>
          <w:tcPr>
            <w:tcW w:type="dxa" w:w="1452"/>
            <w:shd w:fill="6BBF63"/>
            <w:vAlign w:val="center"/>
          </w:tcPr>
          <w:p>
            <w:pPr>
              <w:jc w:val="center"/>
            </w:pPr>
            <w:r>
              <w:rPr>
                <w:sz w:val="15"/>
              </w:rPr>
              <w:t>0.791</w:t>
            </w:r>
          </w:p>
        </w:tc>
        <w:tc>
          <w:tcPr>
            <w:tcW w:type="dxa" w:w="1452"/>
            <w:shd w:fill="2A9F54"/>
            <w:vAlign w:val="center"/>
          </w:tcPr>
          <w:p>
            <w:pPr>
              <w:jc w:val="center"/>
            </w:pPr>
            <w:r>
              <w:rPr>
                <w:sz w:val="15"/>
              </w:rPr>
              <w:t>0.877</w:t>
            </w:r>
          </w:p>
        </w:tc>
        <w:tc>
          <w:tcPr>
            <w:tcW w:type="dxa" w:w="1452"/>
            <w:shd w:fill="57B55F"/>
            <w:vAlign w:val="center"/>
          </w:tcPr>
          <w:p>
            <w:pPr>
              <w:jc w:val="center"/>
            </w:pPr>
            <w:r>
              <w:rPr>
                <w:sz w:val="15"/>
              </w:rPr>
              <w:t>0.816</w:t>
            </w:r>
          </w:p>
        </w:tc>
        <w:tc>
          <w:tcPr>
            <w:tcW w:type="dxa" w:w="1452"/>
            <w:shd w:fill="09783F"/>
            <w:vAlign w:val="center"/>
          </w:tcPr>
          <w:p>
            <w:pPr>
              <w:jc w:val="center"/>
            </w:pPr>
            <w:r>
              <w:rPr>
                <w:sz w:val="15"/>
              </w:rPr>
              <w:t>0.964</w:t>
            </w:r>
          </w:p>
        </w:tc>
        <w:tc>
          <w:tcPr>
            <w:tcW w:type="dxa" w:w="1452"/>
            <w:shd w:fill="6BBF63"/>
            <w:vAlign w:val="center"/>
          </w:tcPr>
          <w:p>
            <w:pPr>
              <w:jc w:val="center"/>
            </w:pPr>
            <w:r>
              <w:rPr>
                <w:sz w:val="15"/>
              </w:rPr>
              <w:t>0.790</w:t>
            </w:r>
          </w:p>
        </w:tc>
      </w:tr>
      <w:tr>
        <w:tc>
          <w:tcPr>
            <w:tcW w:type="dxa" w:w="1452"/>
            <w:vAlign w:val="center"/>
          </w:tcPr>
          <w:p>
            <w:pPr>
              <w:jc w:val="center"/>
            </w:pPr>
            <w:r>
              <w:rPr>
                <w:sz w:val="15"/>
              </w:rPr>
              <w:t>SAMRS SOTA Plane / SAM1 pseudo</w:t>
            </w:r>
          </w:p>
        </w:tc>
        <w:tc>
          <w:tcPr>
            <w:tcW w:type="dxa" w:w="1452"/>
            <w:vAlign w:val="center"/>
          </w:tcPr>
          <w:p>
            <w:pPr>
              <w:jc w:val="center"/>
            </w:pPr>
            <w:r>
              <w:rPr>
                <w:sz w:val="15"/>
              </w:rPr>
              <w:t>SAM3</w:t>
            </w:r>
          </w:p>
        </w:tc>
        <w:tc>
          <w:tcPr>
            <w:tcW w:type="dxa" w:w="1452"/>
            <w:shd w:fill="B7E075"/>
            <w:vAlign w:val="center"/>
          </w:tcPr>
          <w:p>
            <w:pPr>
              <w:jc w:val="center"/>
            </w:pPr>
            <w:r>
              <w:rPr>
                <w:sz w:val="15"/>
              </w:rPr>
              <w:t>0.666</w:t>
            </w:r>
          </w:p>
        </w:tc>
        <w:tc>
          <w:tcPr>
            <w:tcW w:type="dxa" w:w="1452"/>
            <w:shd w:fill="75C364"/>
            <w:vAlign w:val="center"/>
          </w:tcPr>
          <w:p>
            <w:pPr>
              <w:jc w:val="center"/>
            </w:pPr>
            <w:r>
              <w:rPr>
                <w:sz w:val="15"/>
              </w:rPr>
              <w:t>0.775</w:t>
            </w:r>
          </w:p>
        </w:tc>
        <w:tc>
          <w:tcPr>
            <w:tcW w:type="dxa" w:w="1452"/>
            <w:shd w:fill="A2D769"/>
            <w:vAlign w:val="center"/>
          </w:tcPr>
          <w:p>
            <w:pPr>
              <w:jc w:val="center"/>
            </w:pPr>
            <w:r>
              <w:rPr>
                <w:sz w:val="15"/>
              </w:rPr>
              <w:t>0.703</w:t>
            </w:r>
          </w:p>
        </w:tc>
        <w:tc>
          <w:tcPr>
            <w:tcW w:type="dxa" w:w="1452"/>
            <w:shd w:fill="128948"/>
            <w:vAlign w:val="center"/>
          </w:tcPr>
          <w:p>
            <w:pPr>
              <w:jc w:val="center"/>
            </w:pPr>
            <w:r>
              <w:rPr>
                <w:sz w:val="15"/>
              </w:rPr>
              <w:t>0.929</w:t>
            </w:r>
          </w:p>
        </w:tc>
        <w:tc>
          <w:tcPr>
            <w:tcW w:type="dxa" w:w="1452"/>
            <w:shd w:fill="B7E075"/>
            <w:vAlign w:val="center"/>
          </w:tcPr>
          <w:p>
            <w:pPr>
              <w:jc w:val="center"/>
            </w:pPr>
            <w:r>
              <w:rPr>
                <w:sz w:val="15"/>
              </w:rPr>
              <w:t>0.665</w:t>
            </w:r>
          </w:p>
        </w:tc>
      </w:tr>
    </w:tbl>
    <w:p>
      <w:pPr>
        <w:jc w:val="center"/>
      </w:pPr>
      <w:r>
        <w:drawing>
          <wp:inline xmlns:a="http://schemas.openxmlformats.org/drawingml/2006/main" xmlns:pic="http://schemas.openxmlformats.org/drawingml/2006/picture">
            <wp:extent cx="5989320" cy="2636852"/>
            <wp:docPr id="1" name="Picture 1"/>
            <wp:cNvGraphicFramePr>
              <a:graphicFrameLocks noChangeAspect="1"/>
            </wp:cNvGraphicFramePr>
            <a:graphic>
              <a:graphicData uri="http://schemas.openxmlformats.org/drawingml/2006/picture">
                <pic:pic>
                  <pic:nvPicPr>
                    <pic:cNvPr id="0" name="shared_human_reference_comparison.png"/>
                    <pic:cNvPicPr/>
                  </pic:nvPicPr>
                  <pic:blipFill>
                    <a:blip r:embed="rId9"/>
                    <a:stretch>
                      <a:fillRect/>
                    </a:stretch>
                  </pic:blipFill>
                  <pic:spPr>
                    <a:xfrm>
                      <a:off x="0" y="0"/>
                      <a:ext cx="5989320" cy="2636852"/>
                    </a:xfrm>
                    <a:prstGeom prst="rect"/>
                  </pic:spPr>
                </pic:pic>
              </a:graphicData>
            </a:graphic>
          </wp:inline>
        </w:drawing>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sz w:val="16"/>
              </w:rPr>
              <w:t>Model</w:t>
            </w:r>
          </w:p>
        </w:tc>
        <w:tc>
          <w:tcPr>
            <w:tcW w:type="dxa" w:w="2033"/>
            <w:shd w:fill="D9EAF7"/>
          </w:tcPr>
          <w:p>
            <w:r>
              <w:rPr>
                <w:b/>
                <w:sz w:val="16"/>
              </w:rPr>
              <w:t>İnsan IoU</w:t>
            </w:r>
          </w:p>
        </w:tc>
        <w:tc>
          <w:tcPr>
            <w:tcW w:type="dxa" w:w="2033"/>
            <w:shd w:fill="D9EAF7"/>
          </w:tcPr>
          <w:p>
            <w:r>
              <w:rPr>
                <w:b/>
                <w:sz w:val="16"/>
              </w:rPr>
              <w:t>SAM1 pseudo IoU</w:t>
            </w:r>
          </w:p>
        </w:tc>
        <w:tc>
          <w:tcPr>
            <w:tcW w:type="dxa" w:w="2033"/>
            <w:shd w:fill="D9EAF7"/>
          </w:tcPr>
          <w:p>
            <w:r>
              <w:rPr>
                <w:b/>
                <w:sz w:val="16"/>
              </w:rPr>
              <w:t>Enflasyon</w:t>
            </w:r>
          </w:p>
        </w:tc>
        <w:tc>
          <w:tcPr>
            <w:tcW w:type="dxa" w:w="2033"/>
            <w:shd w:fill="D9EAF7"/>
          </w:tcPr>
          <w:p>
            <w:r>
              <w:rPr>
                <w:b/>
                <w:sz w:val="16"/>
              </w:rPr>
              <w:t>%95 GA</w:t>
            </w:r>
          </w:p>
        </w:tc>
      </w:tr>
      <w:tr>
        <w:tc>
          <w:tcPr>
            <w:tcW w:type="dxa" w:w="2033"/>
            <w:vAlign w:val="center"/>
          </w:tcPr>
          <w:p>
            <w:pPr>
              <w:jc w:val="center"/>
            </w:pPr>
            <w:r>
              <w:rPr>
                <w:sz w:val="15"/>
              </w:rPr>
              <w:t>SAM1</w:t>
            </w:r>
          </w:p>
        </w:tc>
        <w:tc>
          <w:tcPr>
            <w:tcW w:type="dxa" w:w="2033"/>
            <w:shd w:fill="C1E47B"/>
            <w:vAlign w:val="center"/>
          </w:tcPr>
          <w:p>
            <w:pPr>
              <w:jc w:val="center"/>
            </w:pPr>
            <w:r>
              <w:rPr>
                <w:sz w:val="15"/>
              </w:rPr>
              <w:t>0.648</w:t>
            </w:r>
          </w:p>
        </w:tc>
        <w:tc>
          <w:tcPr>
            <w:tcW w:type="dxa" w:w="2033"/>
            <w:shd w:fill="006837"/>
            <w:vAlign w:val="center"/>
          </w:tcPr>
          <w:p>
            <w:pPr>
              <w:jc w:val="center"/>
            </w:pPr>
            <w:r>
              <w:rPr>
                <w:sz w:val="15"/>
              </w:rPr>
              <w:t>0.998</w:t>
            </w:r>
          </w:p>
        </w:tc>
        <w:tc>
          <w:tcPr>
            <w:tcW w:type="dxa" w:w="2033"/>
            <w:shd w:fill="FDC675"/>
            <w:vAlign w:val="center"/>
          </w:tcPr>
          <w:p>
            <w:pPr>
              <w:jc w:val="center"/>
            </w:pPr>
            <w:r>
              <w:rPr>
                <w:sz w:val="15"/>
              </w:rPr>
              <w:t>0.350</w:t>
            </w:r>
          </w:p>
        </w:tc>
        <w:tc>
          <w:tcPr>
            <w:tcW w:type="dxa" w:w="2033"/>
            <w:vAlign w:val="center"/>
          </w:tcPr>
          <w:p>
            <w:pPr>
              <w:jc w:val="center"/>
            </w:pPr>
            <w:r>
              <w:rPr>
                <w:sz w:val="15"/>
              </w:rPr>
              <w:t>[0.313, 0.378]</w:t>
            </w:r>
          </w:p>
        </w:tc>
      </w:tr>
      <w:tr>
        <w:tc>
          <w:tcPr>
            <w:tcW w:type="dxa" w:w="2033"/>
            <w:vAlign w:val="center"/>
          </w:tcPr>
          <w:p>
            <w:pPr>
              <w:jc w:val="center"/>
            </w:pPr>
            <w:r>
              <w:rPr>
                <w:sz w:val="15"/>
              </w:rPr>
              <w:t>SAM2</w:t>
            </w:r>
          </w:p>
        </w:tc>
        <w:tc>
          <w:tcPr>
            <w:tcW w:type="dxa" w:w="2033"/>
            <w:shd w:fill="E0F295"/>
            <w:vAlign w:val="center"/>
          </w:tcPr>
          <w:p>
            <w:pPr>
              <w:jc w:val="center"/>
            </w:pPr>
            <w:r>
              <w:rPr>
                <w:sz w:val="15"/>
              </w:rPr>
              <w:t>0.580</w:t>
            </w:r>
          </w:p>
        </w:tc>
        <w:tc>
          <w:tcPr>
            <w:tcW w:type="dxa" w:w="2033"/>
            <w:shd w:fill="60BA61"/>
            <w:vAlign w:val="center"/>
          </w:tcPr>
          <w:p>
            <w:pPr>
              <w:jc w:val="center"/>
            </w:pPr>
            <w:r>
              <w:rPr>
                <w:sz w:val="15"/>
              </w:rPr>
              <w:t>0.806</w:t>
            </w:r>
          </w:p>
        </w:tc>
        <w:tc>
          <w:tcPr>
            <w:tcW w:type="dxa" w:w="2033"/>
            <w:shd w:fill="F67C4A"/>
            <w:vAlign w:val="center"/>
          </w:tcPr>
          <w:p>
            <w:pPr>
              <w:jc w:val="center"/>
            </w:pPr>
            <w:r>
              <w:rPr>
                <w:sz w:val="15"/>
              </w:rPr>
              <w:t>0.225</w:t>
            </w:r>
          </w:p>
        </w:tc>
        <w:tc>
          <w:tcPr>
            <w:tcW w:type="dxa" w:w="2033"/>
            <w:vAlign w:val="center"/>
          </w:tcPr>
          <w:p>
            <w:pPr>
              <w:jc w:val="center"/>
            </w:pPr>
            <w:r>
              <w:rPr>
                <w:sz w:val="15"/>
              </w:rPr>
              <w:t>[0.188, 0.255]</w:t>
            </w:r>
          </w:p>
        </w:tc>
      </w:tr>
      <w:tr>
        <w:tc>
          <w:tcPr>
            <w:tcW w:type="dxa" w:w="2033"/>
            <w:vAlign w:val="center"/>
          </w:tcPr>
          <w:p>
            <w:pPr>
              <w:jc w:val="center"/>
            </w:pPr>
            <w:r>
              <w:rPr>
                <w:sz w:val="15"/>
              </w:rPr>
              <w:t>SAM3</w:t>
            </w:r>
          </w:p>
        </w:tc>
        <w:tc>
          <w:tcPr>
            <w:tcW w:type="dxa" w:w="2033"/>
            <w:shd w:fill="EFF8A9"/>
            <w:vAlign w:val="center"/>
          </w:tcPr>
          <w:p>
            <w:pPr>
              <w:jc w:val="center"/>
            </w:pPr>
            <w:r>
              <w:rPr>
                <w:sz w:val="15"/>
              </w:rPr>
              <w:t>0.540</w:t>
            </w:r>
          </w:p>
        </w:tc>
        <w:tc>
          <w:tcPr>
            <w:tcW w:type="dxa" w:w="2033"/>
            <w:shd w:fill="95D168"/>
            <w:vAlign w:val="center"/>
          </w:tcPr>
          <w:p>
            <w:pPr>
              <w:jc w:val="center"/>
            </w:pPr>
            <w:r>
              <w:rPr>
                <w:sz w:val="15"/>
              </w:rPr>
              <w:t>0.723</w:t>
            </w:r>
          </w:p>
        </w:tc>
        <w:tc>
          <w:tcPr>
            <w:tcW w:type="dxa" w:w="2033"/>
            <w:shd w:fill="EE613D"/>
            <w:vAlign w:val="center"/>
          </w:tcPr>
          <w:p>
            <w:pPr>
              <w:jc w:val="center"/>
            </w:pPr>
            <w:r>
              <w:rPr>
                <w:sz w:val="15"/>
              </w:rPr>
              <w:t>0.184</w:t>
            </w:r>
          </w:p>
        </w:tc>
        <w:tc>
          <w:tcPr>
            <w:tcW w:type="dxa" w:w="2033"/>
            <w:vAlign w:val="center"/>
          </w:tcPr>
          <w:p>
            <w:pPr>
              <w:jc w:val="center"/>
            </w:pPr>
            <w:r>
              <w:rPr>
                <w:sz w:val="15"/>
              </w:rPr>
              <w:t>[0.142, 0.216]</w:t>
            </w:r>
          </w:p>
        </w:tc>
      </w:tr>
    </w:tbl>
    <w:p>
      <w:pPr>
        <w:pStyle w:val="Heading1"/>
      </w:pPr>
      <w:r>
        <w:t>5. Detector ve YOLO-bbox Sonuçları</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D9EAF7"/>
          </w:tcPr>
          <w:p>
            <w:r>
              <w:rPr>
                <w:b/>
                <w:sz w:val="16"/>
              </w:rPr>
              <w:t>Veri</w:t>
            </w:r>
          </w:p>
        </w:tc>
        <w:tc>
          <w:tcPr>
            <w:tcW w:type="dxa" w:w="1130"/>
            <w:shd w:fill="D9EAF7"/>
          </w:tcPr>
          <w:p>
            <w:r>
              <w:rPr>
                <w:b/>
                <w:sz w:val="16"/>
              </w:rPr>
              <w:t>Seed</w:t>
            </w:r>
          </w:p>
        </w:tc>
        <w:tc>
          <w:tcPr>
            <w:tcW w:type="dxa" w:w="1130"/>
            <w:shd w:fill="D9EAF7"/>
          </w:tcPr>
          <w:p>
            <w:r>
              <w:rPr>
                <w:b/>
                <w:sz w:val="16"/>
              </w:rPr>
              <w:t>Eşik</w:t>
            </w:r>
          </w:p>
        </w:tc>
        <w:tc>
          <w:tcPr>
            <w:tcW w:type="dxa" w:w="1130"/>
            <w:shd w:fill="D9EAF7"/>
          </w:tcPr>
          <w:p>
            <w:r>
              <w:rPr>
                <w:b/>
                <w:sz w:val="16"/>
              </w:rPr>
              <w:t>P@IoU50</w:t>
            </w:r>
          </w:p>
        </w:tc>
        <w:tc>
          <w:tcPr>
            <w:tcW w:type="dxa" w:w="1130"/>
            <w:shd w:fill="D9EAF7"/>
          </w:tcPr>
          <w:p>
            <w:r>
              <w:rPr>
                <w:b/>
                <w:sz w:val="16"/>
              </w:rPr>
              <w:t>R@IoU50</w:t>
            </w:r>
          </w:p>
        </w:tc>
        <w:tc>
          <w:tcPr>
            <w:tcW w:type="dxa" w:w="1130"/>
            <w:shd w:fill="D9EAF7"/>
          </w:tcPr>
          <w:p>
            <w:r>
              <w:rPr>
                <w:b/>
                <w:sz w:val="16"/>
              </w:rPr>
              <w:t>AP50</w:t>
            </w:r>
          </w:p>
        </w:tc>
        <w:tc>
          <w:tcPr>
            <w:tcW w:type="dxa" w:w="1130"/>
            <w:shd w:fill="D9EAF7"/>
          </w:tcPr>
          <w:p>
            <w:r>
              <w:rPr>
                <w:b/>
                <w:sz w:val="16"/>
              </w:rPr>
              <w:t>AP75</w:t>
            </w:r>
          </w:p>
        </w:tc>
        <w:tc>
          <w:tcPr>
            <w:tcW w:type="dxa" w:w="1130"/>
            <w:shd w:fill="D9EAF7"/>
          </w:tcPr>
          <w:p>
            <w:r>
              <w:rPr>
                <w:b/>
                <w:sz w:val="16"/>
              </w:rPr>
              <w:t>AP90</w:t>
            </w:r>
          </w:p>
        </w:tc>
        <w:tc>
          <w:tcPr>
            <w:tcW w:type="dxa" w:w="1130"/>
            <w:shd w:fill="D9EAF7"/>
          </w:tcPr>
          <w:p>
            <w:r>
              <w:rPr>
                <w:b/>
                <w:sz w:val="16"/>
              </w:rPr>
              <w:t>AP50-95</w:t>
            </w:r>
          </w:p>
        </w:tc>
      </w:tr>
      <w:tr>
        <w:tc>
          <w:tcPr>
            <w:tcW w:type="dxa" w:w="1130"/>
            <w:vAlign w:val="center"/>
          </w:tcPr>
          <w:p>
            <w:pPr>
              <w:jc w:val="center"/>
            </w:pPr>
            <w:r>
              <w:rPr>
                <w:sz w:val="15"/>
              </w:rPr>
              <w:t>iSAID Plane</w:t>
            </w:r>
          </w:p>
        </w:tc>
        <w:tc>
          <w:tcPr>
            <w:tcW w:type="dxa" w:w="1130"/>
            <w:vAlign w:val="center"/>
          </w:tcPr>
          <w:p>
            <w:pPr>
              <w:jc w:val="center"/>
            </w:pPr>
            <w:r>
              <w:rPr>
                <w:sz w:val="15"/>
              </w:rPr>
              <w:t>3</w:t>
            </w:r>
          </w:p>
        </w:tc>
        <w:tc>
          <w:tcPr>
            <w:tcW w:type="dxa" w:w="1130"/>
            <w:shd w:fill="FDB063"/>
            <w:vAlign w:val="center"/>
          </w:tcPr>
          <w:p>
            <w:pPr>
              <w:jc w:val="center"/>
            </w:pPr>
            <w:r>
              <w:rPr>
                <w:sz w:val="15"/>
              </w:rPr>
              <w:t>0.305</w:t>
            </w:r>
          </w:p>
        </w:tc>
        <w:tc>
          <w:tcPr>
            <w:tcW w:type="dxa" w:w="1130"/>
            <w:shd w:fill="0F8445"/>
            <w:vAlign w:val="center"/>
          </w:tcPr>
          <w:p>
            <w:pPr>
              <w:jc w:val="center"/>
            </w:pPr>
            <w:r>
              <w:rPr>
                <w:sz w:val="15"/>
              </w:rPr>
              <w:t>0.939</w:t>
            </w:r>
          </w:p>
        </w:tc>
        <w:tc>
          <w:tcPr>
            <w:tcW w:type="dxa" w:w="1130"/>
            <w:shd w:fill="18954E"/>
            <w:vAlign w:val="center"/>
          </w:tcPr>
          <w:p>
            <w:pPr>
              <w:jc w:val="center"/>
            </w:pPr>
            <w:r>
              <w:rPr>
                <w:sz w:val="15"/>
              </w:rPr>
              <w:t>0.903</w:t>
            </w:r>
          </w:p>
        </w:tc>
        <w:tc>
          <w:tcPr>
            <w:tcW w:type="dxa" w:w="1130"/>
            <w:shd w:fill="108646"/>
            <w:vAlign w:val="center"/>
          </w:tcPr>
          <w:p>
            <w:pPr>
              <w:jc w:val="center"/>
            </w:pPr>
            <w:r>
              <w:rPr>
                <w:sz w:val="15"/>
              </w:rPr>
              <w:t>0.936</w:t>
            </w:r>
          </w:p>
        </w:tc>
        <w:tc>
          <w:tcPr>
            <w:tcW w:type="dxa" w:w="1130"/>
            <w:shd w:fill="36A557"/>
            <w:vAlign w:val="center"/>
          </w:tcPr>
          <w:p>
            <w:pPr>
              <w:jc w:val="center"/>
            </w:pPr>
            <w:r>
              <w:rPr>
                <w:sz w:val="15"/>
              </w:rPr>
              <w:t>0.862</w:t>
            </w:r>
          </w:p>
        </w:tc>
        <w:tc>
          <w:tcPr>
            <w:tcW w:type="dxa" w:w="1130"/>
            <w:shd w:fill="CDE983"/>
            <w:vAlign w:val="center"/>
          </w:tcPr>
          <w:p>
            <w:pPr>
              <w:jc w:val="center"/>
            </w:pPr>
            <w:r>
              <w:rPr>
                <w:sz w:val="15"/>
              </w:rPr>
              <w:t>0.622</w:t>
            </w:r>
          </w:p>
        </w:tc>
        <w:tc>
          <w:tcPr>
            <w:tcW w:type="dxa" w:w="1130"/>
            <w:shd w:fill="68BE63"/>
            <w:vAlign w:val="center"/>
          </w:tcPr>
          <w:p>
            <w:pPr>
              <w:jc w:val="center"/>
            </w:pPr>
            <w:r>
              <w:rPr>
                <w:sz w:val="15"/>
              </w:rPr>
              <w:t>0.795</w:t>
            </w:r>
          </w:p>
        </w:tc>
      </w:tr>
      <w:tr>
        <w:tc>
          <w:tcPr>
            <w:tcW w:type="dxa" w:w="1130"/>
            <w:vAlign w:val="center"/>
          </w:tcPr>
          <w:p>
            <w:pPr>
              <w:jc w:val="center"/>
            </w:pPr>
            <w:r>
              <w:rPr>
                <w:sz w:val="15"/>
              </w:rPr>
              <w:t>SAMRS SOTA Plane</w:t>
            </w:r>
          </w:p>
        </w:tc>
        <w:tc>
          <w:tcPr>
            <w:tcW w:type="dxa" w:w="1130"/>
            <w:vAlign w:val="center"/>
          </w:tcPr>
          <w:p>
            <w:pPr>
              <w:jc w:val="center"/>
            </w:pPr>
            <w:r>
              <w:rPr>
                <w:sz w:val="15"/>
              </w:rPr>
              <w:t>3</w:t>
            </w:r>
          </w:p>
        </w:tc>
        <w:tc>
          <w:tcPr>
            <w:tcW w:type="dxa" w:w="1130"/>
            <w:shd w:fill="A4D869"/>
            <w:vAlign w:val="center"/>
          </w:tcPr>
          <w:p>
            <w:pPr>
              <w:jc w:val="center"/>
            </w:pPr>
            <w:r>
              <w:rPr>
                <w:sz w:val="15"/>
              </w:rPr>
              <w:t>0.700</w:t>
            </w:r>
          </w:p>
        </w:tc>
        <w:tc>
          <w:tcPr>
            <w:tcW w:type="dxa" w:w="1130"/>
            <w:shd w:fill="0F8445"/>
            <w:vAlign w:val="center"/>
          </w:tcPr>
          <w:p>
            <w:pPr>
              <w:jc w:val="center"/>
            </w:pPr>
            <w:r>
              <w:rPr>
                <w:sz w:val="15"/>
              </w:rPr>
              <w:t>0.940</w:t>
            </w:r>
          </w:p>
        </w:tc>
        <w:tc>
          <w:tcPr>
            <w:tcW w:type="dxa" w:w="1130"/>
            <w:shd w:fill="1B9850"/>
            <w:vAlign w:val="center"/>
          </w:tcPr>
          <w:p>
            <w:pPr>
              <w:jc w:val="center"/>
            </w:pPr>
            <w:r>
              <w:rPr>
                <w:sz w:val="15"/>
              </w:rPr>
              <w:t>0.896</w:t>
            </w:r>
          </w:p>
        </w:tc>
        <w:tc>
          <w:tcPr>
            <w:tcW w:type="dxa" w:w="1130"/>
            <w:shd w:fill="0C7E42"/>
            <w:vAlign w:val="center"/>
          </w:tcPr>
          <w:p>
            <w:pPr>
              <w:jc w:val="center"/>
            </w:pPr>
            <w:r>
              <w:rPr>
                <w:sz w:val="15"/>
              </w:rPr>
              <w:t>0.953</w:t>
            </w:r>
          </w:p>
        </w:tc>
        <w:tc>
          <w:tcPr>
            <w:tcW w:type="dxa" w:w="1130"/>
            <w:shd w:fill="30A255"/>
            <w:vAlign w:val="center"/>
          </w:tcPr>
          <w:p>
            <w:pPr>
              <w:jc w:val="center"/>
            </w:pPr>
            <w:r>
              <w:rPr>
                <w:sz w:val="15"/>
              </w:rPr>
              <w:t>0.871</w:t>
            </w:r>
          </w:p>
        </w:tc>
        <w:tc>
          <w:tcPr>
            <w:tcW w:type="dxa" w:w="1130"/>
            <w:shd w:fill="FB9F5A"/>
            <w:vAlign w:val="center"/>
          </w:tcPr>
          <w:p>
            <w:pPr>
              <w:jc w:val="center"/>
            </w:pPr>
            <w:r>
              <w:rPr>
                <w:sz w:val="15"/>
              </w:rPr>
              <w:t>0.279</w:t>
            </w:r>
          </w:p>
        </w:tc>
        <w:tc>
          <w:tcPr>
            <w:tcW w:type="dxa" w:w="1130"/>
            <w:shd w:fill="95D168"/>
            <w:vAlign w:val="center"/>
          </w:tcPr>
          <w:p>
            <w:pPr>
              <w:jc w:val="center"/>
            </w:pPr>
            <w:r>
              <w:rPr>
                <w:sz w:val="15"/>
              </w:rPr>
              <w:t>0.725</w:t>
            </w:r>
          </w:p>
        </w:tc>
      </w:tr>
    </w:tbl>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9EAF7"/>
          </w:tcPr>
          <w:p>
            <w:r>
              <w:rPr>
                <w:b/>
                <w:sz w:val="16"/>
              </w:rPr>
              <w:t>Veri / referans</w:t>
            </w:r>
          </w:p>
        </w:tc>
        <w:tc>
          <w:tcPr>
            <w:tcW w:type="dxa" w:w="1694"/>
            <w:shd w:fill="D9EAF7"/>
          </w:tcPr>
          <w:p>
            <w:r>
              <w:rPr>
                <w:b/>
                <w:sz w:val="16"/>
              </w:rPr>
              <w:t>Model</w:t>
            </w:r>
          </w:p>
        </w:tc>
        <w:tc>
          <w:tcPr>
            <w:tcW w:type="dxa" w:w="1694"/>
            <w:shd w:fill="D9EAF7"/>
          </w:tcPr>
          <w:p>
            <w:r>
              <w:rPr>
                <w:b/>
                <w:sz w:val="16"/>
              </w:rPr>
              <w:t>Seed</w:t>
            </w:r>
          </w:p>
        </w:tc>
        <w:tc>
          <w:tcPr>
            <w:tcW w:type="dxa" w:w="1694"/>
            <w:shd w:fill="D9EAF7"/>
          </w:tcPr>
          <w:p>
            <w:r>
              <w:rPr>
                <w:b/>
                <w:sz w:val="16"/>
              </w:rPr>
              <w:t>IoU</w:t>
            </w:r>
          </w:p>
        </w:tc>
        <w:tc>
          <w:tcPr>
            <w:tcW w:type="dxa" w:w="1694"/>
            <w:shd w:fill="D9EAF7"/>
          </w:tcPr>
          <w:p>
            <w:r>
              <w:rPr>
                <w:b/>
                <w:sz w:val="16"/>
              </w:rPr>
              <w:t>IoU std</w:t>
            </w:r>
          </w:p>
        </w:tc>
        <w:tc>
          <w:tcPr>
            <w:tcW w:type="dxa" w:w="1694"/>
            <w:shd w:fill="D9EAF7"/>
          </w:tcPr>
          <w:p>
            <w:r>
              <w:rPr>
                <w:b/>
                <w:sz w:val="16"/>
              </w:rPr>
              <w:t>Dice</w:t>
            </w:r>
          </w:p>
        </w:tc>
      </w:tr>
      <w:tr>
        <w:tc>
          <w:tcPr>
            <w:tcW w:type="dxa" w:w="1694"/>
            <w:vAlign w:val="center"/>
          </w:tcPr>
          <w:p>
            <w:pPr>
              <w:jc w:val="center"/>
            </w:pPr>
            <w:r>
              <w:rPr>
                <w:sz w:val="15"/>
              </w:rPr>
              <w:t>iSAID Plane / İnsan</w:t>
            </w:r>
          </w:p>
        </w:tc>
        <w:tc>
          <w:tcPr>
            <w:tcW w:type="dxa" w:w="1694"/>
            <w:vAlign w:val="center"/>
          </w:tcPr>
          <w:p>
            <w:pPr>
              <w:jc w:val="center"/>
            </w:pPr>
            <w:r>
              <w:rPr>
                <w:sz w:val="15"/>
              </w:rPr>
              <w:t>SAM1</w:t>
            </w:r>
          </w:p>
        </w:tc>
        <w:tc>
          <w:tcPr>
            <w:tcW w:type="dxa" w:w="1694"/>
            <w:vAlign w:val="center"/>
          </w:tcPr>
          <w:p>
            <w:pPr>
              <w:jc w:val="center"/>
            </w:pPr>
            <w:r>
              <w:rPr>
                <w:sz w:val="15"/>
              </w:rPr>
              <w:t>3</w:t>
            </w:r>
          </w:p>
        </w:tc>
        <w:tc>
          <w:tcPr>
            <w:tcW w:type="dxa" w:w="1694"/>
            <w:shd w:fill="D5ED88"/>
            <w:vAlign w:val="center"/>
          </w:tcPr>
          <w:p>
            <w:pPr>
              <w:jc w:val="center"/>
            </w:pPr>
            <w:r>
              <w:rPr>
                <w:sz w:val="15"/>
              </w:rPr>
              <w:t>0.607</w:t>
            </w:r>
          </w:p>
        </w:tc>
        <w:tc>
          <w:tcPr>
            <w:tcW w:type="dxa" w:w="1694"/>
            <w:shd w:fill="A50026"/>
            <w:vAlign w:val="center"/>
          </w:tcPr>
          <w:p>
            <w:pPr>
              <w:jc w:val="center"/>
            </w:pPr>
            <w:r>
              <w:rPr>
                <w:sz w:val="15"/>
              </w:rPr>
              <w:t>0.003</w:t>
            </w:r>
          </w:p>
        </w:tc>
        <w:tc>
          <w:tcPr>
            <w:tcW w:type="dxa" w:w="1694"/>
            <w:shd w:fill="98D268"/>
            <w:vAlign w:val="center"/>
          </w:tcPr>
          <w:p>
            <w:pPr>
              <w:jc w:val="center"/>
            </w:pPr>
            <w:r>
              <w:rPr>
                <w:sz w:val="15"/>
              </w:rPr>
              <w:t>0.721</w:t>
            </w:r>
          </w:p>
        </w:tc>
      </w:tr>
      <w:tr>
        <w:tc>
          <w:tcPr>
            <w:tcW w:type="dxa" w:w="1694"/>
            <w:vAlign w:val="center"/>
          </w:tcPr>
          <w:p>
            <w:pPr>
              <w:jc w:val="center"/>
            </w:pPr>
            <w:r>
              <w:rPr>
                <w:sz w:val="15"/>
              </w:rPr>
              <w:t>iSAID Plane / İnsan</w:t>
            </w:r>
          </w:p>
        </w:tc>
        <w:tc>
          <w:tcPr>
            <w:tcW w:type="dxa" w:w="1694"/>
            <w:vAlign w:val="center"/>
          </w:tcPr>
          <w:p>
            <w:pPr>
              <w:jc w:val="center"/>
            </w:pPr>
            <w:r>
              <w:rPr>
                <w:sz w:val="15"/>
              </w:rPr>
              <w:t>SAM2</w:t>
            </w:r>
          </w:p>
        </w:tc>
        <w:tc>
          <w:tcPr>
            <w:tcW w:type="dxa" w:w="1694"/>
            <w:vAlign w:val="center"/>
          </w:tcPr>
          <w:p>
            <w:pPr>
              <w:jc w:val="center"/>
            </w:pPr>
            <w:r>
              <w:rPr>
                <w:sz w:val="15"/>
              </w:rPr>
              <w:t>3</w:t>
            </w:r>
          </w:p>
        </w:tc>
        <w:tc>
          <w:tcPr>
            <w:tcW w:type="dxa" w:w="1694"/>
            <w:shd w:fill="DAEF8D"/>
            <w:vAlign w:val="center"/>
          </w:tcPr>
          <w:p>
            <w:pPr>
              <w:jc w:val="center"/>
            </w:pPr>
            <w:r>
              <w:rPr>
                <w:sz w:val="15"/>
              </w:rPr>
              <w:t>0.596</w:t>
            </w:r>
          </w:p>
        </w:tc>
        <w:tc>
          <w:tcPr>
            <w:tcW w:type="dxa" w:w="1694"/>
            <w:shd w:fill="A50026"/>
            <w:vAlign w:val="center"/>
          </w:tcPr>
          <w:p>
            <w:pPr>
              <w:jc w:val="center"/>
            </w:pPr>
            <w:r>
              <w:rPr>
                <w:sz w:val="15"/>
              </w:rPr>
              <w:t>0.002</w:t>
            </w:r>
          </w:p>
        </w:tc>
        <w:tc>
          <w:tcPr>
            <w:tcW w:type="dxa" w:w="1694"/>
            <w:shd w:fill="9FD669"/>
            <w:vAlign w:val="center"/>
          </w:tcPr>
          <w:p>
            <w:pPr>
              <w:jc w:val="center"/>
            </w:pPr>
            <w:r>
              <w:rPr>
                <w:sz w:val="15"/>
              </w:rPr>
              <w:t>0.711</w:t>
            </w:r>
          </w:p>
        </w:tc>
      </w:tr>
      <w:tr>
        <w:tc>
          <w:tcPr>
            <w:tcW w:type="dxa" w:w="1694"/>
            <w:vAlign w:val="center"/>
          </w:tcPr>
          <w:p>
            <w:pPr>
              <w:jc w:val="center"/>
            </w:pPr>
            <w:r>
              <w:rPr>
                <w:sz w:val="15"/>
              </w:rPr>
              <w:t>iSAID Plane / İnsan</w:t>
            </w:r>
          </w:p>
        </w:tc>
        <w:tc>
          <w:tcPr>
            <w:tcW w:type="dxa" w:w="1694"/>
            <w:vAlign w:val="center"/>
          </w:tcPr>
          <w:p>
            <w:pPr>
              <w:jc w:val="center"/>
            </w:pPr>
            <w:r>
              <w:rPr>
                <w:sz w:val="15"/>
              </w:rPr>
              <w:t>SAM3</w:t>
            </w:r>
          </w:p>
        </w:tc>
        <w:tc>
          <w:tcPr>
            <w:tcW w:type="dxa" w:w="1694"/>
            <w:vAlign w:val="center"/>
          </w:tcPr>
          <w:p>
            <w:pPr>
              <w:jc w:val="center"/>
            </w:pPr>
            <w:r>
              <w:rPr>
                <w:sz w:val="15"/>
              </w:rPr>
              <w:t>3</w:t>
            </w:r>
          </w:p>
        </w:tc>
        <w:tc>
          <w:tcPr>
            <w:tcW w:type="dxa" w:w="1694"/>
            <w:shd w:fill="CBE881"/>
            <w:vAlign w:val="center"/>
          </w:tcPr>
          <w:p>
            <w:pPr>
              <w:jc w:val="center"/>
            </w:pPr>
            <w:r>
              <w:rPr>
                <w:sz w:val="15"/>
              </w:rPr>
              <w:t>0.626</w:t>
            </w:r>
          </w:p>
        </w:tc>
        <w:tc>
          <w:tcPr>
            <w:tcW w:type="dxa" w:w="1694"/>
            <w:shd w:fill="A50026"/>
            <w:vAlign w:val="center"/>
          </w:tcPr>
          <w:p>
            <w:pPr>
              <w:jc w:val="center"/>
            </w:pPr>
            <w:r>
              <w:rPr>
                <w:sz w:val="15"/>
              </w:rPr>
              <w:t>0.003</w:t>
            </w:r>
          </w:p>
        </w:tc>
        <w:tc>
          <w:tcPr>
            <w:tcW w:type="dxa" w:w="1694"/>
            <w:shd w:fill="93D067"/>
            <w:vAlign w:val="center"/>
          </w:tcPr>
          <w:p>
            <w:pPr>
              <w:jc w:val="center"/>
            </w:pPr>
            <w:r>
              <w:rPr>
                <w:sz w:val="15"/>
              </w:rPr>
              <w:t>0.728</w:t>
            </w:r>
          </w:p>
        </w:tc>
      </w:tr>
      <w:tr>
        <w:tc>
          <w:tcPr>
            <w:tcW w:type="dxa" w:w="1694"/>
            <w:vAlign w:val="center"/>
          </w:tcPr>
          <w:p>
            <w:pPr>
              <w:jc w:val="center"/>
            </w:pPr>
            <w:r>
              <w:rPr>
                <w:sz w:val="15"/>
              </w:rPr>
              <w:t>iSAID Plane / SAM1 pseudo</w:t>
            </w:r>
          </w:p>
        </w:tc>
        <w:tc>
          <w:tcPr>
            <w:tcW w:type="dxa" w:w="1694"/>
            <w:vAlign w:val="center"/>
          </w:tcPr>
          <w:p>
            <w:pPr>
              <w:jc w:val="center"/>
            </w:pPr>
            <w:r>
              <w:rPr>
                <w:sz w:val="15"/>
              </w:rPr>
              <w:t>SAM1</w:t>
            </w:r>
          </w:p>
        </w:tc>
        <w:tc>
          <w:tcPr>
            <w:tcW w:type="dxa" w:w="1694"/>
            <w:vAlign w:val="center"/>
          </w:tcPr>
          <w:p>
            <w:pPr>
              <w:jc w:val="center"/>
            </w:pPr>
            <w:r>
              <w:rPr>
                <w:sz w:val="15"/>
              </w:rPr>
              <w:t>3</w:t>
            </w:r>
          </w:p>
        </w:tc>
        <w:tc>
          <w:tcPr>
            <w:tcW w:type="dxa" w:w="1694"/>
            <w:shd w:fill="279E53"/>
            <w:vAlign w:val="center"/>
          </w:tcPr>
          <w:p>
            <w:pPr>
              <w:jc w:val="center"/>
            </w:pPr>
            <w:r>
              <w:rPr>
                <w:sz w:val="15"/>
              </w:rPr>
              <w:t>0.881</w:t>
            </w:r>
          </w:p>
        </w:tc>
        <w:tc>
          <w:tcPr>
            <w:tcW w:type="dxa" w:w="1694"/>
            <w:shd w:fill="A60126"/>
            <w:vAlign w:val="center"/>
          </w:tcPr>
          <w:p>
            <w:pPr>
              <w:jc w:val="center"/>
            </w:pPr>
            <w:r>
              <w:rPr>
                <w:sz w:val="15"/>
              </w:rPr>
              <w:t>0.007</w:t>
            </w:r>
          </w:p>
        </w:tc>
        <w:tc>
          <w:tcPr>
            <w:tcW w:type="dxa" w:w="1694"/>
            <w:shd w:fill="219B51"/>
            <w:vAlign w:val="center"/>
          </w:tcPr>
          <w:p>
            <w:pPr>
              <w:jc w:val="center"/>
            </w:pPr>
            <w:r>
              <w:rPr>
                <w:sz w:val="15"/>
              </w:rPr>
              <w:t>0.890</w:t>
            </w:r>
          </w:p>
        </w:tc>
      </w:tr>
      <w:tr>
        <w:tc>
          <w:tcPr>
            <w:tcW w:type="dxa" w:w="1694"/>
            <w:vAlign w:val="center"/>
          </w:tcPr>
          <w:p>
            <w:pPr>
              <w:jc w:val="center"/>
            </w:pPr>
            <w:r>
              <w:rPr>
                <w:sz w:val="15"/>
              </w:rPr>
              <w:t>iSAID Plane / SAM1 pseudo</w:t>
            </w:r>
          </w:p>
        </w:tc>
        <w:tc>
          <w:tcPr>
            <w:tcW w:type="dxa" w:w="1694"/>
            <w:vAlign w:val="center"/>
          </w:tcPr>
          <w:p>
            <w:pPr>
              <w:jc w:val="center"/>
            </w:pPr>
            <w:r>
              <w:rPr>
                <w:sz w:val="15"/>
              </w:rPr>
              <w:t>SAM2</w:t>
            </w:r>
          </w:p>
        </w:tc>
        <w:tc>
          <w:tcPr>
            <w:tcW w:type="dxa" w:w="1694"/>
            <w:vAlign w:val="center"/>
          </w:tcPr>
          <w:p>
            <w:pPr>
              <w:jc w:val="center"/>
            </w:pPr>
            <w:r>
              <w:rPr>
                <w:sz w:val="15"/>
              </w:rPr>
              <w:t>3</w:t>
            </w:r>
          </w:p>
        </w:tc>
        <w:tc>
          <w:tcPr>
            <w:tcW w:type="dxa" w:w="1694"/>
            <w:shd w:fill="7FC765"/>
            <w:vAlign w:val="center"/>
          </w:tcPr>
          <w:p>
            <w:pPr>
              <w:jc w:val="center"/>
            </w:pPr>
            <w:r>
              <w:rPr>
                <w:sz w:val="15"/>
              </w:rPr>
              <w:t>0.760</w:t>
            </w:r>
          </w:p>
        </w:tc>
        <w:tc>
          <w:tcPr>
            <w:tcW w:type="dxa" w:w="1694"/>
            <w:shd w:fill="A60126"/>
            <w:vAlign w:val="center"/>
          </w:tcPr>
          <w:p>
            <w:pPr>
              <w:jc w:val="center"/>
            </w:pPr>
            <w:r>
              <w:rPr>
                <w:sz w:val="15"/>
              </w:rPr>
              <w:t>0.004</w:t>
            </w:r>
          </w:p>
        </w:tc>
        <w:tc>
          <w:tcPr>
            <w:tcW w:type="dxa" w:w="1694"/>
            <w:shd w:fill="54B45E"/>
            <w:vAlign w:val="center"/>
          </w:tcPr>
          <w:p>
            <w:pPr>
              <w:jc w:val="center"/>
            </w:pPr>
            <w:r>
              <w:rPr>
                <w:sz w:val="15"/>
              </w:rPr>
              <w:t>0.820</w:t>
            </w:r>
          </w:p>
        </w:tc>
      </w:tr>
      <w:tr>
        <w:tc>
          <w:tcPr>
            <w:tcW w:type="dxa" w:w="1694"/>
            <w:vAlign w:val="center"/>
          </w:tcPr>
          <w:p>
            <w:pPr>
              <w:jc w:val="center"/>
            </w:pPr>
            <w:r>
              <w:rPr>
                <w:sz w:val="15"/>
              </w:rPr>
              <w:t>iSAID Plane / SAM1 pseudo</w:t>
            </w:r>
          </w:p>
        </w:tc>
        <w:tc>
          <w:tcPr>
            <w:tcW w:type="dxa" w:w="1694"/>
            <w:vAlign w:val="center"/>
          </w:tcPr>
          <w:p>
            <w:pPr>
              <w:jc w:val="center"/>
            </w:pPr>
            <w:r>
              <w:rPr>
                <w:sz w:val="15"/>
              </w:rPr>
              <w:t>SAM3</w:t>
            </w:r>
          </w:p>
        </w:tc>
        <w:tc>
          <w:tcPr>
            <w:tcW w:type="dxa" w:w="1694"/>
            <w:vAlign w:val="center"/>
          </w:tcPr>
          <w:p>
            <w:pPr>
              <w:jc w:val="center"/>
            </w:pPr>
            <w:r>
              <w:rPr>
                <w:sz w:val="15"/>
              </w:rPr>
              <w:t>3</w:t>
            </w:r>
          </w:p>
        </w:tc>
        <w:tc>
          <w:tcPr>
            <w:tcW w:type="dxa" w:w="1694"/>
            <w:shd w:fill="95D168"/>
            <w:vAlign w:val="center"/>
          </w:tcPr>
          <w:p>
            <w:pPr>
              <w:jc w:val="center"/>
            </w:pPr>
            <w:r>
              <w:rPr>
                <w:sz w:val="15"/>
              </w:rPr>
              <w:t>0.726</w:t>
            </w:r>
          </w:p>
        </w:tc>
        <w:tc>
          <w:tcPr>
            <w:tcW w:type="dxa" w:w="1694"/>
            <w:shd w:fill="A60126"/>
            <w:vAlign w:val="center"/>
          </w:tcPr>
          <w:p>
            <w:pPr>
              <w:jc w:val="center"/>
            </w:pPr>
            <w:r>
              <w:rPr>
                <w:sz w:val="15"/>
              </w:rPr>
              <w:t>0.006</w:t>
            </w:r>
          </w:p>
        </w:tc>
        <w:tc>
          <w:tcPr>
            <w:tcW w:type="dxa" w:w="1694"/>
            <w:shd w:fill="6BBF63"/>
            <w:vAlign w:val="center"/>
          </w:tcPr>
          <w:p>
            <w:pPr>
              <w:jc w:val="center"/>
            </w:pPr>
            <w:r>
              <w:rPr>
                <w:sz w:val="15"/>
              </w:rPr>
              <w:t>0.792</w:t>
            </w:r>
          </w:p>
        </w:tc>
      </w:tr>
      <w:tr>
        <w:tc>
          <w:tcPr>
            <w:tcW w:type="dxa" w:w="1694"/>
            <w:vAlign w:val="center"/>
          </w:tcPr>
          <w:p>
            <w:pPr>
              <w:jc w:val="center"/>
            </w:pPr>
            <w:r>
              <w:rPr>
                <w:sz w:val="15"/>
              </w:rPr>
              <w:t>SAMRS SOTA Plane / SAM1 pseudo</w:t>
            </w:r>
          </w:p>
        </w:tc>
        <w:tc>
          <w:tcPr>
            <w:tcW w:type="dxa" w:w="1694"/>
            <w:vAlign w:val="center"/>
          </w:tcPr>
          <w:p>
            <w:pPr>
              <w:jc w:val="center"/>
            </w:pPr>
            <w:r>
              <w:rPr>
                <w:sz w:val="15"/>
              </w:rPr>
              <w:t>SAM1</w:t>
            </w:r>
          </w:p>
        </w:tc>
        <w:tc>
          <w:tcPr>
            <w:tcW w:type="dxa" w:w="1694"/>
            <w:vAlign w:val="center"/>
          </w:tcPr>
          <w:p>
            <w:pPr>
              <w:jc w:val="center"/>
            </w:pPr>
            <w:r>
              <w:rPr>
                <w:sz w:val="15"/>
              </w:rPr>
              <w:t>3</w:t>
            </w:r>
          </w:p>
        </w:tc>
        <w:tc>
          <w:tcPr>
            <w:tcW w:type="dxa" w:w="1694"/>
            <w:shd w:fill="30A255"/>
            <w:vAlign w:val="center"/>
          </w:tcPr>
          <w:p>
            <w:pPr>
              <w:jc w:val="center"/>
            </w:pPr>
            <w:r>
              <w:rPr>
                <w:sz w:val="15"/>
              </w:rPr>
              <w:t>0.869</w:t>
            </w:r>
          </w:p>
        </w:tc>
        <w:tc>
          <w:tcPr>
            <w:tcW w:type="dxa" w:w="1694"/>
            <w:shd w:fill="AA0526"/>
            <w:vAlign w:val="center"/>
          </w:tcPr>
          <w:p>
            <w:pPr>
              <w:jc w:val="center"/>
            </w:pPr>
            <w:r>
              <w:rPr>
                <w:sz w:val="15"/>
              </w:rPr>
              <w:t>0.014</w:t>
            </w:r>
          </w:p>
        </w:tc>
        <w:tc>
          <w:tcPr>
            <w:tcW w:type="dxa" w:w="1694"/>
            <w:shd w:fill="279E53"/>
            <w:vAlign w:val="center"/>
          </w:tcPr>
          <w:p>
            <w:pPr>
              <w:jc w:val="center"/>
            </w:pPr>
            <w:r>
              <w:rPr>
                <w:sz w:val="15"/>
              </w:rPr>
              <w:t>0.881</w:t>
            </w:r>
          </w:p>
        </w:tc>
      </w:tr>
      <w:tr>
        <w:tc>
          <w:tcPr>
            <w:tcW w:type="dxa" w:w="1694"/>
            <w:vAlign w:val="center"/>
          </w:tcPr>
          <w:p>
            <w:pPr>
              <w:jc w:val="center"/>
            </w:pPr>
            <w:r>
              <w:rPr>
                <w:sz w:val="15"/>
              </w:rPr>
              <w:t>SAMRS SOTA Plane / SAM1 pseudo</w:t>
            </w:r>
          </w:p>
        </w:tc>
        <w:tc>
          <w:tcPr>
            <w:tcW w:type="dxa" w:w="1694"/>
            <w:vAlign w:val="center"/>
          </w:tcPr>
          <w:p>
            <w:pPr>
              <w:jc w:val="center"/>
            </w:pPr>
            <w:r>
              <w:rPr>
                <w:sz w:val="15"/>
              </w:rPr>
              <w:t>SAM2</w:t>
            </w:r>
          </w:p>
        </w:tc>
        <w:tc>
          <w:tcPr>
            <w:tcW w:type="dxa" w:w="1694"/>
            <w:vAlign w:val="center"/>
          </w:tcPr>
          <w:p>
            <w:pPr>
              <w:jc w:val="center"/>
            </w:pPr>
            <w:r>
              <w:rPr>
                <w:sz w:val="15"/>
              </w:rPr>
              <w:t>3</w:t>
            </w:r>
          </w:p>
        </w:tc>
        <w:tc>
          <w:tcPr>
            <w:tcW w:type="dxa" w:w="1694"/>
            <w:shd w:fill="9FD669"/>
            <w:vAlign w:val="center"/>
          </w:tcPr>
          <w:p>
            <w:pPr>
              <w:jc w:val="center"/>
            </w:pPr>
            <w:r>
              <w:rPr>
                <w:sz w:val="15"/>
              </w:rPr>
              <w:t>0.707</w:t>
            </w:r>
          </w:p>
        </w:tc>
        <w:tc>
          <w:tcPr>
            <w:tcW w:type="dxa" w:w="1694"/>
            <w:shd w:fill="A80326"/>
            <w:vAlign w:val="center"/>
          </w:tcPr>
          <w:p>
            <w:pPr>
              <w:jc w:val="center"/>
            </w:pPr>
            <w:r>
              <w:rPr>
                <w:sz w:val="15"/>
              </w:rPr>
              <w:t>0.010</w:t>
            </w:r>
          </w:p>
        </w:tc>
        <w:tc>
          <w:tcPr>
            <w:tcW w:type="dxa" w:w="1694"/>
            <w:shd w:fill="70C164"/>
            <w:vAlign w:val="center"/>
          </w:tcPr>
          <w:p>
            <w:pPr>
              <w:jc w:val="center"/>
            </w:pPr>
            <w:r>
              <w:rPr>
                <w:sz w:val="15"/>
              </w:rPr>
              <w:t>0.785</w:t>
            </w:r>
          </w:p>
        </w:tc>
      </w:tr>
      <w:tr>
        <w:tc>
          <w:tcPr>
            <w:tcW w:type="dxa" w:w="1694"/>
            <w:vAlign w:val="center"/>
          </w:tcPr>
          <w:p>
            <w:pPr>
              <w:jc w:val="center"/>
            </w:pPr>
            <w:r>
              <w:rPr>
                <w:sz w:val="15"/>
              </w:rPr>
              <w:t>SAMRS SOTA Plane / SAM1 pseudo</w:t>
            </w:r>
          </w:p>
        </w:tc>
        <w:tc>
          <w:tcPr>
            <w:tcW w:type="dxa" w:w="1694"/>
            <w:vAlign w:val="center"/>
          </w:tcPr>
          <w:p>
            <w:pPr>
              <w:jc w:val="center"/>
            </w:pPr>
            <w:r>
              <w:rPr>
                <w:sz w:val="15"/>
              </w:rPr>
              <w:t>SAM3</w:t>
            </w:r>
          </w:p>
        </w:tc>
        <w:tc>
          <w:tcPr>
            <w:tcW w:type="dxa" w:w="1694"/>
            <w:vAlign w:val="center"/>
          </w:tcPr>
          <w:p>
            <w:pPr>
              <w:jc w:val="center"/>
            </w:pPr>
            <w:r>
              <w:rPr>
                <w:sz w:val="15"/>
              </w:rPr>
              <w:t>3</w:t>
            </w:r>
          </w:p>
        </w:tc>
        <w:tc>
          <w:tcPr>
            <w:tcW w:type="dxa" w:w="1694"/>
            <w:shd w:fill="DBF08F"/>
            <w:vAlign w:val="center"/>
          </w:tcPr>
          <w:p>
            <w:pPr>
              <w:jc w:val="center"/>
            </w:pPr>
            <w:r>
              <w:rPr>
                <w:sz w:val="15"/>
              </w:rPr>
              <w:t>0.591</w:t>
            </w:r>
          </w:p>
        </w:tc>
        <w:tc>
          <w:tcPr>
            <w:tcW w:type="dxa" w:w="1694"/>
            <w:shd w:fill="AA0526"/>
            <w:vAlign w:val="center"/>
          </w:tcPr>
          <w:p>
            <w:pPr>
              <w:jc w:val="center"/>
            </w:pPr>
            <w:r>
              <w:rPr>
                <w:sz w:val="15"/>
              </w:rPr>
              <w:t>0.014</w:t>
            </w:r>
          </w:p>
        </w:tc>
        <w:tc>
          <w:tcPr>
            <w:tcW w:type="dxa" w:w="1694"/>
            <w:shd w:fill="ABDB6D"/>
            <w:vAlign w:val="center"/>
          </w:tcPr>
          <w:p>
            <w:pPr>
              <w:jc w:val="center"/>
            </w:pPr>
            <w:r>
              <w:rPr>
                <w:sz w:val="15"/>
              </w:rPr>
              <w:t>0.689</w:t>
            </w:r>
          </w:p>
        </w:tc>
      </w:tr>
    </w:tbl>
    <w:p>
      <w:pPr>
        <w:jc w:val="center"/>
      </w:pPr>
      <w:r>
        <w:drawing>
          <wp:inline xmlns:a="http://schemas.openxmlformats.org/drawingml/2006/main" xmlns:pic="http://schemas.openxmlformats.org/drawingml/2006/picture">
            <wp:extent cx="5989320" cy="1943568"/>
            <wp:docPr id="2" name="Picture 2"/>
            <wp:cNvGraphicFramePr>
              <a:graphicFrameLocks noChangeAspect="1"/>
            </wp:cNvGraphicFramePr>
            <a:graphic>
              <a:graphicData uri="http://schemas.openxmlformats.org/drawingml/2006/picture">
                <pic:pic>
                  <pic:nvPicPr>
                    <pic:cNvPr id="0" name="gt_bbox_strata_heatmap.png"/>
                    <pic:cNvPicPr/>
                  </pic:nvPicPr>
                  <pic:blipFill>
                    <a:blip r:embed="rId10"/>
                    <a:stretch>
                      <a:fillRect/>
                    </a:stretch>
                  </pic:blipFill>
                  <pic:spPr>
                    <a:xfrm>
                      <a:off x="0" y="0"/>
                      <a:ext cx="5989320" cy="1943568"/>
                    </a:xfrm>
                    <a:prstGeom prst="rect"/>
                  </pic:spPr>
                </pic:pic>
              </a:graphicData>
            </a:graphic>
          </wp:inline>
        </w:drawing>
      </w:r>
    </w:p>
    <w:p>
      <w:pPr>
        <w:pStyle w:val="Heading1"/>
      </w:pPr>
      <w:r>
        <w:t>6. Tartışma ve Sonuç</w:t>
      </w:r>
    </w:p>
    <w:p>
      <w:r>
        <w:t>SAM1'in kendi pseudo referansında yaklaşık kusursuz görünmesi, bağımsız insan sınırlarına göre kusursuz olduğu anlamına gelmez. Aynı 1.033 tahminde yalnız referansın değiştirilmesi SAM1 için yaklaşık 0,35 IoU artışı üretmiştir. SAMRS weak supervision için yararlı olabilir; benchmark kullanımı üretici provenance'ı ve insan denetimi gerektirir.</w:t>
      </w:r>
    </w:p>
    <w:p>
      <w:pPr>
        <w:pStyle w:val="Heading2"/>
      </w:pPr>
      <w:r>
        <w:t>Sınırlılıklar</w:t>
      </w:r>
    </w:p>
    <w:p>
      <w:pPr>
        <w:pStyle w:val="ListBullet"/>
      </w:pPr>
      <w:r>
        <w:t>Ortak audit 1.375 instance'ın 1.033'ünü kapsar.</w:t>
      </w:r>
    </w:p>
    <w:p>
      <w:pPr>
        <w:pStyle w:val="ListBullet"/>
      </w:pPr>
      <w:r>
        <w:t>Ana çalışma tek plane sınıfıyla sınırlıdır.</w:t>
      </w:r>
    </w:p>
    <w:p>
      <w:pPr>
        <w:pStyle w:val="ListBullet"/>
      </w:pPr>
      <w:r>
        <w:t>Ortak subset'te model sıralaması değişmemiştir.</w:t>
      </w:r>
    </w:p>
    <w:p>
      <w:pPr>
        <w:pStyle w:val="ListBullet"/>
      </w:pPr>
      <w:r>
        <w:t>SAMRS low/high strata pseudo-mask alanından türediği için strata farkları referans etkisinin nedensel kanıtı değildir.</w:t>
      </w:r>
    </w:p>
    <w:p>
      <w:pPr>
        <w:pStyle w:val="ListBullet"/>
      </w:pPr>
      <w:r>
        <w:t>GT bbox provenance'ı iSAID insan annotation'ı ve SAMRS DOTA detection RHBox'ı olarak farklıdır.</w:t>
      </w:r>
    </w:p>
    <w:p>
      <w:pPr>
        <w:pStyle w:val="ListBullet"/>
      </w:pPr>
      <w:r>
        <w:t>YOLO ayarları ve epok sayısı aynıdır; eğitim görüntüsü sayıları farklı olduğundan toplam optimizer adımı aynı değildir. İlk üç warm-up epokundan sonra öğrenme oranı çizelgesi birebirdir.</w:t>
      </w:r>
    </w:p>
    <w:p>
      <w:pPr>
        <w:pStyle w:val="ListBullet"/>
      </w:pPr>
      <w:r>
        <w:t>Çalışma pseudo-label eğitim yararını doğrudan ölçmez.</w:t>
      </w:r>
    </w:p>
    <w:p>
      <w:pPr>
        <w:pStyle w:val="Heading1"/>
      </w:pPr>
      <w:r>
        <w:t>Kaynaklar</w:t>
      </w:r>
    </w:p>
    <w:p>
      <w:r>
        <w:t>Wang et al., SAMRS, NeurIPS Datasets and Benchmarks, 2023.</w:t>
      </w:r>
    </w:p>
    <w:p>
      <w:r>
        <w:t>Kirillov et al., Segment Anything, ICCV, 2023.</w:t>
      </w:r>
    </w:p>
    <w:p>
      <w:r>
        <w:t>Zamir et al., iSAID, CVPR Workshops, 2019.</w:t>
      </w:r>
    </w:p>
    <w:p>
      <w:r>
        <w:t>Brachmann et al., On the Limits of Pseudo Ground Truth, ICCV, 2021.</w:t>
      </w:r>
    </w:p>
    <w:p>
      <w:r>
        <w:t>Arazo et al., Pseudo-Labeling and Confirmation Bias, IJCNN, 2020.</w:t>
      </w:r>
    </w:p>
    <w:p>
      <w:r>
        <w:t>Warfield et al., Validation of Image Segmentation, 2008.</w:t>
      </w:r>
    </w:p>
    <w:p>
      <w:r>
        <w:t>SOPSeg, arXiv:2509.03002, 2025.</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