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Isaid Plane Cross-Reference Analysis</w:t>
      </w:r>
    </w:p>
    <w:p>
      <w:pPr>
        <w:pStyle w:val="Heading1"/>
      </w:pPr>
      <w:r>
        <w:t>Teknik Özet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Temel referansta YOLO-bbox Overall Avg IoU bakımından en yüksek model SAM3 (0.638) olmuştur.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Aynı dondurulmuş tahminler bütün referanslara karşı değerlendirildiği için sütunlar arasındaki fark yalnız referans maskesi değişiminin etkisini gösterir.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GT-bbox öz-referans diagonali bağımsız performans değil coverage-aware identity control'dür; ana teacher-affinity kanıtı YOLO-bbox hücreleridir.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Tabaka sonuçları, etkinin kalabalık/örtüşen sahne ve hedef alanı koşullarında tutarlı olup olmadığını kontrol eder.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İnsan referansı bağımsız kontroldür; pseudo referans kaynaklı sıralama veya skor değişimi buna göre yorumlanır.</w:t>
      </w:r>
    </w:p>
    <w:p>
      <w:pPr>
        <w:pStyle w:val="Heading1"/>
      </w:pPr>
      <w:r>
        <w:t>Kapsam ve Tanımlar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Kapsam: 512 görüntü. her dört tabakada 128 görüntü ve toplam 5.447 uçak instance.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Avg IoU instance başına hesaplanır ve bütün instance'lar eşit ağırlıkla ortalanır.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Teacher advantage, ilgili pseudo referansta öğretmen modelin IoU değeri ile diğer iki modelin ortalaması arasındaki farktır.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Eşleşmiş fark güven aralıkları kaynak sahne kümeli bootstrap ile hesaplanır; aynı büyük sahneden gelen crop'lar bağımsız sayılmaz.</w:t>
      </w:r>
    </w:p>
    <w:p>
      <w:pPr>
        <w:pStyle w:val="ListBullet"/>
        <w:spacing w:after="60"/>
      </w:pPr>
      <w:r>
        <w:rPr>
          <w:rFonts w:ascii="DejaVu Sans" w:hAnsi="DejaVu Sans"/>
          <w:sz w:val="18"/>
        </w:rPr>
        <w:t>Bilinen pozitif nesnedeki boş pseudo referans eksik etikettir ve 0 puanlanır.</w:t>
      </w:r>
    </w:p>
    <w:p>
      <w:r>
        <w:drawing>
          <wp:inline xmlns:a="http://schemas.openxmlformats.org/drawingml/2006/main" xmlns:pic="http://schemas.openxmlformats.org/drawingml/2006/picture">
            <wp:extent cx="8778240" cy="3136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reference_iou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13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8778240" cy="3038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effect_with_c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03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Overall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0.653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892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2892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Overall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892"/>
            <w:vAlign w:val="center"/>
            <w:shd w:fill="8B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0.873</w:t>
            </w:r>
          </w:p>
        </w:tc>
        <w:tc>
          <w:tcPr>
            <w:tcW w:type="dxa" w:w="2892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892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892"/>
            <w:vAlign w:val="center"/>
            <w:shd w:fill="B1D4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0.750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892"/>
            <w:vAlign w:val="center"/>
            <w:shd w:fill="BF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892"/>
            <w:vAlign w:val="center"/>
            <w:shd w:fill="B4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0.741</w:t>
            </w:r>
          </w:p>
        </w:tc>
        <w:tc>
          <w:tcPr>
            <w:tcW w:type="dxa" w:w="2892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0.702</w:t>
            </w:r>
          </w:p>
        </w:tc>
        <w:tc>
          <w:tcPr>
            <w:tcW w:type="dxa" w:w="2892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0.863</w:t>
            </w:r>
          </w:p>
        </w:tc>
      </w:tr>
    </w:tbl>
    <w:p>
      <w:pPr>
        <w:pStyle w:val="Heading2"/>
      </w:pPr>
      <w:r>
        <w:t>No Overlap × Low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E2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0.593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3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0.795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BE5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0.565</w:t>
            </w:r>
          </w:p>
        </w:tc>
        <w:tc>
          <w:tcPr>
            <w:tcW w:type="dxa" w:w="2892"/>
            <w:vAlign w:val="center"/>
            <w:shd w:fill="A3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0.795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B2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0.656</w:t>
            </w:r>
          </w:p>
        </w:tc>
        <w:tc>
          <w:tcPr>
            <w:tcW w:type="dxa" w:w="2892"/>
            <w:vAlign w:val="center"/>
            <w:shd w:fill="AA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0.774</w:t>
            </w:r>
          </w:p>
        </w:tc>
        <w:tc>
          <w:tcPr>
            <w:tcW w:type="dxa" w:w="2892"/>
            <w:vAlign w:val="center"/>
            <w:shd w:fill="B2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Low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F2E7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0.543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0.852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0.719</w:t>
            </w:r>
          </w:p>
        </w:tc>
        <w:tc>
          <w:tcPr>
            <w:tcW w:type="dxa" w:w="2892"/>
            <w:vAlign w:val="center"/>
            <w:shd w:fill="C2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9E984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0.519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0.720</w:t>
            </w:r>
          </w:p>
        </w:tc>
        <w:tc>
          <w:tcPr>
            <w:tcW w:type="dxa" w:w="2892"/>
            <w:vAlign w:val="center"/>
            <w:shd w:fill="99CD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0.828</w:t>
            </w:r>
          </w:p>
        </w:tc>
        <w:tc>
          <w:tcPr>
            <w:tcW w:type="dxa" w:w="2892"/>
            <w:vAlign w:val="center"/>
            <w:shd w:fill="CB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F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0.602</w:t>
            </w:r>
          </w:p>
        </w:tc>
        <w:tc>
          <w:tcPr>
            <w:tcW w:type="dxa" w:w="2892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0.698</w:t>
            </w:r>
          </w:p>
        </w:tc>
        <w:tc>
          <w:tcPr>
            <w:tcW w:type="dxa" w:w="2892"/>
            <w:vAlign w:val="center"/>
            <w:shd w:fill="CB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0.666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0.845</w:t>
            </w:r>
          </w:p>
        </w:tc>
      </w:tr>
    </w:tbl>
    <w:p>
      <w:pPr>
        <w:pStyle w:val="Heading2"/>
      </w:pPr>
      <w:r>
        <w:t>No Overlap × High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1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0.649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CA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0.670</w:t>
            </w:r>
          </w:p>
        </w:tc>
        <w:tc>
          <w:tcPr>
            <w:tcW w:type="dxa" w:w="2892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A5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6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0.735</w:t>
            </w:r>
          </w:p>
        </w:tc>
        <w:tc>
          <w:tcPr>
            <w:tcW w:type="dxa" w:w="2892"/>
            <w:vAlign w:val="center"/>
            <w:shd w:fill="A8D2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0.778</w:t>
            </w:r>
          </w:p>
        </w:tc>
        <w:tc>
          <w:tcPr>
            <w:tcW w:type="dxa" w:w="2892"/>
            <w:vAlign w:val="center"/>
            <w:shd w:fill="A5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0.790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No Overlap × High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C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0.611</w:t>
            </w:r>
          </w:p>
        </w:tc>
        <w:tc>
          <w:tcPr>
            <w:tcW w:type="dxa" w:w="2892"/>
            <w:vAlign w:val="center"/>
            <w:shd w:fill="88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0.881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0.765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D8E0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0.625</w:t>
            </w:r>
          </w:p>
        </w:tc>
        <w:tc>
          <w:tcPr>
            <w:tcW w:type="dxa" w:w="2892"/>
            <w:vAlign w:val="center"/>
            <w:shd w:fill="AF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0.758</w:t>
            </w:r>
          </w:p>
        </w:tc>
        <w:tc>
          <w:tcPr>
            <w:tcW w:type="dxa" w:w="2892"/>
            <w:vAlign w:val="center"/>
            <w:shd w:fill="8B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0.872</w:t>
            </w:r>
          </w:p>
        </w:tc>
        <w:tc>
          <w:tcPr>
            <w:tcW w:type="dxa" w:w="2892"/>
            <w:vAlign w:val="center"/>
            <w:shd w:fill="B8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0.726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4DA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0.688</w:t>
            </w:r>
          </w:p>
        </w:tc>
        <w:tc>
          <w:tcPr>
            <w:tcW w:type="dxa" w:w="2892"/>
            <w:vAlign w:val="center"/>
            <w:shd w:fill="BC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0.716</w:t>
            </w:r>
          </w:p>
        </w:tc>
        <w:tc>
          <w:tcPr>
            <w:tcW w:type="dxa" w:w="2892"/>
            <w:vAlign w:val="center"/>
            <w:shd w:fill="B9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0.723</w:t>
            </w:r>
          </w:p>
        </w:tc>
        <w:tc>
          <w:tcPr>
            <w:tcW w:type="dxa" w:w="2892"/>
            <w:vAlign w:val="center"/>
            <w:shd w:fill="8B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0.873</w:t>
            </w:r>
          </w:p>
        </w:tc>
      </w:tr>
    </w:tbl>
    <w:p>
      <w:pPr>
        <w:pStyle w:val="Heading2"/>
      </w:pPr>
      <w:r>
        <w:t>Overlap × Low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6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0.633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0.808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4E3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0.586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0.808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C9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0.672</w:t>
            </w:r>
          </w:p>
        </w:tc>
        <w:tc>
          <w:tcPr>
            <w:tcW w:type="dxa" w:w="2892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0.800</w:t>
            </w:r>
          </w:p>
        </w:tc>
        <w:tc>
          <w:tcPr>
            <w:tcW w:type="dxa" w:w="2892"/>
            <w:vAlign w:val="center"/>
            <w:shd w:fill="B1D4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0.751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Low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E7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0.577</w:t>
            </w:r>
          </w:p>
        </w:tc>
        <w:tc>
          <w:tcPr>
            <w:tcW w:type="dxa" w:w="2892"/>
            <w:vAlign w:val="center"/>
            <w:shd w:fill="8C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0.868</w:t>
            </w:r>
          </w:p>
        </w:tc>
        <w:tc>
          <w:tcPr>
            <w:tcW w:type="dxa" w:w="2892"/>
            <w:vAlign w:val="center"/>
            <w:shd w:fill="B8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0.728</w:t>
            </w:r>
          </w:p>
        </w:tc>
        <w:tc>
          <w:tcPr>
            <w:tcW w:type="dxa" w:w="2892"/>
            <w:vAlign w:val="center"/>
            <w:shd w:fill="BA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0.722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F5E8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0.532</w:t>
            </w:r>
          </w:p>
        </w:tc>
        <w:tc>
          <w:tcPr>
            <w:tcW w:type="dxa" w:w="2892"/>
            <w:vAlign w:val="center"/>
            <w:shd w:fill="B6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0.733</w:t>
            </w:r>
          </w:p>
        </w:tc>
        <w:tc>
          <w:tcPr>
            <w:tcW w:type="dxa" w:w="2892"/>
            <w:vAlign w:val="center"/>
            <w:shd w:fill="95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0.840</w:t>
            </w:r>
          </w:p>
        </w:tc>
        <w:tc>
          <w:tcPr>
            <w:tcW w:type="dxa" w:w="2892"/>
            <w:vAlign w:val="center"/>
            <w:shd w:fill="C9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0.674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C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0.611</w:t>
            </w:r>
          </w:p>
        </w:tc>
        <w:tc>
          <w:tcPr>
            <w:tcW w:type="dxa" w:w="2892"/>
            <w:vAlign w:val="center"/>
            <w:shd w:fill="BB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0.719</w:t>
            </w:r>
          </w:p>
        </w:tc>
        <w:tc>
          <w:tcPr>
            <w:tcW w:type="dxa" w:w="2892"/>
            <w:vAlign w:val="center"/>
            <w:shd w:fill="CBDC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0.666</w:t>
            </w:r>
          </w:p>
        </w:tc>
        <w:tc>
          <w:tcPr>
            <w:tcW w:type="dxa" w:w="2892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</w:tr>
    </w:tbl>
    <w:p>
      <w:pPr>
        <w:pStyle w:val="Heading2"/>
      </w:pPr>
      <w:r>
        <w:t>Overlap × High Mask Area · GT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C8DB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0.676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2892"/>
            <w:vAlign w:val="center"/>
            <w:shd w:fill="92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0.850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CE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0.658</w:t>
            </w:r>
          </w:p>
        </w:tc>
        <w:tc>
          <w:tcPr>
            <w:tcW w:type="dxa" w:w="2892"/>
            <w:vAlign w:val="center"/>
            <w:shd w:fill="93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0.846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0.809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BC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0.716</w:t>
            </w:r>
          </w:p>
        </w:tc>
        <w:tc>
          <w:tcPr>
            <w:tcW w:type="dxa" w:w="2892"/>
            <w:vAlign w:val="center"/>
            <w:shd w:fill="92CC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0.850</w:t>
            </w:r>
          </w:p>
        </w:tc>
        <w:tc>
          <w:tcPr>
            <w:tcW w:type="dxa" w:w="2892"/>
            <w:vAlign w:val="center"/>
            <w:shd w:fill="9FCF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0.809</w:t>
            </w:r>
          </w:p>
        </w:tc>
        <w:tc>
          <w:tcPr>
            <w:tcW w:type="dxa" w:w="2892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</w:tr>
    </w:tbl>
    <w:p>
      <w:pPr>
        <w:pStyle w:val="Heading2"/>
      </w:pPr>
      <w:r>
        <w:t>Overlap × High Mask Area · YOLO bbox Avg IoU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92"/>
        <w:gridCol w:w="2892"/>
        <w:gridCol w:w="2892"/>
        <w:gridCol w:w="2892"/>
        <w:gridCol w:w="2892"/>
      </w:tblGrid>
      <w:tr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İnsan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SAM1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SAM2 pseudo</w:t>
            </w:r>
          </w:p>
        </w:tc>
        <w:tc>
          <w:tcPr>
            <w:tcW w:type="dxa" w:w="2892"/>
            <w:shd w:fill="1F4E79"/>
          </w:tcPr>
          <w:p>
            <w:r>
              <w:rPr>
                <w:b/>
                <w:color w:val="FFFFFF"/>
                <w:sz w:val="13"/>
              </w:rPr>
              <w:t>SAM3 pseudo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892"/>
            <w:vAlign w:val="center"/>
            <w:shd w:fill="DBE1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0.616</w:t>
            </w:r>
          </w:p>
        </w:tc>
        <w:tc>
          <w:tcPr>
            <w:tcW w:type="dxa" w:w="2892"/>
            <w:vAlign w:val="center"/>
            <w:shd w:fill="89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0.878</w:t>
            </w:r>
          </w:p>
        </w:tc>
        <w:tc>
          <w:tcPr>
            <w:tcW w:type="dxa" w:w="2892"/>
            <w:vAlign w:val="center"/>
            <w:shd w:fill="AD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0.763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0.767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892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892"/>
            <w:vAlign w:val="center"/>
            <w:shd w:fill="AC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0.765</w:t>
            </w:r>
          </w:p>
        </w:tc>
        <w:tc>
          <w:tcPr>
            <w:tcW w:type="dxa" w:w="2892"/>
            <w:vAlign w:val="center"/>
            <w:shd w:fill="8F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0.860</w:t>
            </w:r>
          </w:p>
        </w:tc>
        <w:tc>
          <w:tcPr>
            <w:tcW w:type="dxa" w:w="2892"/>
            <w:vAlign w:val="center"/>
            <w:shd w:fill="B8D6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0.728</w:t>
            </w:r>
          </w:p>
        </w:tc>
      </w:tr>
      <w:tr>
        <w:tc>
          <w:tcPr>
            <w:tcW w:type="dxa" w:w="2892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892"/>
            <w:vAlign w:val="center"/>
            <w:shd w:fill="D0DE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0.650</w:t>
            </w:r>
          </w:p>
        </w:tc>
        <w:tc>
          <w:tcPr>
            <w:tcW w:type="dxa" w:w="2892"/>
            <w:vAlign w:val="center"/>
            <w:shd w:fill="ABD3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0.768</w:t>
            </w:r>
          </w:p>
        </w:tc>
        <w:tc>
          <w:tcPr>
            <w:tcW w:type="dxa" w:w="2892"/>
            <w:vAlign w:val="center"/>
            <w:shd w:fill="B8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0.727</w:t>
            </w:r>
          </w:p>
        </w:tc>
        <w:tc>
          <w:tcPr>
            <w:tcW w:type="dxa" w:w="2892"/>
            <w:vAlign w:val="center"/>
            <w:shd w:fill="8C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0.869</w:t>
            </w:r>
          </w:p>
        </w:tc>
      </w:tr>
    </w:tbl>
    <w:p>
      <w:pPr>
        <w:pStyle w:val="Heading2"/>
      </w:pPr>
      <w:r>
        <w:t>Eşleşmiş Referans Etkileri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  <w:gridCol w:w="2410"/>
        <w:gridCol w:w="2410"/>
      </w:tblGrid>
      <w:tr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Karşılaştırılan Referans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Temel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Referans IoU</w:t>
            </w:r>
          </w:p>
        </w:tc>
        <w:tc>
          <w:tcPr>
            <w:tcW w:type="dxa" w:w="2410"/>
            <w:shd w:fill="1F4E79"/>
          </w:tcPr>
          <w:p>
            <w:r>
              <w:rPr>
                <w:b/>
                <w:color w:val="FFFFFF"/>
                <w:sz w:val="13"/>
              </w:rPr>
              <w:t>IoU Farkı (%95 GA)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0.653</w:t>
            </w:r>
          </w:p>
        </w:tc>
        <w:tc>
          <w:tcPr>
            <w:tcW w:type="dxa" w:w="2410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+0.347 [+0.331, +0.369]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0.653</w:t>
            </w:r>
          </w:p>
        </w:tc>
        <w:tc>
          <w:tcPr>
            <w:tcW w:type="dxa" w:w="2410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+0.175 [+0.159, +0.189]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0.653</w:t>
            </w:r>
          </w:p>
        </w:tc>
        <w:tc>
          <w:tcPr>
            <w:tcW w:type="dxa" w:w="2410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+0.167 [+0.151, +0.182]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8B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+0.276 [+0.257, +0.297]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B1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0.749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+0.152 [+0.136, +0.166]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E1E2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0.597</w:t>
            </w:r>
          </w:p>
        </w:tc>
        <w:tc>
          <w:tcPr>
            <w:tcW w:type="dxa" w:w="2410"/>
            <w:vAlign w:val="center"/>
            <w:shd w:fill="B3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+0.145 [+0.130, +0.158]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410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+0.198 [+0.180, +0.215]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410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+0.371 [+0.352, +0.396]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2410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+0.154 [+0.142, +0.168]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B1D4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0.750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+0.177 [+0.158, +0.195]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+0.279 [+0.258, +0.302]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E8E483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0.574</w:t>
            </w:r>
          </w:p>
        </w:tc>
        <w:tc>
          <w:tcPr>
            <w:tcW w:type="dxa" w:w="2410"/>
            <w:vAlign w:val="center"/>
            <w:shd w:fill="BFD8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0.706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+0.132 [+0.120, +0.144]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2410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+0.120 [+0.097, +0.140]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2410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+0.084 [+0.066, +0.101]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2410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+0.300 [+0.285, +0.320]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B4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0.741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+0.103 [+0.080, +0.121]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C0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0.702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+0.064 [+0.046, +0.081]</w:t>
            </w:r>
          </w:p>
        </w:tc>
      </w:tr>
      <w:tr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410"/>
            <w:vAlign w:val="center"/>
            <w:shd w:fill="D4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0.638</w:t>
            </w:r>
          </w:p>
        </w:tc>
        <w:tc>
          <w:tcPr>
            <w:tcW w:type="dxa" w:w="2410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0.863</w:t>
            </w:r>
          </w:p>
        </w:tc>
        <w:tc>
          <w:tcPr>
            <w:tcW w:type="dxa" w:w="2410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+0.224 [+0.208, +0.240]</w:t>
            </w:r>
          </w:p>
        </w:tc>
      </w:tr>
    </w:tbl>
    <w:p>
      <w:pPr>
        <w:pStyle w:val="Heading2"/>
      </w:pPr>
      <w:r>
        <w:t>Öğretmen Avantajı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5"/>
        <w:gridCol w:w="2065"/>
        <w:gridCol w:w="2065"/>
        <w:gridCol w:w="2065"/>
        <w:gridCol w:w="2065"/>
        <w:gridCol w:w="2065"/>
        <w:gridCol w:w="2065"/>
      </w:tblGrid>
      <w:tr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Model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Öğretmen IoU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Diğerleri Ort.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Öğretmen Avantajı</w:t>
            </w:r>
          </w:p>
        </w:tc>
        <w:tc>
          <w:tcPr>
            <w:tcW w:type="dxa" w:w="2065"/>
            <w:shd w:fill="1F4E79"/>
          </w:tcPr>
          <w:p>
            <w:r>
              <w:rPr>
                <w:b/>
                <w:color w:val="FFFFFF"/>
                <w:sz w:val="13"/>
              </w:rPr>
              <w:t>Identity Control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065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065"/>
            <w:vAlign w:val="center"/>
            <w:shd w:fill="9A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0.824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+0.176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065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065"/>
            <w:vAlign w:val="center"/>
            <w:shd w:fill="A0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0.805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+0.195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065"/>
            <w:vAlign w:val="center"/>
            <w:shd w:fill="63BE7B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1.000</w:t>
            </w:r>
          </w:p>
        </w:tc>
        <w:tc>
          <w:tcPr>
            <w:tcW w:type="dxa" w:w="2065"/>
            <w:vAlign w:val="center"/>
            <w:shd w:fill="A1D0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0.802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+0.198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Evet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2065"/>
            <w:vAlign w:val="center"/>
            <w:shd w:fill="8BC9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0.873</w:t>
            </w:r>
          </w:p>
        </w:tc>
        <w:tc>
          <w:tcPr>
            <w:tcW w:type="dxa" w:w="2065"/>
            <w:vAlign w:val="center"/>
            <w:shd w:fill="B2D5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0.746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+0.128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2065"/>
            <w:vAlign w:val="center"/>
            <w:shd w:fill="91CB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0.853</w:t>
            </w:r>
          </w:p>
        </w:tc>
        <w:tc>
          <w:tcPr>
            <w:tcW w:type="dxa" w:w="2065"/>
            <w:vAlign w:val="center"/>
            <w:shd w:fill="B8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0.726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+0.127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  <w:tr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2065"/>
            <w:vAlign w:val="center"/>
            <w:shd w:fill="8ECA7D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0.863</w:t>
            </w:r>
          </w:p>
        </w:tc>
        <w:tc>
          <w:tcPr>
            <w:tcW w:type="dxa" w:w="2065"/>
            <w:vAlign w:val="center"/>
            <w:shd w:fill="B9D7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0.724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+0.139</w:t>
            </w:r>
          </w:p>
        </w:tc>
        <w:tc>
          <w:tcPr>
            <w:tcW w:type="dxa" w:w="2065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Hayır</w:t>
            </w:r>
          </w:p>
        </w:tc>
      </w:tr>
    </w:tbl>
    <w:p>
      <w:pPr>
        <w:pStyle w:val="Heading2"/>
      </w:pPr>
      <w:r>
        <w:t>Referanslar Arası Anlaşma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B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 Anlaşması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Instance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  <w:shd w:fill="CFDD81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0.653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D7DF82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0.629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C1D980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0.700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  <w:shd w:fill="99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0.827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9BCE7E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0.820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  <w:shd w:fill="A6D17F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0.784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5447</w:t>
            </w:r>
          </w:p>
        </w:tc>
      </w:tr>
    </w:tbl>
    <w:p>
      <w:pPr>
        <w:pStyle w:val="Heading2"/>
      </w:pPr>
      <w:r>
        <w:t>Model Sıralamaları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14"/>
        <w:gridCol w:w="3614"/>
        <w:gridCol w:w="3614"/>
        <w:gridCol w:w="3614"/>
      </w:tblGrid>
      <w:tr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BBox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Sıralama</w:t>
            </w:r>
          </w:p>
        </w:tc>
        <w:tc>
          <w:tcPr>
            <w:tcW w:type="dxa" w:w="3614"/>
            <w:shd w:fill="1F4E79"/>
          </w:tcPr>
          <w:p>
            <w:r>
              <w:rPr>
                <w:b/>
                <w:color w:val="FFFFFF"/>
                <w:sz w:val="13"/>
              </w:rPr>
              <w:t>Temele Göre Değişen Sıra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SAM2 &gt; SAM3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SAM1 &gt; SAM3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GT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&gt; SAM2 &gt; SAM3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3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&gt; SAM1 &gt; SAM3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2</w:t>
            </w:r>
          </w:p>
        </w:tc>
      </w:tr>
      <w:tr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YOLO bbox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&gt; SAM1 &gt; SAM2</w:t>
            </w:r>
          </w:p>
        </w:tc>
        <w:tc>
          <w:tcPr>
            <w:tcW w:type="dxa" w:w="3614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</w:tr>
    </w:tbl>
    <w:p>
      <w:pPr>
        <w:pStyle w:val="Heading2"/>
      </w:pPr>
      <w:r>
        <w:t>Boş Referans Denetimi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  <w:gridCol w:w="4819"/>
      </w:tblGrid>
      <w:tr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Referans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Maske</w:t>
            </w:r>
          </w:p>
        </w:tc>
        <w:tc>
          <w:tcPr>
            <w:tcW w:type="dxa" w:w="4819"/>
            <w:shd w:fill="1F4E79"/>
          </w:tcPr>
          <w:p>
            <w:r>
              <w:rPr>
                <w:b/>
                <w:color w:val="FFFFFF"/>
                <w:sz w:val="13"/>
              </w:rPr>
              <w:t>Boş Oranı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İnsan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SAM1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SAM2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  <w:tr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SAM3 pseudo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DejaVu Sans" w:hAnsi="DejaVu Sans"/>
                <w:sz w:val="12"/>
              </w:rPr>
              <w:t>0.0000</w:t>
            </w:r>
          </w:p>
        </w:tc>
      </w:tr>
    </w:tbl>
    <w:sectPr w:rsidR="00FC693F" w:rsidRPr="0006063C" w:rsidSect="00034616">
      <w:pgSz w:w="15840" w:h="12240" w:orient="landscape"/>
      <w:pgMar w:top="605" w:right="691" w:bottom="605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