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Samrs Plane Cross-Reference Analysis</w:t>
      </w:r>
    </w:p>
    <w:p>
      <w:pPr>
        <w:pStyle w:val="Heading1"/>
      </w:pPr>
      <w:r>
        <w:t>Teknik Özet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Temel referansta YOLO-bbox Overall Avg IoU bakımından en yüksek model SAM1 (0.813) olmuştur.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Aynı dondurulmuş tahminler bütün referanslara karşı değerlendirildiği için sütunlar arasındaki fark yalnız referans maskesi değişiminin etkisini gösterir.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GT-bbox öz-referans diagonali bağımsız performans değil coverage-aware identity control'dür; ana teacher-affinity kanıtı YOLO-bbox hücreleridir.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Tabaka sonuçları, etkinin kalabalık/örtüşen sahne ve hedef alanı koşullarında tutarlı olup olmadığını kontrol eder.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Yayımlanmış SAMRS referansı insan GT değildir. Bu nedenle sonuç, mutlak kalite karşılaştırmasından çok SAM-türevi referans yakınlığı analizidir.</w:t>
      </w:r>
    </w:p>
    <w:p>
      <w:pPr>
        <w:pStyle w:val="Heading1"/>
      </w:pPr>
      <w:r>
        <w:t>Kapsam ve Tanımlar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Kapsam: 512 görüntü. her dört tabakada 128 görüntü ve toplam 3.713 uçak instance.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Avg IoU instance başına hesaplanır ve bütün instance'lar eşit ağırlıkla ortalanır.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Teacher advantage, ilgili pseudo referansta öğretmen modelin IoU değeri ile diğer iki modelin ortalaması arasındaki farktır.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Eşleşmiş fark güven aralıkları kaynak sahne kümeli bootstrap ile hesaplanır; aynı büyük sahneden gelen crop'lar bağımsız sayılmaz.</w:t>
      </w:r>
    </w:p>
    <w:p>
      <w:pPr>
        <w:pStyle w:val="ListBullet"/>
        <w:spacing w:after="60"/>
      </w:pPr>
      <w:r>
        <w:rPr>
          <w:rFonts w:ascii="DejaVu Sans" w:hAnsi="DejaVu Sans"/>
          <w:sz w:val="18"/>
        </w:rPr>
        <w:t>Bilinen pozitif nesnedeki boş pseudo referans eksik etikettir ve 0 puanlanır.</w:t>
      </w:r>
    </w:p>
    <w:p>
      <w:r>
        <w:drawing>
          <wp:inline xmlns:a="http://schemas.openxmlformats.org/drawingml/2006/main" xmlns:pic="http://schemas.openxmlformats.org/drawingml/2006/picture">
            <wp:extent cx="8778240" cy="34086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reference_iou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408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8778240" cy="3037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effect_with_c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03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Overall · GT bbox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Yayımlanmış SAMRS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Yeniden SAM1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66BF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0.991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A6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0.785</w:t>
            </w:r>
          </w:p>
        </w:tc>
        <w:tc>
          <w:tcPr>
            <w:tcW w:type="dxa" w:w="2892"/>
            <w:vAlign w:val="center"/>
            <w:shd w:fill="9D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0.813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A7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0.781</w:t>
            </w:r>
          </w:p>
        </w:tc>
        <w:tc>
          <w:tcPr>
            <w:tcW w:type="dxa" w:w="2892"/>
            <w:vAlign w:val="center"/>
            <w:shd w:fill="A6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0.785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B1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0.751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9F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0.808</w:t>
            </w:r>
          </w:p>
        </w:tc>
        <w:tc>
          <w:tcPr>
            <w:tcW w:type="dxa" w:w="2892"/>
            <w:vAlign w:val="center"/>
            <w:shd w:fill="9D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0.813</w:t>
            </w:r>
          </w:p>
        </w:tc>
        <w:tc>
          <w:tcPr>
            <w:tcW w:type="dxa" w:w="2892"/>
            <w:vAlign w:val="center"/>
            <w:shd w:fill="B1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0.751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</w:tr>
    </w:tbl>
    <w:p>
      <w:pPr>
        <w:pStyle w:val="Heading2"/>
      </w:pPr>
      <w:r>
        <w:t>Overall · YOLO bbox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Yayımlanmış SAMRS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Yeniden SAM1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9D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0.813</w:t>
            </w:r>
          </w:p>
        </w:tc>
        <w:tc>
          <w:tcPr>
            <w:tcW w:type="dxa" w:w="2892"/>
            <w:vAlign w:val="center"/>
            <w:shd w:fill="9C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0.818</w:t>
            </w:r>
          </w:p>
        </w:tc>
        <w:tc>
          <w:tcPr>
            <w:tcW w:type="dxa" w:w="2892"/>
            <w:vAlign w:val="center"/>
            <w:shd w:fill="C8DB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0.676</w:t>
            </w:r>
          </w:p>
        </w:tc>
        <w:tc>
          <w:tcPr>
            <w:tcW w:type="dxa" w:w="2892"/>
            <w:vAlign w:val="center"/>
            <w:shd w:fill="C2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0.695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C7DB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0.679</w:t>
            </w:r>
          </w:p>
        </w:tc>
        <w:tc>
          <w:tcPr>
            <w:tcW w:type="dxa" w:w="2892"/>
            <w:vAlign w:val="center"/>
            <w:shd w:fill="C6DB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0.682</w:t>
            </w:r>
          </w:p>
        </w:tc>
        <w:tc>
          <w:tcPr>
            <w:tcW w:type="dxa" w:w="2892"/>
            <w:vAlign w:val="center"/>
            <w:shd w:fill="A6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0.785</w:t>
            </w:r>
          </w:p>
        </w:tc>
        <w:tc>
          <w:tcPr>
            <w:tcW w:type="dxa" w:w="2892"/>
            <w:vAlign w:val="center"/>
            <w:shd w:fill="D2DE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0.643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C3DA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0.691</w:t>
            </w:r>
          </w:p>
        </w:tc>
        <w:tc>
          <w:tcPr>
            <w:tcW w:type="dxa" w:w="2892"/>
            <w:vAlign w:val="center"/>
            <w:shd w:fill="C2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0.695</w:t>
            </w:r>
          </w:p>
        </w:tc>
        <w:tc>
          <w:tcPr>
            <w:tcW w:type="dxa" w:w="2892"/>
            <w:vAlign w:val="center"/>
            <w:shd w:fill="D4DE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0.639</w:t>
            </w:r>
          </w:p>
        </w:tc>
        <w:tc>
          <w:tcPr>
            <w:tcW w:type="dxa" w:w="2892"/>
            <w:vAlign w:val="center"/>
            <w:shd w:fill="A2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0.799</w:t>
            </w:r>
          </w:p>
        </w:tc>
      </w:tr>
    </w:tbl>
    <w:p>
      <w:pPr>
        <w:pStyle w:val="Heading2"/>
      </w:pPr>
      <w:r>
        <w:t>No Overlap × Low Mask Area · GT bbox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Yayımlanmış SAMRS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Yeniden SAM1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6AC0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0.979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A6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0.784</w:t>
            </w:r>
          </w:p>
        </w:tc>
        <w:tc>
          <w:tcPr>
            <w:tcW w:type="dxa" w:w="2892"/>
            <w:vAlign w:val="center"/>
            <w:shd w:fill="9A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0.825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AB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0.769</w:t>
            </w:r>
          </w:p>
        </w:tc>
        <w:tc>
          <w:tcPr>
            <w:tcW w:type="dxa" w:w="2892"/>
            <w:vAlign w:val="center"/>
            <w:shd w:fill="A6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0.784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AE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0.761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9E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0.812</w:t>
            </w:r>
          </w:p>
        </w:tc>
        <w:tc>
          <w:tcPr>
            <w:tcW w:type="dxa" w:w="2892"/>
            <w:vAlign w:val="center"/>
            <w:shd w:fill="9A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0.825</w:t>
            </w:r>
          </w:p>
        </w:tc>
        <w:tc>
          <w:tcPr>
            <w:tcW w:type="dxa" w:w="2892"/>
            <w:vAlign w:val="center"/>
            <w:shd w:fill="AE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0.761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</w:tr>
    </w:tbl>
    <w:p>
      <w:pPr>
        <w:pStyle w:val="Heading2"/>
      </w:pPr>
      <w:r>
        <w:t>No Overlap × Low Mask Area · YOLO bbox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Yayımlanmış SAMRS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Yeniden SAM1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AC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0.765</w:t>
            </w:r>
          </w:p>
        </w:tc>
        <w:tc>
          <w:tcPr>
            <w:tcW w:type="dxa" w:w="2892"/>
            <w:vAlign w:val="center"/>
            <w:shd w:fill="A6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0.784</w:t>
            </w:r>
          </w:p>
        </w:tc>
        <w:tc>
          <w:tcPr>
            <w:tcW w:type="dxa" w:w="2892"/>
            <w:vAlign w:val="center"/>
            <w:shd w:fill="D1DE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0.647</w:t>
            </w:r>
          </w:p>
        </w:tc>
        <w:tc>
          <w:tcPr>
            <w:tcW w:type="dxa" w:w="2892"/>
            <w:vAlign w:val="center"/>
            <w:shd w:fill="CADC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0.671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D6DF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0.631</w:t>
            </w:r>
          </w:p>
        </w:tc>
        <w:tc>
          <w:tcPr>
            <w:tcW w:type="dxa" w:w="2892"/>
            <w:vAlign w:val="center"/>
            <w:shd w:fill="D1DE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0.646</w:t>
            </w:r>
          </w:p>
        </w:tc>
        <w:tc>
          <w:tcPr>
            <w:tcW w:type="dxa" w:w="2892"/>
            <w:vAlign w:val="center"/>
            <w:shd w:fill="B3D5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0.745</w:t>
            </w:r>
          </w:p>
        </w:tc>
        <w:tc>
          <w:tcPr>
            <w:tcW w:type="dxa" w:w="2892"/>
            <w:vAlign w:val="center"/>
            <w:shd w:fill="D9E0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0.622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CDDD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0.659</w:t>
            </w:r>
          </w:p>
        </w:tc>
        <w:tc>
          <w:tcPr>
            <w:tcW w:type="dxa" w:w="2892"/>
            <w:vAlign w:val="center"/>
            <w:shd w:fill="C9DC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0.672</w:t>
            </w:r>
          </w:p>
        </w:tc>
        <w:tc>
          <w:tcPr>
            <w:tcW w:type="dxa" w:w="2892"/>
            <w:vAlign w:val="center"/>
            <w:shd w:fill="D8E0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0.624</w:t>
            </w:r>
          </w:p>
        </w:tc>
        <w:tc>
          <w:tcPr>
            <w:tcW w:type="dxa" w:w="2892"/>
            <w:vAlign w:val="center"/>
            <w:shd w:fill="AE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0.759</w:t>
            </w:r>
          </w:p>
        </w:tc>
      </w:tr>
    </w:tbl>
    <w:p>
      <w:pPr>
        <w:pStyle w:val="Heading2"/>
      </w:pPr>
      <w:r>
        <w:t>No Overlap × High Mask Area · GT bbox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Yayımlanmış SAMRS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Yeniden SAM1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6AC0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0.979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96CD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0.837</w:t>
            </w:r>
          </w:p>
        </w:tc>
        <w:tc>
          <w:tcPr>
            <w:tcW w:type="dxa" w:w="2892"/>
            <w:vAlign w:val="center"/>
            <w:shd w:fill="A2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0.798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99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0.827</w:t>
            </w:r>
          </w:p>
        </w:tc>
        <w:tc>
          <w:tcPr>
            <w:tcW w:type="dxa" w:w="2892"/>
            <w:vAlign w:val="center"/>
            <w:shd w:fill="96CD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0.837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A1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0.801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A5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0.788</w:t>
            </w:r>
          </w:p>
        </w:tc>
        <w:tc>
          <w:tcPr>
            <w:tcW w:type="dxa" w:w="2892"/>
            <w:vAlign w:val="center"/>
            <w:shd w:fill="A2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0.798</w:t>
            </w:r>
          </w:p>
        </w:tc>
        <w:tc>
          <w:tcPr>
            <w:tcW w:type="dxa" w:w="2892"/>
            <w:vAlign w:val="center"/>
            <w:shd w:fill="A1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0.801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</w:tr>
    </w:tbl>
    <w:p>
      <w:pPr>
        <w:pStyle w:val="Heading2"/>
      </w:pPr>
      <w:r>
        <w:t>No Overlap × High Mask Area · YOLO bbox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Yayımlanmış SAMRS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Yeniden SAM1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82C7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0.901</w:t>
            </w:r>
          </w:p>
        </w:tc>
        <w:tc>
          <w:tcPr>
            <w:tcW w:type="dxa" w:w="2892"/>
            <w:vAlign w:val="center"/>
            <w:shd w:fill="7FC6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0.909</w:t>
            </w:r>
          </w:p>
        </w:tc>
        <w:tc>
          <w:tcPr>
            <w:tcW w:type="dxa" w:w="2892"/>
            <w:vAlign w:val="center"/>
            <w:shd w:fill="A6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0.786</w:t>
            </w:r>
          </w:p>
        </w:tc>
        <w:tc>
          <w:tcPr>
            <w:tcW w:type="dxa" w:w="2892"/>
            <w:vAlign w:val="center"/>
            <w:shd w:fill="B3D5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0.744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A8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0.780</w:t>
            </w:r>
          </w:p>
        </w:tc>
        <w:tc>
          <w:tcPr>
            <w:tcW w:type="dxa" w:w="2892"/>
            <w:vAlign w:val="center"/>
            <w:shd w:fill="A5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0.789</w:t>
            </w:r>
          </w:p>
        </w:tc>
        <w:tc>
          <w:tcPr>
            <w:tcW w:type="dxa" w:w="2892"/>
            <w:vAlign w:val="center"/>
            <w:shd w:fill="84C8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0.893</w:t>
            </w:r>
          </w:p>
        </w:tc>
        <w:tc>
          <w:tcPr>
            <w:tcW w:type="dxa" w:w="2892"/>
            <w:vAlign w:val="center"/>
            <w:shd w:fill="B2D5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0.746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B3D5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0.743</w:t>
            </w:r>
          </w:p>
        </w:tc>
        <w:tc>
          <w:tcPr>
            <w:tcW w:type="dxa" w:w="2892"/>
            <w:vAlign w:val="center"/>
            <w:shd w:fill="B0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0.752</w:t>
            </w:r>
          </w:p>
        </w:tc>
        <w:tc>
          <w:tcPr>
            <w:tcW w:type="dxa" w:w="2892"/>
            <w:vAlign w:val="center"/>
            <w:shd w:fill="B1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0.751</w:t>
            </w:r>
          </w:p>
        </w:tc>
        <w:tc>
          <w:tcPr>
            <w:tcW w:type="dxa" w:w="2892"/>
            <w:vAlign w:val="center"/>
            <w:shd w:fill="82C7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0.901</w:t>
            </w:r>
          </w:p>
        </w:tc>
      </w:tr>
    </w:tbl>
    <w:p>
      <w:pPr>
        <w:pStyle w:val="Heading2"/>
      </w:pPr>
      <w:r>
        <w:t>Overlap × Low Mask Area · GT bbox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Yayımlanmış SAMRS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Yeniden SAM1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64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0.997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C0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0.701</w:t>
            </w:r>
          </w:p>
        </w:tc>
        <w:tc>
          <w:tcPr>
            <w:tcW w:type="dxa" w:w="2892"/>
            <w:vAlign w:val="center"/>
            <w:shd w:fill="A8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0.780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C0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0.702</w:t>
            </w:r>
          </w:p>
        </w:tc>
        <w:tc>
          <w:tcPr>
            <w:tcW w:type="dxa" w:w="2892"/>
            <w:vAlign w:val="center"/>
            <w:shd w:fill="C0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0.701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C5DA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0.685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A8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0.778</w:t>
            </w:r>
          </w:p>
        </w:tc>
        <w:tc>
          <w:tcPr>
            <w:tcW w:type="dxa" w:w="2892"/>
            <w:vAlign w:val="center"/>
            <w:shd w:fill="A8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0.780</w:t>
            </w:r>
          </w:p>
        </w:tc>
        <w:tc>
          <w:tcPr>
            <w:tcW w:type="dxa" w:w="2892"/>
            <w:vAlign w:val="center"/>
            <w:shd w:fill="C5DA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0.685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</w:tr>
    </w:tbl>
    <w:p>
      <w:pPr>
        <w:pStyle w:val="Heading2"/>
      </w:pPr>
      <w:r>
        <w:t>Overlap × Low Mask Area · YOLO bbox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Yayımlanmış SAMRS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Yeniden SAM1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C8DB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0.676</w:t>
            </w:r>
          </w:p>
        </w:tc>
        <w:tc>
          <w:tcPr>
            <w:tcW w:type="dxa" w:w="2892"/>
            <w:vAlign w:val="center"/>
            <w:shd w:fill="C7DB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0.678</w:t>
            </w:r>
          </w:p>
        </w:tc>
        <w:tc>
          <w:tcPr>
            <w:tcW w:type="dxa" w:w="2892"/>
            <w:vAlign w:val="center"/>
            <w:shd w:fill="FDEB84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0.505</w:t>
            </w:r>
          </w:p>
        </w:tc>
        <w:tc>
          <w:tcPr>
            <w:tcW w:type="dxa" w:w="2892"/>
            <w:vAlign w:val="center"/>
            <w:shd w:fill="EBE5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0.564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FCEA84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0.511</w:t>
            </w:r>
          </w:p>
        </w:tc>
        <w:tc>
          <w:tcPr>
            <w:tcW w:type="dxa" w:w="2892"/>
            <w:vAlign w:val="center"/>
            <w:shd w:fill="FCEA84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0.511</w:t>
            </w:r>
          </w:p>
        </w:tc>
        <w:tc>
          <w:tcPr>
            <w:tcW w:type="dxa" w:w="2892"/>
            <w:vAlign w:val="center"/>
            <w:shd w:fill="D6DF82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0.630</w:t>
            </w:r>
          </w:p>
        </w:tc>
        <w:tc>
          <w:tcPr>
            <w:tcW w:type="dxa" w:w="2892"/>
            <w:vAlign w:val="center"/>
            <w:shd w:fill="FFE8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0.487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ECE5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0.562</w:t>
            </w:r>
          </w:p>
        </w:tc>
        <w:tc>
          <w:tcPr>
            <w:tcW w:type="dxa" w:w="2892"/>
            <w:vAlign w:val="center"/>
            <w:shd w:fill="EBE5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0.563</w:t>
            </w:r>
          </w:p>
        </w:tc>
        <w:tc>
          <w:tcPr>
            <w:tcW w:type="dxa" w:w="2892"/>
            <w:vAlign w:val="center"/>
            <w:shd w:fill="FFE683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0.482</w:t>
            </w:r>
          </w:p>
        </w:tc>
        <w:tc>
          <w:tcPr>
            <w:tcW w:type="dxa" w:w="2892"/>
            <w:vAlign w:val="center"/>
            <w:shd w:fill="CFDD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0.655</w:t>
            </w:r>
          </w:p>
        </w:tc>
      </w:tr>
    </w:tbl>
    <w:p>
      <w:pPr>
        <w:pStyle w:val="Heading2"/>
      </w:pPr>
      <w:r>
        <w:t>Overlap × High Mask Area · GT bbox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Yayımlanmış SAMRS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Yeniden SAM1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66BF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0.991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98CD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0.829</w:t>
            </w:r>
          </w:p>
        </w:tc>
        <w:tc>
          <w:tcPr>
            <w:tcW w:type="dxa" w:w="2892"/>
            <w:vAlign w:val="center"/>
            <w:shd w:fill="96CD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0.836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9A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0.825</w:t>
            </w:r>
          </w:p>
        </w:tc>
        <w:tc>
          <w:tcPr>
            <w:tcW w:type="dxa" w:w="2892"/>
            <w:vAlign w:val="center"/>
            <w:shd w:fill="98CD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0.829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892"/>
            <w:vAlign w:val="center"/>
            <w:shd w:fill="A7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0.782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98CD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0.831</w:t>
            </w:r>
          </w:p>
        </w:tc>
        <w:tc>
          <w:tcPr>
            <w:tcW w:type="dxa" w:w="2892"/>
            <w:vAlign w:val="center"/>
            <w:shd w:fill="96CD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0.836</w:t>
            </w:r>
          </w:p>
        </w:tc>
        <w:tc>
          <w:tcPr>
            <w:tcW w:type="dxa" w:w="2892"/>
            <w:vAlign w:val="center"/>
            <w:shd w:fill="A7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0.782</w:t>
            </w:r>
          </w:p>
        </w:tc>
        <w:tc>
          <w:tcPr>
            <w:tcW w:type="dxa" w:w="2892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</w:tr>
    </w:tbl>
    <w:p>
      <w:pPr>
        <w:pStyle w:val="Heading2"/>
      </w:pPr>
      <w:r>
        <w:t>Overlap × High Mask Area · YOLO bbox Avg IoU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Yayımlanmış SAMRS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Yeniden SAM1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SAM2 pseudo</w:t>
            </w:r>
          </w:p>
        </w:tc>
        <w:tc>
          <w:tcPr>
            <w:tcW w:type="dxa" w:w="2892"/>
            <w:shd w:fill="1F4E79"/>
          </w:tcPr>
          <w:p>
            <w:r>
              <w:rPr>
                <w:b/>
                <w:color w:val="FFFFFF"/>
                <w:sz w:val="13"/>
              </w:rPr>
              <w:t>SAM3 pseudo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892"/>
            <w:vAlign w:val="center"/>
            <w:shd w:fill="85C8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0.891</w:t>
            </w:r>
          </w:p>
        </w:tc>
        <w:tc>
          <w:tcPr>
            <w:tcW w:type="dxa" w:w="2892"/>
            <w:vAlign w:val="center"/>
            <w:shd w:fill="83C7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0.897</w:t>
            </w:r>
          </w:p>
        </w:tc>
        <w:tc>
          <w:tcPr>
            <w:tcW w:type="dxa" w:w="2892"/>
            <w:vAlign w:val="center"/>
            <w:shd w:fill="AB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0.769</w:t>
            </w:r>
          </w:p>
        </w:tc>
        <w:tc>
          <w:tcPr>
            <w:tcW w:type="dxa" w:w="2892"/>
            <w:vAlign w:val="center"/>
            <w:shd w:fill="A9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0.775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892"/>
            <w:vAlign w:val="center"/>
            <w:shd w:fill="A9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0.775</w:t>
            </w:r>
          </w:p>
        </w:tc>
        <w:tc>
          <w:tcPr>
            <w:tcW w:type="dxa" w:w="2892"/>
            <w:vAlign w:val="center"/>
            <w:shd w:fill="A8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0.778</w:t>
            </w:r>
          </w:p>
        </w:tc>
        <w:tc>
          <w:tcPr>
            <w:tcW w:type="dxa" w:w="2892"/>
            <w:vAlign w:val="center"/>
            <w:shd w:fill="8CCA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0.870</w:t>
            </w:r>
          </w:p>
        </w:tc>
        <w:tc>
          <w:tcPr>
            <w:tcW w:type="dxa" w:w="2892"/>
            <w:vAlign w:val="center"/>
            <w:shd w:fill="B8D6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0.728</w:t>
            </w:r>
          </w:p>
        </w:tc>
      </w:tr>
      <w:tr>
        <w:tc>
          <w:tcPr>
            <w:tcW w:type="dxa" w:w="2892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892"/>
            <w:vAlign w:val="center"/>
            <w:shd w:fill="AA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0.771</w:t>
            </w:r>
          </w:p>
        </w:tc>
        <w:tc>
          <w:tcPr>
            <w:tcW w:type="dxa" w:w="2892"/>
            <w:vAlign w:val="center"/>
            <w:shd w:fill="A9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0.775</w:t>
            </w:r>
          </w:p>
        </w:tc>
        <w:tc>
          <w:tcPr>
            <w:tcW w:type="dxa" w:w="2892"/>
            <w:vAlign w:val="center"/>
            <w:shd w:fill="BAD7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0.721</w:t>
            </w:r>
          </w:p>
        </w:tc>
        <w:tc>
          <w:tcPr>
            <w:tcW w:type="dxa" w:w="2892"/>
            <w:vAlign w:val="center"/>
            <w:shd w:fill="89C97D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0.879</w:t>
            </w:r>
          </w:p>
        </w:tc>
      </w:tr>
    </w:tbl>
    <w:p>
      <w:pPr>
        <w:pStyle w:val="Heading2"/>
      </w:pPr>
      <w:r>
        <w:t>Eşleşmiş Referans Etkileri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  <w:gridCol w:w="2410"/>
        <w:gridCol w:w="2410"/>
      </w:tblGrid>
      <w:tr>
        <w:tc>
          <w:tcPr>
            <w:tcW w:type="dxa" w:w="2410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410"/>
            <w:shd w:fill="1F4E79"/>
          </w:tcPr>
          <w:p>
            <w:r>
              <w:rPr>
                <w:b/>
                <w:color w:val="FFFFFF"/>
                <w:sz w:val="13"/>
              </w:rPr>
              <w:t>BBox</w:t>
            </w:r>
          </w:p>
        </w:tc>
        <w:tc>
          <w:tcPr>
            <w:tcW w:type="dxa" w:w="2410"/>
            <w:shd w:fill="1F4E79"/>
          </w:tcPr>
          <w:p>
            <w:r>
              <w:rPr>
                <w:b/>
                <w:color w:val="FFFFFF"/>
                <w:sz w:val="13"/>
              </w:rPr>
              <w:t>Karşılaştırılan Referans</w:t>
            </w:r>
          </w:p>
        </w:tc>
        <w:tc>
          <w:tcPr>
            <w:tcW w:type="dxa" w:w="2410"/>
            <w:shd w:fill="1F4E79"/>
          </w:tcPr>
          <w:p>
            <w:r>
              <w:rPr>
                <w:b/>
                <w:color w:val="FFFFFF"/>
                <w:sz w:val="13"/>
              </w:rPr>
              <w:t>Temel IoU</w:t>
            </w:r>
          </w:p>
        </w:tc>
        <w:tc>
          <w:tcPr>
            <w:tcW w:type="dxa" w:w="2410"/>
            <w:shd w:fill="1F4E79"/>
          </w:tcPr>
          <w:p>
            <w:r>
              <w:rPr>
                <w:b/>
                <w:color w:val="FFFFFF"/>
                <w:sz w:val="13"/>
              </w:rPr>
              <w:t>Referans IoU</w:t>
            </w:r>
          </w:p>
        </w:tc>
        <w:tc>
          <w:tcPr>
            <w:tcW w:type="dxa" w:w="2410"/>
            <w:shd w:fill="1F4E79"/>
          </w:tcPr>
          <w:p>
            <w:r>
              <w:rPr>
                <w:b/>
                <w:color w:val="FFFFFF"/>
                <w:sz w:val="13"/>
              </w:rPr>
              <w:t>IoU Farkı (%95 GA)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2410"/>
            <w:vAlign w:val="center"/>
            <w:shd w:fill="66BF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0.991</w:t>
            </w:r>
          </w:p>
        </w:tc>
        <w:tc>
          <w:tcPr>
            <w:tcW w:type="dxa" w:w="2410"/>
            <w:vAlign w:val="center"/>
            <w:shd w:fill="A6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0.785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-0.206 [-0.262, -0.159]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2410"/>
            <w:vAlign w:val="center"/>
            <w:shd w:fill="66BF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0.991</w:t>
            </w:r>
          </w:p>
        </w:tc>
        <w:tc>
          <w:tcPr>
            <w:tcW w:type="dxa" w:w="2410"/>
            <w:vAlign w:val="center"/>
            <w:shd w:fill="9D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0.813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-0.178 [-0.215, -0.146]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2410"/>
            <w:vAlign w:val="center"/>
            <w:shd w:fill="66BF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0.991</w:t>
            </w:r>
          </w:p>
        </w:tc>
        <w:tc>
          <w:tcPr>
            <w:tcW w:type="dxa" w:w="241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+0.009 [+0.004, +0.017]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2410"/>
            <w:vAlign w:val="center"/>
            <w:shd w:fill="9D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0.813</w:t>
            </w:r>
          </w:p>
        </w:tc>
        <w:tc>
          <w:tcPr>
            <w:tcW w:type="dxa" w:w="2410"/>
            <w:vAlign w:val="center"/>
            <w:shd w:fill="C8DB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0.676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-0.137 [-0.167, -0.114]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2410"/>
            <w:vAlign w:val="center"/>
            <w:shd w:fill="9D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0.813</w:t>
            </w:r>
          </w:p>
        </w:tc>
        <w:tc>
          <w:tcPr>
            <w:tcW w:type="dxa" w:w="2410"/>
            <w:vAlign w:val="center"/>
            <w:shd w:fill="C2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0.695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-0.118 [-0.137, -0.099]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2410"/>
            <w:vAlign w:val="center"/>
            <w:shd w:fill="9D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0.813</w:t>
            </w:r>
          </w:p>
        </w:tc>
        <w:tc>
          <w:tcPr>
            <w:tcW w:type="dxa" w:w="2410"/>
            <w:vAlign w:val="center"/>
            <w:shd w:fill="9C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0.818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+0.005 [+0.002, +0.011]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2410"/>
            <w:vAlign w:val="center"/>
            <w:shd w:fill="A7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0.781</w:t>
            </w:r>
          </w:p>
        </w:tc>
        <w:tc>
          <w:tcPr>
            <w:tcW w:type="dxa" w:w="241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+0.219 [+0.173, +0.274]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2410"/>
            <w:vAlign w:val="center"/>
            <w:shd w:fill="A7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0.781</w:t>
            </w:r>
          </w:p>
        </w:tc>
        <w:tc>
          <w:tcPr>
            <w:tcW w:type="dxa" w:w="2410"/>
            <w:vAlign w:val="center"/>
            <w:shd w:fill="B1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0.751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-0.030 [-0.046, -0.013]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2410"/>
            <w:vAlign w:val="center"/>
            <w:shd w:fill="A7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0.781</w:t>
            </w:r>
          </w:p>
        </w:tc>
        <w:tc>
          <w:tcPr>
            <w:tcW w:type="dxa" w:w="2410"/>
            <w:vAlign w:val="center"/>
            <w:shd w:fill="A6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0.785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+0.004 [+0.001, +0.010]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2410"/>
            <w:vAlign w:val="center"/>
            <w:shd w:fill="C7DB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0.679</w:t>
            </w:r>
          </w:p>
        </w:tc>
        <w:tc>
          <w:tcPr>
            <w:tcW w:type="dxa" w:w="2410"/>
            <w:vAlign w:val="center"/>
            <w:shd w:fill="A6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0.785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+0.106 [+0.094, +0.123]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2410"/>
            <w:vAlign w:val="center"/>
            <w:shd w:fill="C7DB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0.679</w:t>
            </w:r>
          </w:p>
        </w:tc>
        <w:tc>
          <w:tcPr>
            <w:tcW w:type="dxa" w:w="2410"/>
            <w:vAlign w:val="center"/>
            <w:shd w:fill="D2DE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0.643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-0.035 [-0.048, -0.022]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2410"/>
            <w:vAlign w:val="center"/>
            <w:shd w:fill="C7DB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0.679</w:t>
            </w:r>
          </w:p>
        </w:tc>
        <w:tc>
          <w:tcPr>
            <w:tcW w:type="dxa" w:w="2410"/>
            <w:vAlign w:val="center"/>
            <w:shd w:fill="C6DB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0.682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+0.004 [+0.001, +0.008]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2410"/>
            <w:vAlign w:val="center"/>
            <w:shd w:fill="9F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0.808</w:t>
            </w:r>
          </w:p>
        </w:tc>
        <w:tc>
          <w:tcPr>
            <w:tcW w:type="dxa" w:w="2410"/>
            <w:vAlign w:val="center"/>
            <w:shd w:fill="B1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0.751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-0.057 [-0.082, -0.037]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2410"/>
            <w:vAlign w:val="center"/>
            <w:shd w:fill="9F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0.808</w:t>
            </w:r>
          </w:p>
        </w:tc>
        <w:tc>
          <w:tcPr>
            <w:tcW w:type="dxa" w:w="2410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+0.192 [+0.161, +0.230]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2410"/>
            <w:vAlign w:val="center"/>
            <w:shd w:fill="9F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0.808</w:t>
            </w:r>
          </w:p>
        </w:tc>
        <w:tc>
          <w:tcPr>
            <w:tcW w:type="dxa" w:w="2410"/>
            <w:vAlign w:val="center"/>
            <w:shd w:fill="9D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0.813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+0.005 [+0.002, +0.010]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2410"/>
            <w:vAlign w:val="center"/>
            <w:shd w:fill="C3DA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0.691</w:t>
            </w:r>
          </w:p>
        </w:tc>
        <w:tc>
          <w:tcPr>
            <w:tcW w:type="dxa" w:w="2410"/>
            <w:vAlign w:val="center"/>
            <w:shd w:fill="D4DE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0.639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-0.052 [-0.073, -0.035]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2410"/>
            <w:vAlign w:val="center"/>
            <w:shd w:fill="C3DA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0.691</w:t>
            </w:r>
          </w:p>
        </w:tc>
        <w:tc>
          <w:tcPr>
            <w:tcW w:type="dxa" w:w="2410"/>
            <w:vAlign w:val="center"/>
            <w:shd w:fill="A2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0.799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+0.108 [+0.091, +0.128]</w:t>
            </w:r>
          </w:p>
        </w:tc>
      </w:tr>
      <w:tr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2410"/>
            <w:vAlign w:val="center"/>
            <w:shd w:fill="C3DA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0.691</w:t>
            </w:r>
          </w:p>
        </w:tc>
        <w:tc>
          <w:tcPr>
            <w:tcW w:type="dxa" w:w="2410"/>
            <w:vAlign w:val="center"/>
            <w:shd w:fill="C2D980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0.695</w:t>
            </w:r>
          </w:p>
        </w:tc>
        <w:tc>
          <w:tcPr>
            <w:tcW w:type="dxa" w:w="2410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+0.004 [+0.002, +0.008]</w:t>
            </w:r>
          </w:p>
        </w:tc>
      </w:tr>
    </w:tbl>
    <w:p>
      <w:pPr>
        <w:pStyle w:val="Heading2"/>
      </w:pPr>
      <w:r>
        <w:t>Öğretmen Avantajı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  <w:gridCol w:w="2065"/>
        <w:gridCol w:w="2065"/>
      </w:tblGrid>
      <w:tr>
        <w:tc>
          <w:tcPr>
            <w:tcW w:type="dxa" w:w="2065"/>
            <w:shd w:fill="1F4E79"/>
          </w:tcPr>
          <w:p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2065"/>
            <w:shd w:fill="1F4E79"/>
          </w:tcPr>
          <w:p>
            <w:r>
              <w:rPr>
                <w:b/>
                <w:color w:val="FFFFFF"/>
                <w:sz w:val="13"/>
              </w:rPr>
              <w:t>BBox</w:t>
            </w:r>
          </w:p>
        </w:tc>
        <w:tc>
          <w:tcPr>
            <w:tcW w:type="dxa" w:w="2065"/>
            <w:shd w:fill="1F4E79"/>
          </w:tcPr>
          <w:p>
            <w:r>
              <w:rPr>
                <w:b/>
                <w:color w:val="FFFFFF"/>
                <w:sz w:val="13"/>
              </w:rPr>
              <w:t>Referans</w:t>
            </w:r>
          </w:p>
        </w:tc>
        <w:tc>
          <w:tcPr>
            <w:tcW w:type="dxa" w:w="2065"/>
            <w:shd w:fill="1F4E79"/>
          </w:tcPr>
          <w:p>
            <w:r>
              <w:rPr>
                <w:b/>
                <w:color w:val="FFFFFF"/>
                <w:sz w:val="13"/>
              </w:rPr>
              <w:t>Öğretmen IoU</w:t>
            </w:r>
          </w:p>
        </w:tc>
        <w:tc>
          <w:tcPr>
            <w:tcW w:type="dxa" w:w="2065"/>
            <w:shd w:fill="1F4E79"/>
          </w:tcPr>
          <w:p>
            <w:r>
              <w:rPr>
                <w:b/>
                <w:color w:val="FFFFFF"/>
                <w:sz w:val="13"/>
              </w:rPr>
              <w:t>Diğerleri Ort.</w:t>
            </w:r>
          </w:p>
        </w:tc>
        <w:tc>
          <w:tcPr>
            <w:tcW w:type="dxa" w:w="2065"/>
            <w:shd w:fill="1F4E79"/>
          </w:tcPr>
          <w:p>
            <w:r>
              <w:rPr>
                <w:b/>
                <w:color w:val="FFFFFF"/>
                <w:sz w:val="13"/>
              </w:rPr>
              <w:t>Öğretmen Avantajı</w:t>
            </w:r>
          </w:p>
        </w:tc>
        <w:tc>
          <w:tcPr>
            <w:tcW w:type="dxa" w:w="2065"/>
            <w:shd w:fill="1F4E79"/>
          </w:tcPr>
          <w:p>
            <w:r>
              <w:rPr>
                <w:b/>
                <w:color w:val="FFFFFF"/>
                <w:sz w:val="13"/>
              </w:rPr>
              <w:t>Identity Control</w:t>
            </w:r>
          </w:p>
        </w:tc>
      </w:tr>
      <w:tr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2065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065"/>
            <w:vAlign w:val="center"/>
            <w:shd w:fill="ABD3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0.768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+0.232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Evet</w:t>
            </w:r>
          </w:p>
        </w:tc>
      </w:tr>
      <w:tr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2065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065"/>
            <w:vAlign w:val="center"/>
            <w:shd w:fill="A7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0.782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+0.218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Evet</w:t>
            </w:r>
          </w:p>
        </w:tc>
      </w:tr>
      <w:tr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Yayımlanmış SAMRS</w:t>
            </w:r>
          </w:p>
        </w:tc>
        <w:tc>
          <w:tcPr>
            <w:tcW w:type="dxa" w:w="2065"/>
            <w:vAlign w:val="center"/>
            <w:shd w:fill="66BF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0.991</w:t>
            </w:r>
          </w:p>
        </w:tc>
        <w:tc>
          <w:tcPr>
            <w:tcW w:type="dxa" w:w="2065"/>
            <w:vAlign w:val="center"/>
            <w:shd w:fill="A3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0.794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+0.196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Hayır</w:t>
            </w:r>
          </w:p>
        </w:tc>
      </w:tr>
      <w:tr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2065"/>
            <w:vAlign w:val="center"/>
            <w:shd w:fill="63BE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1.000</w:t>
            </w:r>
          </w:p>
        </w:tc>
        <w:tc>
          <w:tcPr>
            <w:tcW w:type="dxa" w:w="2065"/>
            <w:vAlign w:val="center"/>
            <w:shd w:fill="A2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0.799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+0.201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Evet</w:t>
            </w:r>
          </w:p>
        </w:tc>
      </w:tr>
      <w:tr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2065"/>
            <w:vAlign w:val="center"/>
            <w:shd w:fill="A6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0.785</w:t>
            </w:r>
          </w:p>
        </w:tc>
        <w:tc>
          <w:tcPr>
            <w:tcW w:type="dxa" w:w="2065"/>
            <w:vAlign w:val="center"/>
            <w:shd w:fill="CEDD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0.657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+0.128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Hayır</w:t>
            </w:r>
          </w:p>
        </w:tc>
      </w:tr>
      <w:tr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2065"/>
            <w:vAlign w:val="center"/>
            <w:shd w:fill="A2D0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0.799</w:t>
            </w:r>
          </w:p>
        </w:tc>
        <w:tc>
          <w:tcPr>
            <w:tcW w:type="dxa" w:w="2065"/>
            <w:vAlign w:val="center"/>
            <w:shd w:fill="CADC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0.669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+0.130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Hayır</w:t>
            </w:r>
          </w:p>
        </w:tc>
      </w:tr>
      <w:tr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Yayımlanmış SAMRS</w:t>
            </w:r>
          </w:p>
        </w:tc>
        <w:tc>
          <w:tcPr>
            <w:tcW w:type="dxa" w:w="2065"/>
            <w:vAlign w:val="center"/>
            <w:shd w:fill="9D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0.813</w:t>
            </w:r>
          </w:p>
        </w:tc>
        <w:tc>
          <w:tcPr>
            <w:tcW w:type="dxa" w:w="2065"/>
            <w:vAlign w:val="center"/>
            <w:shd w:fill="C5DA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0.685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+0.128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Hayır</w:t>
            </w:r>
          </w:p>
        </w:tc>
      </w:tr>
      <w:tr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2065"/>
            <w:vAlign w:val="center"/>
            <w:shd w:fill="9CCE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0.818</w:t>
            </w:r>
          </w:p>
        </w:tc>
        <w:tc>
          <w:tcPr>
            <w:tcW w:type="dxa" w:w="2065"/>
            <w:vAlign w:val="center"/>
            <w:shd w:fill="C4DA81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0.689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+0.129</w:t>
            </w:r>
          </w:p>
        </w:tc>
        <w:tc>
          <w:tcPr>
            <w:tcW w:type="dxa" w:w="2065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Hayır</w:t>
            </w:r>
          </w:p>
        </w:tc>
      </w:tr>
    </w:tbl>
    <w:p>
      <w:pPr>
        <w:pStyle w:val="Heading2"/>
      </w:pPr>
      <w:r>
        <w:t>Referanslar Arası Anlaşma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Referans A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Referans B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Referans Anlaşması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Instance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Yayımlanmış SAMRS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3614"/>
            <w:vAlign w:val="center"/>
            <w:shd w:fill="66BF7B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0.991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3713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Yayımlanmış SAMRS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3614"/>
            <w:vAlign w:val="center"/>
            <w:shd w:fill="A7D2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0.781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3713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Yayımlanmış SAMRS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3614"/>
            <w:vAlign w:val="center"/>
            <w:shd w:fill="9F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0.808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3713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3614"/>
            <w:vAlign w:val="center"/>
            <w:shd w:fill="A6D1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0.785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3713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3614"/>
            <w:vAlign w:val="center"/>
            <w:shd w:fill="9DCF7E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0.813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3713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3614"/>
            <w:vAlign w:val="center"/>
            <w:shd w:fill="B1D47F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0.751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3713</w:t>
            </w:r>
          </w:p>
        </w:tc>
      </w:tr>
    </w:tbl>
    <w:p>
      <w:pPr>
        <w:pStyle w:val="Heading2"/>
      </w:pPr>
      <w:r>
        <w:t>Model Sıralamaları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BBox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Referans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Sıralama</w:t>
            </w:r>
          </w:p>
        </w:tc>
        <w:tc>
          <w:tcPr>
            <w:tcW w:type="dxa" w:w="3614"/>
            <w:shd w:fill="1F4E79"/>
          </w:tcPr>
          <w:p>
            <w:r>
              <w:rPr>
                <w:b/>
                <w:color w:val="FFFFFF"/>
                <w:sz w:val="13"/>
              </w:rPr>
              <w:t>Temele Göre Değişen Sıra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Yayımlanmış SAMRS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&gt; SAM3 &gt; SAM2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&gt; SAM3 &gt; SAM2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&gt; SAM1 &gt; SAM3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3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GT bbox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&gt; SAM1 &gt; SAM2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2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Yayımlanmış SAMRS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&gt; SAM3 &gt; SAM2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SAM1 &gt; SAM3 &gt; SAM2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&gt; SAM1 &gt; SAM3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3</w:t>
            </w:r>
          </w:p>
        </w:tc>
      </w:tr>
      <w:tr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YOLO bbox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&gt; SAM1 &gt; SAM2</w:t>
            </w:r>
          </w:p>
        </w:tc>
        <w:tc>
          <w:tcPr>
            <w:tcW w:type="dxa" w:w="3614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2</w:t>
            </w:r>
          </w:p>
        </w:tc>
      </w:tr>
    </w:tbl>
    <w:p>
      <w:pPr>
        <w:pStyle w:val="Heading2"/>
      </w:pPr>
      <w:r>
        <w:t>Boş Referans Denetimi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  <w:gridCol w:w="4819"/>
      </w:tblGrid>
      <w:tr>
        <w:tc>
          <w:tcPr>
            <w:tcW w:type="dxa" w:w="4819"/>
            <w:shd w:fill="1F4E79"/>
          </w:tcPr>
          <w:p>
            <w:r>
              <w:rPr>
                <w:b/>
                <w:color w:val="FFFFFF"/>
                <w:sz w:val="13"/>
              </w:rPr>
              <w:t>Referans</w:t>
            </w:r>
          </w:p>
        </w:tc>
        <w:tc>
          <w:tcPr>
            <w:tcW w:type="dxa" w:w="4819"/>
            <w:shd w:fill="1F4E79"/>
          </w:tcPr>
          <w:p>
            <w:r>
              <w:rPr>
                <w:b/>
                <w:color w:val="FFFFFF"/>
                <w:sz w:val="13"/>
              </w:rPr>
              <w:t>Boş Maske</w:t>
            </w:r>
          </w:p>
        </w:tc>
        <w:tc>
          <w:tcPr>
            <w:tcW w:type="dxa" w:w="4819"/>
            <w:shd w:fill="1F4E79"/>
          </w:tcPr>
          <w:p>
            <w:r>
              <w:rPr>
                <w:b/>
                <w:color w:val="FFFFFF"/>
                <w:sz w:val="13"/>
              </w:rPr>
              <w:t>Boş Oranı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SAM2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0.0000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SAM3 pseudo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0.0000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Yayımlanmış SAMRS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0.0000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Yeniden SAM1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DejaVu Sans" w:hAnsi="DejaVu Sans"/>
                <w:sz w:val="12"/>
              </w:rPr>
              <w:t>0.0000</w:t>
            </w:r>
          </w:p>
        </w:tc>
      </w:tr>
    </w:tbl>
    <w:sectPr w:rsidR="00FC693F" w:rsidRPr="0006063C" w:rsidSect="00034616">
      <w:pgSz w:w="15840" w:h="12240" w:orient="landscape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