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SAM1/SAM2/SAM3 Pseudo Referans Karşılaştırması</w:t>
      </w:r>
    </w:p>
    <w:p>
      <w:pPr>
        <w:pStyle w:val="Heading1"/>
      </w:pPr>
      <w:r>
        <w:t>Teknik Özet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Her pseudo referans GT-bbox koşulunda kendi üreticisine 1,000 IoU verir. Bu matematiksel özdeşlik başarı değil, deneyin pozitif kontrolüdür.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YOLO bbox koşulunda da her pseudo referans kendi öğretmen modelini en yüksek skora taşır. Plane için öğretmen avantajı 0,113–0,138; Small Vehicle için 0,179–0,299 IoU aralığındadır.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İnsan referansındaki model sıralaması pseudo referansa göre değişebilir. Bu nedenle model seçimi, referansı üreten model ailesine bağımlı hâle gelir.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SAM3 Small Vehicle öğretmen çıktılarının 5.345/12.051'i (%44,4) boştur. SAM3'ün kendi pseudo referansında yüksek görünmesi bağımsız doğruluk kanıtı değildir.</w:t>
      </w:r>
    </w:p>
    <w:p>
      <w:pPr>
        <w:pStyle w:val="Heading1"/>
      </w:pPr>
      <w:r>
        <w:t>Kapsam ve Metrik Tanımları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Kapsam: iSAID Plane'de 5.447, iSAID Small Vehicle'da 12.051 instance; her veri setinde 512 görüntü ve dört eşit 128 görüntülük stratum.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Sabitler: görüntüler, instance'lar, insan GT bbox istemleri, seed 42 YOLO bbox istemleri ve SAM1/2/3 tahminleri aynıdır. Değişen tek değerlendirme girdisi referans maskedir.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Avg IoU her instance için ayrı hesaplanır ve instance'lar eşit ağırlıkla ortalanır. Büyük nesneler sonucu piksel alanıyla baskılamaz.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Pseudo referans, SAM1/SAM2/SAM3'ün insan GT bbox istemiyle ürettiği maskedir. Bu nedenle insan lokalizasyon bilgisi korunur; deney maske sınırı ve model-öğretmen uyumuna odaklanır.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Scene-clustered bootstrap güven aralıkları aynı kaynak sahneden gelen crop'ların bağımsız kabul edilmesini önler.</w:t>
      </w:r>
    </w:p>
    <w:p>
      <w:pPr>
        <w:pStyle w:val="Heading1"/>
      </w:pPr>
      <w:r>
        <w:t>Model–Referans Matrisi</w:t>
      </w:r>
    </w:p>
    <w:p>
      <w:r>
        <w:t>Satırlar değerlendirilen modeli, sütunlar referans kaynağını gösterir. Pseudo diagonalinin yükselmesi self-reference etkisini görünür kılar.</w:t>
      </w:r>
    </w:p>
    <w:p>
      <w:r>
        <w:drawing>
          <wp:inline xmlns:a="http://schemas.openxmlformats.org/drawingml/2006/main" xmlns:pic="http://schemas.openxmlformats.org/drawingml/2006/picture">
            <wp:extent cx="8869680" cy="6345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ference_iou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345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İnsan Referansına Göre Skor Değişimi</w:t>
      </w:r>
    </w:p>
    <w:p>
      <w:r>
        <w:t>Noktalar pseudo−human paired Avg IoU farkını, çizgiler kaynak sahne kümeli %95 bootstrap güven aralığını gösterir.</w:t>
      </w:r>
    </w:p>
    <w:p>
      <w:r>
        <w:drawing>
          <wp:inline xmlns:a="http://schemas.openxmlformats.org/drawingml/2006/main" xmlns:pic="http://schemas.openxmlformats.org/drawingml/2006/picture">
            <wp:extent cx="8869680" cy="5825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effect_with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82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iSAID Plane · GT bbox Overall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Human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SAM1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SAM2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SAM3 pseudo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288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0.653</w:t>
            </w:r>
          </w:p>
        </w:tc>
        <w:tc>
          <w:tcPr>
            <w:tcW w:type="dxa" w:w="288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2880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0.827</w:t>
            </w:r>
          </w:p>
        </w:tc>
        <w:tc>
          <w:tcPr>
            <w:tcW w:type="dxa" w:w="2880"/>
            <w:vAlign w:val="center"/>
            <w:shd w:fill="A3D0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0.795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2880"/>
            <w:vAlign w:val="center"/>
            <w:shd w:fill="D7DF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0.629</w:t>
            </w:r>
          </w:p>
        </w:tc>
        <w:tc>
          <w:tcPr>
            <w:tcW w:type="dxa" w:w="2880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0.827</w:t>
            </w:r>
          </w:p>
        </w:tc>
        <w:tc>
          <w:tcPr>
            <w:tcW w:type="dxa" w:w="288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2880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0.793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288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0.655</w:t>
            </w:r>
          </w:p>
        </w:tc>
        <w:tc>
          <w:tcPr>
            <w:tcW w:type="dxa" w:w="2880"/>
            <w:vAlign w:val="center"/>
            <w:shd w:fill="A3D0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0.795</w:t>
            </w:r>
          </w:p>
        </w:tc>
        <w:tc>
          <w:tcPr>
            <w:tcW w:type="dxa" w:w="2880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0.793</w:t>
            </w:r>
          </w:p>
        </w:tc>
        <w:tc>
          <w:tcPr>
            <w:tcW w:type="dxa" w:w="288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</w:tbl>
    <w:p>
      <w:pPr>
        <w:pStyle w:val="Heading2"/>
      </w:pPr>
      <w:r>
        <w:t>iSAID Plane · YOLO bbox Overall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Human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SAM1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SAM2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SAM3 pseudo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2880"/>
            <w:vAlign w:val="center"/>
            <w:shd w:fill="E1E2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0.597</w:t>
            </w:r>
          </w:p>
        </w:tc>
        <w:tc>
          <w:tcPr>
            <w:tcW w:type="dxa" w:w="2880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0.873</w:t>
            </w:r>
          </w:p>
        </w:tc>
        <w:tc>
          <w:tcPr>
            <w:tcW w:type="dxa" w:w="2880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0.749</w:t>
            </w:r>
          </w:p>
        </w:tc>
        <w:tc>
          <w:tcPr>
            <w:tcW w:type="dxa" w:w="2880"/>
            <w:vAlign w:val="center"/>
            <w:shd w:fill="B2D5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2880"/>
            <w:vAlign w:val="center"/>
            <w:shd w:fill="E8E4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0.574</w:t>
            </w:r>
          </w:p>
        </w:tc>
        <w:tc>
          <w:tcPr>
            <w:tcW w:type="dxa" w:w="2880"/>
            <w:vAlign w:val="center"/>
            <w:shd w:fill="B1D4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0.750</w:t>
            </w:r>
          </w:p>
        </w:tc>
        <w:tc>
          <w:tcPr>
            <w:tcW w:type="dxa" w:w="288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0.853</w:t>
            </w:r>
          </w:p>
        </w:tc>
        <w:tc>
          <w:tcPr>
            <w:tcW w:type="dxa" w:w="2880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0.744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2880"/>
            <w:vAlign w:val="center"/>
            <w:shd w:fill="E1E2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0.595</w:t>
            </w:r>
          </w:p>
        </w:tc>
        <w:tc>
          <w:tcPr>
            <w:tcW w:type="dxa" w:w="2880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0.721</w:t>
            </w:r>
          </w:p>
        </w:tc>
        <w:tc>
          <w:tcPr>
            <w:tcW w:type="dxa" w:w="2880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0.718</w:t>
            </w:r>
          </w:p>
        </w:tc>
        <w:tc>
          <w:tcPr>
            <w:tcW w:type="dxa" w:w="2880"/>
            <w:vAlign w:val="center"/>
            <w:shd w:fill="8FCB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0.858</w:t>
            </w:r>
          </w:p>
        </w:tc>
      </w:tr>
    </w:tbl>
    <w:p>
      <w:pPr>
        <w:pStyle w:val="Heading2"/>
      </w:pPr>
      <w:r>
        <w:t>iSAID Small Vehicle · GT bbox Overall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Human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SAM1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SAM2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SAM3 pseudo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2880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0.658</w:t>
            </w:r>
          </w:p>
        </w:tc>
        <w:tc>
          <w:tcPr>
            <w:tcW w:type="dxa" w:w="288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2880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0.749</w:t>
            </w:r>
          </w:p>
        </w:tc>
        <w:tc>
          <w:tcPr>
            <w:tcW w:type="dxa" w:w="2880"/>
            <w:vAlign w:val="center"/>
            <w:shd w:fill="FE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0.419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2880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0.645</w:t>
            </w:r>
          </w:p>
        </w:tc>
        <w:tc>
          <w:tcPr>
            <w:tcW w:type="dxa" w:w="2880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0.749</w:t>
            </w:r>
          </w:p>
        </w:tc>
        <w:tc>
          <w:tcPr>
            <w:tcW w:type="dxa" w:w="288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2880"/>
            <w:vAlign w:val="center"/>
            <w:shd w:fill="FE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2880"/>
            <w:vAlign w:val="center"/>
            <w:shd w:fill="FDC9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0.370</w:t>
            </w:r>
          </w:p>
        </w:tc>
        <w:tc>
          <w:tcPr>
            <w:tcW w:type="dxa" w:w="2880"/>
            <w:vAlign w:val="center"/>
            <w:shd w:fill="FE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0.419</w:t>
            </w:r>
          </w:p>
        </w:tc>
        <w:tc>
          <w:tcPr>
            <w:tcW w:type="dxa" w:w="2880"/>
            <w:vAlign w:val="center"/>
            <w:shd w:fill="FE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0.420</w:t>
            </w:r>
          </w:p>
        </w:tc>
        <w:tc>
          <w:tcPr>
            <w:tcW w:type="dxa" w:w="288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</w:tbl>
    <w:p>
      <w:pPr>
        <w:pStyle w:val="Heading2"/>
      </w:pPr>
      <w:r>
        <w:t>iSAID Small Vehicle · YOLO bbox Overall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Human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SAM1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SAM2 pseudo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SAM3 pseudo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2880"/>
            <w:vAlign w:val="center"/>
            <w:shd w:fill="FFE5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0.478</w:t>
            </w:r>
          </w:p>
        </w:tc>
        <w:tc>
          <w:tcPr>
            <w:tcW w:type="dxa" w:w="288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0.655</w:t>
            </w:r>
          </w:p>
        </w:tc>
        <w:tc>
          <w:tcPr>
            <w:tcW w:type="dxa" w:w="2880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0.551</w:t>
            </w:r>
          </w:p>
        </w:tc>
        <w:tc>
          <w:tcPr>
            <w:tcW w:type="dxa" w:w="2880"/>
            <w:vAlign w:val="center"/>
            <w:shd w:fill="F3E7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0.539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2880"/>
            <w:vAlign w:val="center"/>
            <w:shd w:fill="FEE1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0.461</w:t>
            </w:r>
          </w:p>
        </w:tc>
        <w:tc>
          <w:tcPr>
            <w:tcW w:type="dxa" w:w="2880"/>
            <w:vAlign w:val="center"/>
            <w:shd w:fill="EFE6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0.550</w:t>
            </w:r>
          </w:p>
        </w:tc>
        <w:tc>
          <w:tcPr>
            <w:tcW w:type="dxa" w:w="2880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0.624</w:t>
            </w:r>
          </w:p>
        </w:tc>
        <w:tc>
          <w:tcPr>
            <w:tcW w:type="dxa" w:w="2880"/>
            <w:vAlign w:val="center"/>
            <w:shd w:fill="F3E7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0.539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2880"/>
            <w:vAlign w:val="center"/>
            <w:shd w:fill="FCB77A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0.299</w:t>
            </w:r>
          </w:p>
        </w:tc>
        <w:tc>
          <w:tcPr>
            <w:tcW w:type="dxa" w:w="2880"/>
            <w:vAlign w:val="center"/>
            <w:shd w:fill="FDC27C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0.341</w:t>
            </w:r>
          </w:p>
        </w:tc>
        <w:tc>
          <w:tcPr>
            <w:tcW w:type="dxa" w:w="2880"/>
            <w:vAlign w:val="center"/>
            <w:shd w:fill="FDC17C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0.339</w:t>
            </w:r>
          </w:p>
        </w:tc>
        <w:tc>
          <w:tcPr>
            <w:tcW w:type="dxa" w:w="2880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0.838</w:t>
            </w:r>
          </w:p>
        </w:tc>
      </w:tr>
    </w:tbl>
    <w:p>
      <w:pPr>
        <w:pStyle w:val="Heading2"/>
      </w:pPr>
      <w:r>
        <w:t>Her Koşuldaki En Yüksek Overall Metrikler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BBox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Best model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Avg IoU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Avg Dice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Avg Precision</w:t>
            </w:r>
          </w:p>
        </w:tc>
        <w:tc>
          <w:tcPr>
            <w:tcW w:type="dxa" w:w="1800"/>
            <w:shd w:fill="1F4E79"/>
          </w:tcPr>
          <w:p>
            <w:r>
              <w:rPr>
                <w:b/>
                <w:color w:val="FFFFFF"/>
                <w:sz w:val="14"/>
              </w:rPr>
              <w:t>Avg Recall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180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0.655</w:t>
            </w:r>
          </w:p>
        </w:tc>
        <w:tc>
          <w:tcPr>
            <w:tcW w:type="dxa" w:w="1800"/>
            <w:vAlign w:val="center"/>
            <w:shd w:fill="A9D2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0.776</w:t>
            </w:r>
          </w:p>
        </w:tc>
        <w:tc>
          <w:tcPr>
            <w:tcW w:type="dxa" w:w="1800"/>
            <w:vAlign w:val="center"/>
            <w:shd w:fill="C6DB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0.683</w:t>
            </w:r>
          </w:p>
        </w:tc>
        <w:tc>
          <w:tcPr>
            <w:tcW w:type="dxa" w:w="1800"/>
            <w:vAlign w:val="center"/>
            <w:shd w:fill="7BC57C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0.924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E1E2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0.597</w:t>
            </w:r>
          </w:p>
        </w:tc>
        <w:tc>
          <w:tcPr>
            <w:tcW w:type="dxa" w:w="1800"/>
            <w:vAlign w:val="center"/>
            <w:shd w:fill="BDD8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0.711</w:t>
            </w:r>
          </w:p>
        </w:tc>
        <w:tc>
          <w:tcPr>
            <w:tcW w:type="dxa" w:w="1800"/>
            <w:vAlign w:val="center"/>
            <w:shd w:fill="D7E0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0.627</w:t>
            </w:r>
          </w:p>
        </w:tc>
        <w:tc>
          <w:tcPr>
            <w:tcW w:type="dxa" w:w="1800"/>
            <w:vAlign w:val="center"/>
            <w:shd w:fill="94CC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0.842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0.873</w:t>
            </w:r>
          </w:p>
        </w:tc>
        <w:tc>
          <w:tcPr>
            <w:tcW w:type="dxa" w:w="1800"/>
            <w:vAlign w:val="center"/>
            <w:shd w:fill="88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0.883</w:t>
            </w:r>
          </w:p>
        </w:tc>
        <w:tc>
          <w:tcPr>
            <w:tcW w:type="dxa" w:w="1800"/>
            <w:vAlign w:val="center"/>
            <w:shd w:fill="87C8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0.886</w:t>
            </w:r>
          </w:p>
        </w:tc>
        <w:tc>
          <w:tcPr>
            <w:tcW w:type="dxa" w:w="1800"/>
            <w:vAlign w:val="center"/>
            <w:shd w:fill="88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0.882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180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0.853</w:t>
            </w:r>
          </w:p>
        </w:tc>
        <w:tc>
          <w:tcPr>
            <w:tcW w:type="dxa" w:w="1800"/>
            <w:vAlign w:val="center"/>
            <w:shd w:fill="8BCA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0.871</w:t>
            </w:r>
          </w:p>
        </w:tc>
        <w:tc>
          <w:tcPr>
            <w:tcW w:type="dxa" w:w="1800"/>
            <w:vAlign w:val="center"/>
            <w:shd w:fill="8A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0.876</w:t>
            </w:r>
          </w:p>
        </w:tc>
        <w:tc>
          <w:tcPr>
            <w:tcW w:type="dxa" w:w="1800"/>
            <w:vAlign w:val="center"/>
            <w:shd w:fill="8BCA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0.871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1800"/>
            <w:vAlign w:val="center"/>
            <w:shd w:fill="8FCB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0.858</w:t>
            </w:r>
          </w:p>
        </w:tc>
        <w:tc>
          <w:tcPr>
            <w:tcW w:type="dxa" w:w="1800"/>
            <w:vAlign w:val="center"/>
            <w:shd w:fill="8A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0.876</w:t>
            </w:r>
          </w:p>
        </w:tc>
        <w:tc>
          <w:tcPr>
            <w:tcW w:type="dxa" w:w="1800"/>
            <w:vAlign w:val="center"/>
            <w:shd w:fill="88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0.882</w:t>
            </w:r>
          </w:p>
        </w:tc>
        <w:tc>
          <w:tcPr>
            <w:tcW w:type="dxa" w:w="1800"/>
            <w:vAlign w:val="center"/>
            <w:shd w:fill="8A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0.874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0.658</w:t>
            </w:r>
          </w:p>
        </w:tc>
        <w:tc>
          <w:tcPr>
            <w:tcW w:type="dxa" w:w="1800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0.779</w:t>
            </w:r>
          </w:p>
        </w:tc>
        <w:tc>
          <w:tcPr>
            <w:tcW w:type="dxa" w:w="1800"/>
            <w:vAlign w:val="center"/>
            <w:shd w:fill="B6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0.733</w:t>
            </w:r>
          </w:p>
        </w:tc>
        <w:tc>
          <w:tcPr>
            <w:tcW w:type="dxa" w:w="1800"/>
            <w:vAlign w:val="center"/>
            <w:shd w:fill="89C97D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0.877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  <w:tc>
          <w:tcPr>
            <w:tcW w:type="dxa" w:w="180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1.000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FFE5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0.478</w:t>
            </w:r>
          </w:p>
        </w:tc>
        <w:tc>
          <w:tcPr>
            <w:tcW w:type="dxa" w:w="1800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0.564</w:t>
            </w:r>
          </w:p>
        </w:tc>
        <w:tc>
          <w:tcPr>
            <w:tcW w:type="dxa" w:w="1800"/>
            <w:vAlign w:val="center"/>
            <w:shd w:fill="F6E883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0.529</w:t>
            </w:r>
          </w:p>
        </w:tc>
        <w:tc>
          <w:tcPr>
            <w:tcW w:type="dxa" w:w="1800"/>
            <w:vAlign w:val="center"/>
            <w:shd w:fill="D5DF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0.635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180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0.655</w:t>
            </w:r>
          </w:p>
        </w:tc>
        <w:tc>
          <w:tcPr>
            <w:tcW w:type="dxa" w:w="1800"/>
            <w:vAlign w:val="center"/>
            <w:shd w:fill="C6DB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0.682</w:t>
            </w:r>
          </w:p>
        </w:tc>
        <w:tc>
          <w:tcPr>
            <w:tcW w:type="dxa" w:w="1800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0.678</w:t>
            </w:r>
          </w:p>
        </w:tc>
        <w:tc>
          <w:tcPr>
            <w:tcW w:type="dxa" w:w="1800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0.692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1800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0.624</w:t>
            </w:r>
          </w:p>
        </w:tc>
        <w:tc>
          <w:tcPr>
            <w:tcW w:type="dxa" w:w="1800"/>
            <w:vAlign w:val="center"/>
            <w:shd w:fill="CCDC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0.663</w:t>
            </w:r>
          </w:p>
        </w:tc>
        <w:tc>
          <w:tcPr>
            <w:tcW w:type="dxa" w:w="1800"/>
            <w:vAlign w:val="center"/>
            <w:shd w:fill="CCDC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0.663</w:t>
            </w:r>
          </w:p>
        </w:tc>
        <w:tc>
          <w:tcPr>
            <w:tcW w:type="dxa" w:w="1800"/>
            <w:vAlign w:val="center"/>
            <w:shd w:fill="C9DB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0.674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1800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0.838</w:t>
            </w:r>
          </w:p>
        </w:tc>
        <w:tc>
          <w:tcPr>
            <w:tcW w:type="dxa" w:w="180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0.851</w:t>
            </w:r>
          </w:p>
        </w:tc>
        <w:tc>
          <w:tcPr>
            <w:tcW w:type="dxa" w:w="1800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0.854</w:t>
            </w:r>
          </w:p>
        </w:tc>
        <w:tc>
          <w:tcPr>
            <w:tcW w:type="dxa" w:w="1800"/>
            <w:vAlign w:val="center"/>
            <w:shd w:fill="92CC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0.849</w:t>
            </w:r>
          </w:p>
        </w:tc>
      </w:tr>
    </w:tbl>
    <w:p>
      <w:pPr>
        <w:pStyle w:val="Heading2"/>
      </w:pPr>
      <w:r>
        <w:t>Referanslar Arası Instance Anlaşması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Reference A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Reference B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Mean instance IoU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Instances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  <w:shd w:fill="D7DF82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0.629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0.827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  <w:shd w:fill="A3D0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0.795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  <w:shd w:fill="A4D17F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0.793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0.658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0.645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  <w:shd w:fill="FDC97E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0.370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0.749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  <w:shd w:fill="FE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  <w:shd w:fill="FED680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0.420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</w:tr>
    </w:tbl>
    <w:p>
      <w:pPr>
        <w:pStyle w:val="Heading2"/>
      </w:pPr>
      <w:r>
        <w:t>Öğretmen Boş Maske Denetimi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Teacher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Instances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Empty masks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Empty rate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  <w:tc>
          <w:tcPr>
            <w:tcW w:type="dxa" w:w="2880"/>
            <w:vAlign w:val="center"/>
            <w:shd w:fill="F8696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  <w:tc>
          <w:tcPr>
            <w:tcW w:type="dxa" w:w="2880"/>
            <w:vAlign w:val="center"/>
            <w:shd w:fill="F8696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5447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133</w:t>
            </w:r>
          </w:p>
        </w:tc>
        <w:tc>
          <w:tcPr>
            <w:tcW w:type="dxa" w:w="2880"/>
            <w:vAlign w:val="center"/>
            <w:shd w:fill="F86F6C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0.024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19</w:t>
            </w:r>
          </w:p>
        </w:tc>
        <w:tc>
          <w:tcPr>
            <w:tcW w:type="dxa" w:w="2880"/>
            <w:vAlign w:val="center"/>
            <w:shd w:fill="F86A6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  <w:tc>
          <w:tcPr>
            <w:tcW w:type="dxa" w:w="2880"/>
            <w:vAlign w:val="center"/>
            <w:shd w:fill="F8696B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12051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5345</w:t>
            </w:r>
          </w:p>
        </w:tc>
        <w:tc>
          <w:tcPr>
            <w:tcW w:type="dxa" w:w="2880"/>
            <w:vAlign w:val="center"/>
            <w:shd w:fill="FEDC81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0.444</w:t>
            </w:r>
          </w:p>
        </w:tc>
      </w:tr>
    </w:tbl>
    <w:p>
      <w:pPr>
        <w:pStyle w:val="Heading2"/>
      </w:pPr>
      <w:r>
        <w:t>Referansa Göre Model Sıralaması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BBox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Ranking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4"/>
              </w:rPr>
              <w:t>Changes vs human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&gt; SAM1 &gt; SAM2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SAM2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&gt; SAM1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&gt; SAM1 &gt; SAM2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SAM3 &gt; SAM2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SAM2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&gt; SAM1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&gt; SAM1 &gt; SAM2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SAM2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SAM2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&gt; SAM1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gt_bbox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&gt; SAM2 &gt; SAM1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Human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SAM2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 &gt; SAM2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 &gt; SAM1 &gt; SAM3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yolo_bbox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pseudo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 &gt; SAM2 &gt; SAM1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2</w:t>
            </w:r>
          </w:p>
        </w:tc>
      </w:tr>
    </w:tbl>
    <w:p>
      <w:pPr>
        <w:pStyle w:val="Heading2"/>
      </w:pPr>
      <w:r>
        <w:t>Stratum Bazında YOLO Teacher Advantage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14"/>
              </w:rPr>
              <w:t>Stratum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14"/>
              </w:rPr>
              <w:t>Teacher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14"/>
              </w:rPr>
              <w:t>YOLO teacher advantage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Overall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+0.138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Overall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+0.119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Overall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+0.113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+0.150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+0.130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+0.130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+0.152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+0.131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+0.108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+0.155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+0.137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+0.126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+0.122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Plane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Overall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+0.210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Overall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+0.179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Overall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+0.299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+0.149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+0.119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+0.119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+0.071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No 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+0.079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+0.141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+0.120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Low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+0.181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+0.246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+0.213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iSAID Small Vehicle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Overlap × High Mask Area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SAM3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3"/>
              </w:rPr>
              <w:t>+0.372</w:t>
            </w:r>
          </w:p>
        </w:tc>
      </w:tr>
    </w:tbl>
    <w:p>
      <w:pPr>
        <w:pStyle w:val="Heading1"/>
      </w:pPr>
      <w:r>
        <w:t>Sınırlılıklar ve Sağlamlık Kontrolleri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Bu çalışma pseudo etiketlerin eğitimde yararsız olduğunu kanıtlamaz. Test referansının bağımsız olmadığı durumda değerlendirme ve model sıralamasının bozulabildiğini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GT-bbox diagonal hücreleri tautological identity kontrolüdür; makalede ana performans sonucu olarak kullanılmamalıdır.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YOLO-bbox sonuçları daha güçlü kanıttır, çünkü öğrenci istemi öğretmen referans isteminden farklıdır; ancak referans ve aday model aynı mimari aileden olduğu için hata korelasyonu hâlâ beklenir.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SAM3 Small Vehicle boş maskeleri ayrı bir failure mode'dur. Boş referanslarda hem boş öğrenci tahmini 1,0 alabilir; boş oranı olmadan ortalama skor yanıltıcıdır.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İki sınıf ve tek remote-sensing veri seti ailesiyle sınırlıyız. Sonuç genellenebilirlik iddiası değil, kontrollü bir ölçüm geçerliliği uyarısıdır.</w:t>
      </w:r>
    </w:p>
    <w:p>
      <w:pPr>
        <w:pStyle w:val="Heading1"/>
      </w:pPr>
      <w:r>
        <w:t>Önerilen Raporlama Protokolü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Ana model karşılaştırmasını insan referansı üzerinde raporla; pseudo referans sonuçlarını duyarlılık analizi olarak ayrı göster.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Pseudo referans üreticisini, sürümünü, istemini, boş maske oranını ve post-processing adımlarını açıkça raporla.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Referans üreticisiyle aynı model ailesini değerlendirirken diagonal/self-reference sonucunu performans tablosundan ayır veya açıkça identity control olarak işaretle.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Mümkünse küçük, kör ve bağımsız bir insan audit alt kümesi kullan; model sıralamasının bu alt kümede korunup korunmadığını kontrol et.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Bildiri ana figürü olarak model–referans matrisini, ana istatistik olarak pseudo−human paired IoU değişimini ve güven aralığını kullan.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