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E2254"/>
          <w:sz w:val="76"/>
          <w:szCs w:val="76"/>
        </w:rPr>
        <w:t xml:space="preserve">WIN</w:t>
      </w:r>
      <w:r>
        <w:rPr>
          <w:rFonts w:ascii="Arial" w:cs="Arial" w:eastAsia="Arial" w:hAnsi="Arial"/>
          <w:b/>
          <w:bCs/>
          <w:color w:val="1B8A4A"/>
          <w:sz w:val="80"/>
          <w:szCs w:val="80"/>
          <w:rtl/>
        </w:rPr>
        <w:t xml:space="preserve">و</w:t>
      </w:r>
      <w:r>
        <w:rPr>
          <w:rFonts w:ascii="Arial" w:cs="Arial" w:eastAsia="Arial" w:hAnsi="Arial"/>
          <w:b/>
          <w:bCs/>
          <w:color w:val="0E2254"/>
          <w:sz w:val="76"/>
          <w:szCs w:val="76"/>
        </w:rPr>
        <w:t xml:space="preserve">WIN</w:t>
      </w:r>
    </w:p>
    <w:p>
      <w:pPr>
        <w:bidi/>
        <w:spacing w:after="160"/>
        <w:jc w:val="center"/>
      </w:pPr>
      <w:r>
        <w:rPr>
          <w:rFonts w:ascii="Arial" w:cs="Arial" w:eastAsia="Arial" w:hAnsi="Arial"/>
          <w:b/>
          <w:bCs/>
          <w:color w:val="0E2254"/>
          <w:sz w:val="40"/>
          <w:szCs w:val="40"/>
          <w:rtl/>
        </w:rPr>
        <w:t xml:space="preserve">دراسة الجدوى الاقتصادية — النسخة الاستثمارية</w:t>
      </w:r>
    </w:p>
    <w:p>
      <w:pPr>
        <w:bidi/>
        <w:spacing w:after="120"/>
        <w:jc w:val="center"/>
      </w:pPr>
      <w:r>
        <w:rPr>
          <w:rFonts w:ascii="Arial" w:cs="Arial" w:eastAsia="Arial" w:hAnsi="Arial"/>
          <w:b/>
          <w:bCs/>
          <w:color w:val="1B8A4A"/>
          <w:sz w:val="22"/>
          <w:szCs w:val="22"/>
          <w:rtl/>
        </w:rPr>
        <w:t xml:space="preserve">منصة التسويق بالأداء عبر السوشيال ميديا — المملكة العربية السعودية</w:t>
      </w:r>
    </w:p>
    <w:p>
      <w:pPr>
        <w:bidi/>
        <w:spacing w:after="500"/>
        <w:jc w:val="center"/>
      </w:pPr>
      <w:r>
        <w:rPr>
          <w:rFonts w:ascii="Arial" w:cs="Arial" w:eastAsia="Arial" w:hAnsi="Arial"/>
          <w:color w:val="777777"/>
          <w:sz w:val="18"/>
          <w:szCs w:val="18"/>
          <w:rtl/>
        </w:rPr>
        <w:t xml:space="preserve">الإصدار 3.0  ·  وثيقة سرّية لأغراض دراسة الاستثمار  ·  winwin.sa</w:t>
      </w:r>
    </w:p>
    <w:p>
      <w:pPr>
        <w:bidi/>
        <w:jc w:val="center"/>
      </w:pPr>
      <w:r>
        <w:rPr>
          <w:rFonts w:ascii="Arial" w:cs="Arial" w:eastAsia="Arial" w:hAnsi="Arial"/>
          <w:color w:val="999999"/>
          <w:sz w:val="16"/>
          <w:szCs w:val="16"/>
          <w:rtl/>
        </w:rPr>
        <w:t xml:space="preserve">مرفقات فعلية: النموذج المالي (Excel) · العرض التقديمي (PPTX) · خطة المحتوى · الهوية · الكود المصدري</w:t>
      </w:r>
    </w:p>
    <w:p>
      <w:r>
        <w:br w:type="page"/>
      </w:r>
    </w:p>
    <w:p>
      <w:pPr>
        <w:pStyle w:val="Heading1"/>
        <w:bidi/>
        <w:jc w:val="start"/>
      </w:pPr>
      <w:r>
        <w:rPr>
          <w:rFonts w:ascii="Arial" w:cs="Arial" w:eastAsia="Arial" w:hAnsi="Arial"/>
          <w:b/>
          <w:bCs/>
          <w:color w:val="0E2254"/>
          <w:sz w:val="32"/>
          <w:szCs w:val="32"/>
          <w:rtl/>
        </w:rPr>
        <w:t xml:space="preserve">المحتويات</w:t>
      </w:r>
    </w:p>
    <w:sdt>
      <w:sdtPr>
        <w:alias w:val="المحتويات"/>
      </w:sdtPr>
      <w:sdtContent>
        <w:p>
          <w:r>
            <w:fldChar w:fldCharType="begin" w:dirty="true"/>
            <w:instrText xml:space="preserve">TOC \h \o "1-1"</w:instrText>
            <w:fldChar w:fldCharType="separate"/>
          </w:r>
        </w:p>
        <w:p>
          <w:r>
            <w:fldChar w:fldCharType="end"/>
          </w:r>
        </w:p>
      </w:sdtContent>
    </w:sdt>
    <w:p>
      <w:pPr>
        <w:bidi/>
      </w:pPr>
      <w:r>
        <w:rPr>
          <w:rFonts w:ascii="Arial" w:cs="Arial" w:eastAsia="Arial" w:hAnsi="Arial"/>
          <w:color w:val="888888"/>
          <w:sz w:val="15"/>
          <w:szCs w:val="15"/>
          <w:rtl/>
        </w:rPr>
        <w:t xml:space="preserve">(لتحديث الفهرس داخل Word: زر أيمن ← Update Field)</w:t>
      </w:r>
    </w:p>
    <w:p>
      <w:r>
        <w:br w:type="page"/>
      </w:r>
    </w:p>
    <w:p>
      <w:pPr>
        <w:pStyle w:val="Heading1"/>
        <w:bidi/>
        <w:jc w:val="start"/>
      </w:pPr>
      <w:r>
        <w:rPr>
          <w:rFonts w:ascii="Arial" w:cs="Arial" w:eastAsia="Arial" w:hAnsi="Arial"/>
          <w:b/>
          <w:bCs/>
          <w:color w:val="0E2254"/>
          <w:sz w:val="32"/>
          <w:szCs w:val="32"/>
          <w:rtl/>
        </w:rPr>
        <w:t xml:space="preserve">1. الملخص التنفيذي</w:t>
      </w:r>
    </w:p>
    <w:p>
      <w:pPr>
        <w:bidi/>
        <w:spacing w:after="120" w:line="300"/>
        <w:jc w:val="start"/>
      </w:pPr>
      <w:r>
        <w:rPr>
          <w:rFonts w:ascii="Arial" w:cs="Arial" w:eastAsia="Arial" w:hAnsi="Arial"/>
          <w:rtl/>
        </w:rPr>
        <w:t xml:space="preserve">وينوين منصة سعودية للتسويق بالأداء (Performance Marketing) تربط البراندات بمستخدمين حقيقيين ينشرون محتوى الإعلانات على حساباتهم في منصات التواصل (سناب شات، تيك توك، إنستغرام، إكس). يدفع البراند فقط مقابل المنشورات الحقيقية الموثّقة آلياً، ويكسب المستخدم رصيداً مالياً. تأخذ المنصة عمولة 5٪ على الرصيد و15٪ على ميزانية جلسات البث المباشر (بمتوسط مجمّع 8٪).</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8A4A" w:sz="4"/>
              <w:left w:val="single" w:color="1B8A4A" w:sz="4"/>
              <w:bottom w:val="single" w:color="1B8A4A" w:sz="4"/>
              <w:right w:val="single" w:color="1B8A4A" w:sz="4"/>
            </w:tcBorders>
            <w:shd w:fill="EEF4F1"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أبرز مؤشرات الجدوى (سيناريو أساسي — راجع النموذج المالي المرفق)</w:t>
            </w:r>
          </w:p>
          <w:p>
            <w:pPr>
              <w:bidi/>
              <w:spacing w:after="50" w:line="280"/>
            </w:pPr>
            <w:r>
              <w:rPr>
                <w:rFonts w:ascii="Arial" w:cs="Arial" w:eastAsia="Arial" w:hAnsi="Arial"/>
                <w:sz w:val="19"/>
                <w:szCs w:val="19"/>
                <w:rtl/>
              </w:rPr>
              <w:t xml:space="preserve">• الاستثمار المطلوب: 1,200,000 ريال (تأسيس 250 ألفاً + تمويل خسائر أول سنتين ~890 ألفاً + احتياطي ~60 ألفاً).</w:t>
            </w:r>
          </w:p>
          <w:p>
            <w:pPr>
              <w:bidi/>
              <w:spacing w:after="50" w:line="280"/>
            </w:pPr>
            <w:r>
              <w:rPr>
                <w:rFonts w:ascii="Arial" w:cs="Arial" w:eastAsia="Arial" w:hAnsi="Arial"/>
                <w:sz w:val="19"/>
                <w:szCs w:val="19"/>
                <w:rtl/>
              </w:rPr>
              <w:t xml:space="preserve">• صافي القيمة الحالية NPV @12٪: ≈ +2.33 مليون ريال  |  معدل العائد الداخلي IRR: ~44٪.</w:t>
            </w:r>
          </w:p>
          <w:p>
            <w:pPr>
              <w:bidi/>
              <w:spacing w:after="50" w:line="280"/>
            </w:pPr>
            <w:r>
              <w:rPr>
                <w:rFonts w:ascii="Arial" w:cs="Arial" w:eastAsia="Arial" w:hAnsi="Arial"/>
                <w:sz w:val="19"/>
                <w:szCs w:val="19"/>
                <w:rtl/>
              </w:rPr>
              <w:t xml:space="preserve">• نقطة التعادل التشغيلي: أوائل السنة الثالثة  |  فترة الاسترداد: ~3.2 سنة.</w:t>
            </w:r>
          </w:p>
          <w:p>
            <w:pPr>
              <w:bidi/>
              <w:spacing w:after="50" w:line="280"/>
            </w:pPr>
            <w:r>
              <w:rPr>
                <w:rFonts w:ascii="Arial" w:cs="Arial" w:eastAsia="Arial" w:hAnsi="Arial"/>
                <w:sz w:val="19"/>
                <w:szCs w:val="19"/>
                <w:rtl/>
              </w:rPr>
              <w:t xml:space="preserve">• اقتصاد وحدوي: LTV/CAC للبراند ~14x (محرّك الربح)  |  للمستخدم ~1.5–2x (يُكتسب عضوياً كطرف عرض في الشبكة).</w:t>
            </w:r>
          </w:p>
          <w:p>
            <w:pPr>
              <w:bidi/>
              <w:spacing w:after="50" w:line="280"/>
            </w:pPr>
            <w:r>
              <w:rPr>
                <w:rFonts w:ascii="Arial" w:cs="Arial" w:eastAsia="Arial" w:hAnsi="Arial"/>
                <w:sz w:val="19"/>
                <w:szCs w:val="19"/>
                <w:rtl/>
              </w:rPr>
              <w:t xml:space="preserve">• عائد المستثمر التقديري عند الخروج (سنة 5): MOIC ~8.7x (استرشادي، قابل للتفاوض).</w:t>
            </w:r>
          </w:p>
        </w:tc>
      </w:tr>
    </w:tbl>
    <w:p>
      <w:pPr>
        <w:spacing w:after="100"/>
      </w:pPr>
    </w:p>
    <w:p>
      <w:pPr>
        <w:bidi/>
        <w:spacing w:after="120" w:line="300"/>
        <w:jc w:val="start"/>
      </w:pPr>
      <w:r>
        <w:rPr>
          <w:rFonts w:ascii="Arial" w:cs="Arial" w:eastAsia="Arial" w:hAnsi="Arial"/>
          <w:rtl/>
        </w:rPr>
        <w:t xml:space="preserve">ميزة تنفيذية حاسمة: المنتج (تطبيق المستخدم + لوحة تحكم البراند + الخادم الخلفي) مبنيّ ومنشور فعلياً وجاهز تقنياً، ما يقلّل مخاطر التطوير ويسرّع الوصول للسوق.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4"/>
              <w:left w:val="single" w:color="B8860B" w:sz="4"/>
              <w:bottom w:val="single" w:color="B8860B" w:sz="4"/>
              <w:right w:val="single" w:color="B8860B" w:sz="4"/>
            </w:tcBorders>
            <w:shd w:fill="FFF6E5"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ملاحظة منهجية</w:t>
            </w:r>
          </w:p>
          <w:p>
            <w:pPr>
              <w:bidi/>
              <w:spacing w:after="50" w:line="280"/>
            </w:pPr>
            <w:r>
              <w:rPr>
                <w:rFonts w:ascii="Arial" w:cs="Arial" w:eastAsia="Arial" w:hAnsi="Arial"/>
                <w:sz w:val="19"/>
                <w:szCs w:val="19"/>
                <w:rtl/>
              </w:rPr>
              <w:t xml:space="preserve">الأرقام المالية والسوقية في هذه الوثيقة تقديرية مبنية على فرضيات معلنة ومصادر منشورة (مذكورة في قسم المصادر). يوصى قبل الإغلاق النهائي للجولة بتحديثها ببيانات مرخّصة/ميدانية ومراجعة قانونية ومحاسبية معتمدة.</w:t>
            </w:r>
          </w:p>
        </w:tc>
      </w:tr>
    </w:tbl>
    <w:p>
      <w:r>
        <w:br w:type="page"/>
      </w:r>
    </w:p>
    <w:p>
      <w:pPr>
        <w:pStyle w:val="Heading1"/>
        <w:bidi/>
        <w:jc w:val="start"/>
      </w:pPr>
      <w:r>
        <w:rPr>
          <w:rFonts w:ascii="Arial" w:cs="Arial" w:eastAsia="Arial" w:hAnsi="Arial"/>
          <w:b/>
          <w:bCs/>
          <w:color w:val="0E2254"/>
          <w:sz w:val="32"/>
          <w:szCs w:val="32"/>
          <w:rtl/>
        </w:rPr>
        <w:t xml:space="preserve">2. وصف المشروع</w:t>
      </w:r>
    </w:p>
    <w:p>
      <w:pPr>
        <w:pStyle w:val="Heading2"/>
        <w:bidi/>
        <w:jc w:val="start"/>
      </w:pPr>
      <w:r>
        <w:rPr>
          <w:rFonts w:ascii="Arial" w:cs="Arial" w:eastAsia="Arial" w:hAnsi="Arial"/>
          <w:b/>
          <w:bCs/>
          <w:color w:val="1B8A4A"/>
          <w:sz w:val="26"/>
          <w:szCs w:val="26"/>
          <w:rtl/>
        </w:rPr>
        <w:t xml:space="preserve">2.1 الفكرة والرؤية</w:t>
      </w:r>
    </w:p>
    <w:p>
      <w:pPr>
        <w:bidi/>
        <w:spacing w:after="120" w:line="300"/>
        <w:jc w:val="start"/>
      </w:pPr>
      <w:r>
        <w:rPr>
          <w:rFonts w:ascii="Arial" w:cs="Arial" w:eastAsia="Arial" w:hAnsi="Arial"/>
          <w:rtl/>
        </w:rPr>
        <w:t xml:space="preserve">منصة ثلاثية الأطراف: البراندات تنشئ حملات، المستخدمون ينشرونها ويكسبون، والمنصة تدير وتتحقق وتأخذ عمولة.</w:t>
      </w:r>
    </w:p>
    <w:p>
      <w:pPr>
        <w:bidi/>
        <w:spacing w:after="120" w:line="300"/>
        <w:jc w:val="start"/>
      </w:pPr>
      <w:r>
        <w:rPr>
          <w:rFonts w:ascii="Arial" w:cs="Arial" w:eastAsia="Arial" w:hAnsi="Arial"/>
          <w:b/>
          <w:bCs/>
          <w:rtl/>
        </w:rPr>
        <w:t xml:space="preserve">الرؤية: </w:t>
      </w:r>
      <w:r>
        <w:rPr>
          <w:rFonts w:ascii="Arial" w:cs="Arial" w:eastAsia="Arial" w:hAnsi="Arial"/>
          <w:rtl/>
        </w:rPr>
        <w:t xml:space="preserve">المنصة الأولى للتسويق بالأداء عبر الأفراد في الخليج.</w:t>
      </w:r>
    </w:p>
    <w:p>
      <w:pPr>
        <w:bidi/>
        <w:spacing w:after="120" w:line="300"/>
        <w:jc w:val="start"/>
      </w:pPr>
      <w:r>
        <w:rPr>
          <w:rFonts w:ascii="Arial" w:cs="Arial" w:eastAsia="Arial" w:hAnsi="Arial"/>
          <w:b/>
          <w:bCs/>
          <w:rtl/>
        </w:rPr>
        <w:t xml:space="preserve">الرسالة: </w:t>
      </w:r>
      <w:r>
        <w:rPr>
          <w:rFonts w:ascii="Arial" w:cs="Arial" w:eastAsia="Arial" w:hAnsi="Arial"/>
          <w:rtl/>
        </w:rPr>
        <w:t xml:space="preserve">تمكين كل صاحب حساب من تحويل تفاعله إلى دخل، وكل براند من إعلان مقيس يدفع مقابل النتيجة فقط.</w:t>
      </w:r>
    </w:p>
    <w:p>
      <w:pPr>
        <w:pStyle w:val="Heading2"/>
        <w:bidi/>
        <w:jc w:val="start"/>
      </w:pPr>
      <w:r>
        <w:rPr>
          <w:rFonts w:ascii="Arial" w:cs="Arial" w:eastAsia="Arial" w:hAnsi="Arial"/>
          <w:b/>
          <w:bCs/>
          <w:color w:val="1B8A4A"/>
          <w:sz w:val="26"/>
          <w:szCs w:val="26"/>
          <w:rtl/>
        </w:rPr>
        <w:t xml:space="preserve">2.2 الأهداف الكمية</w:t>
      </w:r>
    </w:p>
    <w:p>
      <w:pPr>
        <w:pStyle w:val="ListParagraph"/>
        <w:numPr>
          <w:ilvl w:val="0"/>
          <w:numId w:val="2"/>
        </w:numPr>
        <w:bidi/>
        <w:spacing w:after="70" w:line="290"/>
      </w:pPr>
      <w:r>
        <w:rPr>
          <w:rFonts w:ascii="Arial" w:cs="Arial" w:eastAsia="Arial" w:hAnsi="Arial"/>
          <w:rtl/>
        </w:rPr>
        <w:t xml:space="preserve">السنة 1: 20,000 مستخدم نشط و50 براند وGMV ≈ 4 ملايين ريال.</w:t>
      </w:r>
    </w:p>
    <w:p>
      <w:pPr>
        <w:pStyle w:val="ListParagraph"/>
        <w:numPr>
          <w:ilvl w:val="0"/>
          <w:numId w:val="2"/>
        </w:numPr>
        <w:bidi/>
        <w:spacing w:after="70" w:line="290"/>
      </w:pPr>
      <w:r>
        <w:rPr>
          <w:rFonts w:ascii="Arial" w:cs="Arial" w:eastAsia="Arial" w:hAnsi="Arial"/>
          <w:rtl/>
        </w:rPr>
        <w:t xml:space="preserve">السنة 3: ~500 براند وGMV ≈ 45 مليون ريال والتحوّل للربحية.</w:t>
      </w:r>
    </w:p>
    <w:p>
      <w:pPr>
        <w:pStyle w:val="ListParagraph"/>
        <w:numPr>
          <w:ilvl w:val="0"/>
          <w:numId w:val="2"/>
        </w:numPr>
        <w:bidi/>
        <w:spacing w:after="70" w:line="290"/>
      </w:pPr>
      <w:r>
        <w:rPr>
          <w:rFonts w:ascii="Arial" w:cs="Arial" w:eastAsia="Arial" w:hAnsi="Arial"/>
          <w:rtl/>
        </w:rPr>
        <w:t xml:space="preserve">السنة 5: GMV ≈ 118 مليون ريال والتوسّع الخليجي.</w:t>
      </w:r>
    </w:p>
    <w:p>
      <w:pPr>
        <w:pStyle w:val="Heading2"/>
        <w:bidi/>
        <w:jc w:val="start"/>
      </w:pPr>
      <w:r>
        <w:rPr>
          <w:rFonts w:ascii="Arial" w:cs="Arial" w:eastAsia="Arial" w:hAnsi="Arial"/>
          <w:b/>
          <w:bCs/>
          <w:color w:val="1B8A4A"/>
          <w:sz w:val="26"/>
          <w:szCs w:val="26"/>
          <w:rtl/>
        </w:rPr>
        <w:t xml:space="preserve">2.3 نموذج القيمة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الطرف</w:t>
            </w:r>
          </w:p>
        </w:tc>
        <w:tc>
          <w:tcPr>
            <w:tcW w:type="dxa" w:w="3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ما يقدّمه</w:t>
            </w:r>
          </w:p>
        </w:tc>
        <w:tc>
          <w:tcPr>
            <w:tcW w:type="dxa" w:w="36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ما يحصل عليه</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البراند</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ميزانية حملة</w:t>
            </w:r>
          </w:p>
        </w:tc>
        <w:tc>
          <w:tcPr>
            <w:tcW w:type="dxa" w:w="3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وصول حقيقي موثّق + دفع مقابل النتيجة</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المستخدم</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النشر على حسابه</w:t>
            </w:r>
          </w:p>
        </w:tc>
        <w:tc>
          <w:tcPr>
            <w:tcW w:type="dxa" w:w="3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رصيد مالي يزيد بالمتابعين والتفاعل</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المنصة</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التقنية + التحقق + الإدارة</w:t>
            </w:r>
          </w:p>
        </w:tc>
        <w:tc>
          <w:tcPr>
            <w:tcW w:type="dxa" w:w="3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عمولة 5٪ / 15٪ (متوسط 8٪)</w:t>
            </w:r>
          </w:p>
        </w:tc>
      </w:tr>
    </w:tbl>
    <w:p>
      <w:r>
        <w:br w:type="page"/>
      </w:r>
    </w:p>
    <w:p>
      <w:pPr>
        <w:pStyle w:val="Heading1"/>
        <w:bidi/>
        <w:jc w:val="start"/>
      </w:pPr>
      <w:r>
        <w:rPr>
          <w:rFonts w:ascii="Arial" w:cs="Arial" w:eastAsia="Arial" w:hAnsi="Arial"/>
          <w:b/>
          <w:bCs/>
          <w:color w:val="0E2254"/>
          <w:sz w:val="32"/>
          <w:szCs w:val="32"/>
          <w:rtl/>
        </w:rPr>
        <w:t xml:space="preserve">3. دراسة السوق</w:t>
      </w:r>
    </w:p>
    <w:p>
      <w:pPr>
        <w:pStyle w:val="Heading2"/>
        <w:bidi/>
        <w:jc w:val="start"/>
      </w:pPr>
      <w:r>
        <w:rPr>
          <w:rFonts w:ascii="Arial" w:cs="Arial" w:eastAsia="Arial" w:hAnsi="Arial"/>
          <w:b/>
          <w:bCs/>
          <w:color w:val="1B8A4A"/>
          <w:sz w:val="26"/>
          <w:szCs w:val="26"/>
          <w:rtl/>
        </w:rPr>
        <w:t xml:space="preserve">3.1 مؤشرات السوق السعودي (بيانات منشورة)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المؤشر</w:t>
            </w:r>
          </w:p>
        </w:tc>
        <w:tc>
          <w:tcPr>
            <w:tcW w:type="dxa" w:w="32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القيمة التقديرية</w:t>
            </w:r>
          </w:p>
        </w:tc>
        <w:tc>
          <w:tcPr>
            <w:tcW w:type="dxa" w:w="28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المصدر</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عدد السكان</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~36.9 مليون</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الهيئة العامة للإحصاء (GASTAT)</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انتشار الإنترنت</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~99٪</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DataReportal – Digital 2024 KSA</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هويات مستخدمي السوشيال ميديا</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~29–35 مليون</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DataReportal 2024</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ترتيب استخدام سناب/تيك توك</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من الأعلى عالمياً</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تقارير المنصات/القطاع</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الإنفاق على الإعلان الرقمي</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مليارات الريالات سنوياً، نمو مزدوج</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Statista Digital Market Outlook</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سوق تسويق المؤثرين عالمياً</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~24 مليار دولار، CAGR ~30٪+</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Influencer Marketing Hub 2024</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المنشآت الصغيرة والمتوسطة (قاعدة العملاء)</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~1.3+ مليون منشأة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الهيئة العامة للمنشآت (منشآت)</w:t>
            </w:r>
          </w:p>
        </w:tc>
      </w:tr>
    </w:tbl>
    <w:p>
      <w:pPr>
        <w:bidi/>
        <w:spacing w:after="120" w:line="300"/>
        <w:jc w:val="start"/>
      </w:pPr>
      <w:r>
        <w:rPr>
          <w:rFonts w:ascii="Arial" w:cs="Arial" w:eastAsia="Arial" w:hAnsi="Arial"/>
          <w:rtl/>
        </w:rPr>
        <w:t xml:space="preserve">ملاحظة: الأرقام أعلاه إرشادية من مصادر منشورة؛ للنسخة النهائية يوصى باعتماد تقارير مرخّصة ومحدّثة (Statista/DataReportal/CITC).</w:t>
      </w:r>
    </w:p>
    <w:p>
      <w:pPr>
        <w:pStyle w:val="Heading2"/>
        <w:bidi/>
        <w:jc w:val="start"/>
      </w:pPr>
      <w:r>
        <w:rPr>
          <w:rFonts w:ascii="Arial" w:cs="Arial" w:eastAsia="Arial" w:hAnsi="Arial"/>
          <w:b/>
          <w:bCs/>
          <w:color w:val="1B8A4A"/>
          <w:sz w:val="26"/>
          <w:szCs w:val="26"/>
          <w:rtl/>
        </w:rPr>
        <w:t xml:space="preserve">3.2 حجم السوق (TAM / SAM / SOM بالأرقام)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100"/>
        <w:gridCol w:w="1926"/>
      </w:tblGrid>
      <w:tr>
        <w:trPr>
          <w:tblHeader/>
        </w:trPr>
        <w:tc>
          <w:tcPr>
            <w:tcW w:type="dxa" w:w="1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المستوى</w:t>
            </w:r>
          </w:p>
        </w:tc>
        <w:tc>
          <w:tcPr>
            <w:tcW w:type="dxa" w:w="3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التعريف</w:t>
            </w:r>
          </w:p>
        </w:tc>
        <w:tc>
          <w:tcPr>
            <w:tcW w:type="dxa" w:w="21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التقدير السنوي</w:t>
            </w:r>
          </w:p>
        </w:tc>
        <w:tc>
          <w:tcPr>
            <w:tcW w:type="dxa" w:w="19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الأساس</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TAM</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إجمالي الإعلان الرقمي + تسويق المؤثرين في السعودية</w:t>
            </w:r>
          </w:p>
        </w:tc>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~4–5 مليار ريال</w:t>
            </w:r>
          </w:p>
        </w:tc>
        <w:tc>
          <w:tcPr>
            <w:tcW w:type="dxa" w:w="19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تقديرات الإنفاق المنشورة</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SAM</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شريحة الأداء والمؤثرين الصغار للمنشآت الصغيرة/المتوسطة</w:t>
            </w:r>
          </w:p>
        </w:tc>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~650 مليون ريال</w:t>
            </w:r>
          </w:p>
        </w:tc>
        <w:tc>
          <w:tcPr>
            <w:tcW w:type="dxa" w:w="19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~15٪ من TAM</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SOM (سنة 3)</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GMV المستهدف عبر المنصة</w:t>
            </w:r>
          </w:p>
        </w:tc>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~45 مليون ريال</w:t>
            </w:r>
          </w:p>
        </w:tc>
        <w:tc>
          <w:tcPr>
            <w:tcW w:type="dxa" w:w="19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~7٪ من SAM</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SOM (سنة 5)</w:t>
            </w:r>
          </w:p>
        </w:tc>
        <w:tc>
          <w:tcPr>
            <w:tcW w:type="dxa" w:w="3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GMV المستهدف عبر المنصة</w:t>
            </w:r>
          </w:p>
        </w:tc>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~118 مليون ريال</w:t>
            </w:r>
          </w:p>
        </w:tc>
        <w:tc>
          <w:tcPr>
            <w:tcW w:type="dxa" w:w="19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~15٪ من SAM</w:t>
            </w:r>
          </w:p>
        </w:tc>
      </w:tr>
    </w:tbl>
    <w:p>
      <w:pPr>
        <w:pStyle w:val="Heading2"/>
        <w:bidi/>
        <w:jc w:val="start"/>
      </w:pPr>
      <w:r>
        <w:rPr>
          <w:rFonts w:ascii="Arial" w:cs="Arial" w:eastAsia="Arial" w:hAnsi="Arial"/>
          <w:b/>
          <w:bCs/>
          <w:color w:val="1B8A4A"/>
          <w:sz w:val="26"/>
          <w:szCs w:val="26"/>
          <w:rtl/>
        </w:rPr>
        <w:t xml:space="preserve">3.3 الجمهور المستهدف</w:t>
      </w:r>
    </w:p>
    <w:p>
      <w:pPr>
        <w:pStyle w:val="ListParagraph"/>
        <w:numPr>
          <w:ilvl w:val="0"/>
          <w:numId w:val="2"/>
        </w:numPr>
        <w:bidi/>
        <w:spacing w:after="70" w:line="290"/>
      </w:pPr>
      <w:r>
        <w:rPr>
          <w:rFonts w:ascii="Arial" w:cs="Arial" w:eastAsia="Arial" w:hAnsi="Arial"/>
          <w:rtl/>
        </w:rPr>
        <w:t xml:space="preserve">المستخدمون: أصحاب الحسابات النشطة (المنصة تقبل من 100 متابع، بتركيز تسويقي على 1,000–500,000 متابع).</w:t>
      </w:r>
    </w:p>
    <w:p>
      <w:pPr>
        <w:pStyle w:val="ListParagraph"/>
        <w:numPr>
          <w:ilvl w:val="0"/>
          <w:numId w:val="2"/>
        </w:numPr>
        <w:bidi/>
        <w:spacing w:after="70" w:line="290"/>
      </w:pPr>
      <w:r>
        <w:rPr>
          <w:rFonts w:ascii="Arial" w:cs="Arial" w:eastAsia="Arial" w:hAnsi="Arial"/>
          <w:rtl/>
        </w:rPr>
        <w:t xml:space="preserve">البراندات: المطاعم، المتاجر الإلكترونية، التطبيقات، والخدمات المحلية ذات الميزانيات المتوسطة.</w:t>
      </w:r>
    </w:p>
    <w:p>
      <w:r>
        <w:br w:type="page"/>
      </w:r>
    </w:p>
    <w:p>
      <w:pPr>
        <w:pStyle w:val="Heading2"/>
        <w:bidi/>
        <w:jc w:val="start"/>
      </w:pPr>
      <w:r>
        <w:rPr>
          <w:rFonts w:ascii="Arial" w:cs="Arial" w:eastAsia="Arial" w:hAnsi="Arial"/>
          <w:b/>
          <w:bCs/>
          <w:color w:val="1B8A4A"/>
          <w:sz w:val="26"/>
          <w:szCs w:val="26"/>
          <w:rtl/>
        </w:rPr>
        <w:t xml:space="preserve">3.4 تحليل المنافسين</w:t>
      </w:r>
    </w:p>
    <w:p>
      <w:pPr>
        <w:bidi/>
        <w:spacing w:after="120" w:line="300"/>
        <w:jc w:val="start"/>
      </w:pPr>
      <w:r>
        <w:rPr>
          <w:rFonts w:ascii="Arial" w:cs="Arial" w:eastAsia="Arial" w:hAnsi="Arial"/>
          <w:rtl/>
        </w:rPr>
        <w:t xml:space="preserve">يضم المشهد منصات عالمية للتسويق بالمحتوى/المؤثرين ووكالات محلية. أقرب النماذج هي منصات "الدفع لكل منشور" للمؤثرين الصغار: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600"/>
        <w:gridCol w:w="2826"/>
      </w:tblGrid>
      <w:tr>
        <w:trPr>
          <w:tblHeader/>
        </w:trPr>
        <w:tc>
          <w:tcPr>
            <w:tcW w:type="dxa" w:w="21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المنافس</w:t>
            </w:r>
          </w:p>
        </w:tc>
        <w:tc>
          <w:tcPr>
            <w:tcW w:type="dxa" w:w="25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النموذج / التسعير</w:t>
            </w:r>
          </w:p>
        </w:tc>
        <w:tc>
          <w:tcPr>
            <w:tcW w:type="dxa" w:w="1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التركيز</w:t>
            </w:r>
          </w:p>
        </w:tc>
        <w:tc>
          <w:tcPr>
            <w:tcW w:type="dxa" w:w="28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الضعف مقابل وينوين</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Takumi</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دفع للمؤثرين الصغار لكل منشور</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أوروبا</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لا تخصيص محلي/عربي، لا كل المنصات</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SocialPubli</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micro-influencer + اشتراك/عمولة</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عالمي</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ليس RTL محلياً، تحقق أقل تخصصاً</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Brandbassador</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سفراء العلامة بمكافآت</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تجارة إلكترونية عالمية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موجّه للمتاجر العالمية لا السوق المحلي</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Upfluence</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SaaS اشتراك مرتفع</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شركات كبيرة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تكلفة عالية، لا دفع بالأداء المصغّر</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Aspire</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منصة UGC/مؤثرين بالاشتراك</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مؤسسات</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معقّد ومكلف للمنشآت الصغيرة</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#paid</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سوق منشئي محتوى</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علامات كبيرة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ليس محلياً، حد أدنى مرتفع</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TikTok Creator Marketplace</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مطابقة رسمية داخل تيك توك</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منصة واحدة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لا يشمل بقية المنصات ولا نموذج عمولة موحّد</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Meta / Instagram Ads</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إعلان مدفوع بالظهور</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عالمي</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لا يضمن تفاعلاً حقيقياً بنفس المصداقية</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وكالات المؤثرين المحلية</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وساطة يدوية، عمولة 20–40٪</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السعودية</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بطيئة، مكلفة، غير مؤتمتة</w:t>
            </w:r>
          </w:p>
        </w:tc>
      </w:tr>
      <w:tr>
        <w:tc>
          <w:tcPr>
            <w:tcW w:type="dxa" w:w="21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تطبيقات الدفع مقابل النشر الإقليمية</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مهام مصغّرة</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إقليمي</w:t>
            </w:r>
          </w:p>
        </w:tc>
        <w:tc>
          <w:tcPr>
            <w:tcW w:type="dxa" w:w="2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جودة متفاوتة، ضعف التحقق والامتثال</w:t>
            </w:r>
          </w:p>
        </w:tc>
      </w:tr>
    </w:tbl>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2254" w:sz="4"/>
              <w:left w:val="single" w:color="0E2254" w:sz="4"/>
              <w:bottom w:val="single" w:color="0E2254" w:sz="4"/>
              <w:right w:val="single" w:color="0E2254" w:sz="4"/>
            </w:tcBorders>
            <w:shd w:fill="EEF4F1"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الميزة التنافسية لوينوين</w:t>
            </w:r>
          </w:p>
          <w:p>
            <w:pPr>
              <w:bidi/>
              <w:spacing w:after="50" w:line="280"/>
            </w:pPr>
            <w:r>
              <w:rPr>
                <w:rFonts w:ascii="Arial" w:cs="Arial" w:eastAsia="Arial" w:hAnsi="Arial"/>
                <w:sz w:val="19"/>
                <w:szCs w:val="19"/>
                <w:rtl/>
              </w:rPr>
              <w:t xml:space="preserve">محلي أولاً (RTL عربي) + تحقق آلي من النشر + مضاعفات لكل منصة + عمولة منخفضة (5٪) + خدمة ذاتية + قبول من 100 متابع. المزج بين الأتمتة والتخصص المحلي والعمولة المنخفضة يشكّل خندقاً دفاعياً في سوق لم يُخدَم بمنصة محلية متكاملة بعد.</w:t>
            </w:r>
          </w:p>
        </w:tc>
      </w:tr>
    </w:tbl>
    <w:p>
      <w:r>
        <w:br w:type="page"/>
      </w:r>
    </w:p>
    <w:p>
      <w:pPr>
        <w:pStyle w:val="Heading2"/>
        <w:bidi/>
        <w:jc w:val="start"/>
      </w:pPr>
      <w:r>
        <w:rPr>
          <w:rFonts w:ascii="Arial" w:cs="Arial" w:eastAsia="Arial" w:hAnsi="Arial"/>
          <w:b/>
          <w:bCs/>
          <w:color w:val="1B8A4A"/>
          <w:sz w:val="26"/>
          <w:szCs w:val="26"/>
          <w:rtl/>
        </w:rPr>
        <w:t xml:space="preserve">3.5 استراتيجية التسعير ومبرراتها</w:t>
      </w:r>
    </w:p>
    <w:p>
      <w:pPr>
        <w:pStyle w:val="ListParagraph"/>
        <w:numPr>
          <w:ilvl w:val="0"/>
          <w:numId w:val="2"/>
        </w:numPr>
        <w:bidi/>
        <w:spacing w:after="70" w:line="290"/>
      </w:pPr>
      <w:r>
        <w:rPr>
          <w:rFonts w:ascii="Arial" w:cs="Arial" w:eastAsia="Arial" w:hAnsi="Arial"/>
          <w:rtl/>
        </w:rPr>
        <w:t xml:space="preserve">وكالات المؤثرين تأخذ عمولات 20–40٪؛ منصات SaaS تفرض اشتراكات شهرية بآلاف الريالات. عمولة وينوين 5٪ (عادية) و15٪ (جلسات مميّزة) أقل بوضوح وتُتيح تبنّياً أسرع.</w:t>
      </w:r>
    </w:p>
    <w:p>
      <w:pPr>
        <w:pStyle w:val="ListParagraph"/>
        <w:numPr>
          <w:ilvl w:val="0"/>
          <w:numId w:val="2"/>
        </w:numPr>
        <w:bidi/>
        <w:spacing w:after="70" w:line="290"/>
      </w:pPr>
      <w:r>
        <w:rPr>
          <w:rFonts w:ascii="Arial" w:cs="Arial" w:eastAsia="Arial" w:hAnsi="Arial"/>
          <w:rtl/>
        </w:rPr>
        <w:t xml:space="preserve">يجعل الأتمتةُ العمولةَ المنخفضة مستدامة (تكلفة تشغيل حدّية منخفضة لكل منشور).</w:t>
      </w:r>
    </w:p>
    <w:p>
      <w:pPr>
        <w:pStyle w:val="ListParagraph"/>
        <w:numPr>
          <w:ilvl w:val="0"/>
          <w:numId w:val="2"/>
        </w:numPr>
        <w:bidi/>
        <w:spacing w:after="70" w:line="290"/>
      </w:pPr>
      <w:r>
        <w:rPr>
          <w:rFonts w:ascii="Arial" w:cs="Arial" w:eastAsia="Arial" w:hAnsi="Arial"/>
          <w:rtl/>
        </w:rPr>
        <w:t xml:space="preserve">العمولة الأعلى (15٪) للجلسات المكثّفة مبرّرة بقيمة أعلى (بونص + مضاعف مساء ×2.5 + نتائج مركّزة).</w:t>
      </w:r>
    </w:p>
    <w:p>
      <w:pPr>
        <w:pStyle w:val="ListParagraph"/>
        <w:numPr>
          <w:ilvl w:val="0"/>
          <w:numId w:val="2"/>
        </w:numPr>
        <w:bidi/>
        <w:spacing w:after="70" w:line="290"/>
      </w:pPr>
      <w:r>
        <w:rPr>
          <w:rFonts w:ascii="Arial" w:cs="Arial" w:eastAsia="Arial" w:hAnsi="Arial"/>
          <w:rtl/>
        </w:rPr>
        <w:t xml:space="preserve">قابلية الرفع مستقبلاً: باقات اشتراك مميّزة للبراندات وإعلانات مميّزة دون المساس بالعمولة الأساسية.</w:t>
      </w:r>
    </w:p>
    <w:p>
      <w:pPr>
        <w:bidi/>
        <w:spacing w:after="120" w:line="300"/>
        <w:jc w:val="start"/>
      </w:pPr>
      <w:r>
        <w:rPr>
          <w:rFonts w:ascii="Arial" w:cs="Arial" w:eastAsia="Arial" w:hAnsi="Arial"/>
          <w:rtl/>
        </w:rPr>
        <w:t xml:space="preserve">استعداد الدفع (Willingness to Pay) مرتبط بوفورات مقابل CPM/CPE للإعلان التقليدي ومقابل تكلفة الوكالات — ويُوصى بتأكيده عبر مقابلات عملاء ميدانية (استبيان مرفق كملحق مقترح).</w:t>
      </w:r>
    </w:p>
    <w:p>
      <w:r>
        <w:br w:type="page"/>
      </w:r>
    </w:p>
    <w:p>
      <w:pPr>
        <w:pStyle w:val="Heading1"/>
        <w:bidi/>
        <w:jc w:val="start"/>
      </w:pPr>
      <w:r>
        <w:rPr>
          <w:rFonts w:ascii="Arial" w:cs="Arial" w:eastAsia="Arial" w:hAnsi="Arial"/>
          <w:b/>
          <w:bCs/>
          <w:color w:val="0E2254"/>
          <w:sz w:val="32"/>
          <w:szCs w:val="32"/>
          <w:rtl/>
        </w:rPr>
        <w:t xml:space="preserve">4. الدراسة الفنية</w:t>
      </w:r>
    </w:p>
    <w:p>
      <w:pPr>
        <w:bidi/>
        <w:spacing w:after="120" w:line="300"/>
        <w:jc w:val="start"/>
      </w:pPr>
      <w:r>
        <w:rPr>
          <w:rFonts w:ascii="Arial" w:cs="Arial" w:eastAsia="Arial" w:hAnsi="Arial"/>
          <w:rtl/>
        </w:rPr>
        <w:t xml:space="preserve">المنتج مبنيّ ومنشور فعلياً — ميزة تقلّل مخاطر ووقت التطوير.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المكوّن</w:t>
            </w:r>
          </w:p>
        </w:tc>
        <w:tc>
          <w:tcPr>
            <w:tcW w:type="dxa" w:w="2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التقنية</w:t>
            </w:r>
          </w:p>
        </w:tc>
        <w:tc>
          <w:tcPr>
            <w:tcW w:type="dxa" w:w="42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الوظيفة</w:t>
            </w:r>
          </w:p>
        </w:tc>
      </w:tr>
      <w:tr>
        <w:tc>
          <w:tcPr>
            <w:tcW w:type="dxa" w:w="2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تطبيق المستخدم</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React Native (Expo)</w:t>
            </w:r>
          </w:p>
        </w:tc>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التصفّح، ربط الحسابات، النشر، المحفظة</w:t>
            </w:r>
          </w:p>
        </w:tc>
      </w:tr>
      <w:tr>
        <w:tc>
          <w:tcPr>
            <w:tcW w:type="dxa" w:w="2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لوحة تحكم البراند</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Next.js (ويب RTL)</w:t>
            </w:r>
          </w:p>
        </w:tc>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إنشاء الحملات والبث والتقارير</w:t>
            </w:r>
          </w:p>
        </w:tc>
      </w:tr>
      <w:tr>
        <w:tc>
          <w:tcPr>
            <w:tcW w:type="dxa" w:w="2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الخادم الخلفي</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Node.js / Express</w:t>
            </w:r>
          </w:p>
        </w:tc>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المنطق، المصادقة، التحقق، العمولات</w:t>
            </w:r>
          </w:p>
        </w:tc>
      </w:tr>
      <w:tr>
        <w:tc>
          <w:tcPr>
            <w:tcW w:type="dxa" w:w="2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قاعدة البيانات</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PostgreSQL</w:t>
            </w:r>
          </w:p>
        </w:tc>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تخزين البيانات (20+ جدول)</w:t>
            </w:r>
          </w:p>
        </w:tc>
      </w:tr>
      <w:tr>
        <w:tc>
          <w:tcPr>
            <w:tcW w:type="dxa" w:w="2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الذاكرة/الطابور</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Redis</w:t>
            </w:r>
          </w:p>
        </w:tc>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رموز الدخول، طابور التحقق، الأداء</w:t>
            </w:r>
          </w:p>
        </w:tc>
      </w:tr>
    </w:tbl>
    <w:p>
      <w:pPr>
        <w:pStyle w:val="Heading2"/>
        <w:bidi/>
        <w:jc w:val="start"/>
      </w:pPr>
      <w:r>
        <w:rPr>
          <w:rFonts w:ascii="Arial" w:cs="Arial" w:eastAsia="Arial" w:hAnsi="Arial"/>
          <w:b/>
          <w:bCs/>
          <w:color w:val="1B8A4A"/>
          <w:sz w:val="26"/>
          <w:szCs w:val="26"/>
          <w:rtl/>
        </w:rPr>
        <w:t xml:space="preserve">4.1 آلية العمل والأمان</w:t>
      </w:r>
    </w:p>
    <w:p>
      <w:pPr>
        <w:pStyle w:val="ListParagraph"/>
        <w:numPr>
          <w:ilvl w:val="0"/>
          <w:numId w:val="2"/>
        </w:numPr>
        <w:bidi/>
        <w:spacing w:after="70" w:line="290"/>
      </w:pPr>
      <w:r>
        <w:rPr>
          <w:rFonts w:ascii="Arial" w:cs="Arial" w:eastAsia="Arial" w:hAnsi="Arial"/>
          <w:rtl/>
        </w:rPr>
        <w:t xml:space="preserve">مصادقة OTP للأرقام السعودية، وأدوار صارمة (أدمن/صاحب براند/مستخدم) مع عزل بيانات كامل.</w:t>
      </w:r>
    </w:p>
    <w:p>
      <w:pPr>
        <w:pStyle w:val="ListParagraph"/>
        <w:numPr>
          <w:ilvl w:val="0"/>
          <w:numId w:val="2"/>
        </w:numPr>
        <w:bidi/>
        <w:spacing w:after="70" w:line="290"/>
      </w:pPr>
      <w:r>
        <w:rPr>
          <w:rFonts w:ascii="Arial" w:cs="Arial" w:eastAsia="Arial" w:hAnsi="Arial"/>
          <w:rtl/>
        </w:rPr>
        <w:t xml:space="preserve">محرك رصيد يعتمد على المتابعين، التفاعل، مضاعف المنصة، ومضاعف الوقت.</w:t>
      </w:r>
    </w:p>
    <w:p>
      <w:pPr>
        <w:pStyle w:val="ListParagraph"/>
        <w:numPr>
          <w:ilvl w:val="0"/>
          <w:numId w:val="2"/>
        </w:numPr>
        <w:bidi/>
        <w:spacing w:after="70" w:line="290"/>
      </w:pPr>
      <w:r>
        <w:rPr>
          <w:rFonts w:ascii="Arial" w:cs="Arial" w:eastAsia="Arial" w:hAnsi="Arial"/>
          <w:rtl/>
        </w:rPr>
        <w:t xml:space="preserve">نافذة تحقق 30 دقيقة + صلاحية رصيد 90 يوماً للحد من الاحتيال وتحسين التدفق النقدي.</w:t>
      </w:r>
    </w:p>
    <w:p>
      <w:pPr>
        <w:pStyle w:val="ListParagraph"/>
        <w:numPr>
          <w:ilvl w:val="0"/>
          <w:numId w:val="2"/>
        </w:numPr>
        <w:bidi/>
        <w:spacing w:after="70" w:line="290"/>
      </w:pPr>
      <w:r>
        <w:rPr>
          <w:rFonts w:ascii="Arial" w:cs="Arial" w:eastAsia="Arial" w:hAnsi="Arial"/>
          <w:rtl/>
        </w:rPr>
        <w:t xml:space="preserve">بنية سحابية قابلة للتوسّع، HTTPS، وتحديد معدل الطلبات.</w:t>
      </w:r>
    </w:p>
    <w:p>
      <w:r>
        <w:br w:type="page"/>
      </w:r>
    </w:p>
    <w:p>
      <w:pPr>
        <w:pStyle w:val="Heading1"/>
        <w:bidi/>
        <w:jc w:val="start"/>
      </w:pPr>
      <w:r>
        <w:rPr>
          <w:rFonts w:ascii="Arial" w:cs="Arial" w:eastAsia="Arial" w:hAnsi="Arial"/>
          <w:b/>
          <w:bCs/>
          <w:color w:val="0E2254"/>
          <w:sz w:val="32"/>
          <w:szCs w:val="32"/>
          <w:rtl/>
        </w:rPr>
        <w:t xml:space="preserve">5. الدراسة التشغيلية</w:t>
      </w:r>
    </w:p>
    <w:p>
      <w:pPr>
        <w:pStyle w:val="Heading2"/>
        <w:bidi/>
        <w:jc w:val="start"/>
      </w:pPr>
      <w:r>
        <w:rPr>
          <w:rFonts w:ascii="Arial" w:cs="Arial" w:eastAsia="Arial" w:hAnsi="Arial"/>
          <w:b/>
          <w:bCs/>
          <w:color w:val="1B8A4A"/>
          <w:sz w:val="26"/>
          <w:szCs w:val="26"/>
          <w:rtl/>
        </w:rPr>
        <w:t xml:space="preserve">5.1 رحلة العميل (Customer Journey)</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rPr>
          <w:tblHeader/>
        </w:trPr>
        <w:tc>
          <w:tcPr>
            <w:tcW w:type="dxa" w:w="1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المرحلة</w:t>
            </w:r>
          </w:p>
        </w:tc>
        <w:tc>
          <w:tcPr>
            <w:tcW w:type="dxa" w:w="37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البراند</w:t>
            </w:r>
          </w:p>
        </w:tc>
        <w:tc>
          <w:tcPr>
            <w:tcW w:type="dxa" w:w="37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المستخدم</w:t>
            </w:r>
          </w:p>
        </w:tc>
      </w:tr>
      <w:tr>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الدخول</w:t>
            </w:r>
          </w:p>
        </w:tc>
        <w:tc>
          <w:tcPr>
            <w:tcW w:type="dxa" w:w="3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تسجيل + تفعيل الحساب</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تحميل + تسجيل OTP</w:t>
            </w:r>
          </w:p>
        </w:tc>
      </w:tr>
      <w:tr>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الإعداد</w:t>
            </w:r>
          </w:p>
        </w:tc>
        <w:tc>
          <w:tcPr>
            <w:tcW w:type="dxa" w:w="3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إنشاء حملة/بث</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ربط الحسابات الاجتماعية</w:t>
            </w:r>
          </w:p>
        </w:tc>
      </w:tr>
      <w:tr>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التنفيذ</w:t>
            </w:r>
          </w:p>
        </w:tc>
        <w:tc>
          <w:tcPr>
            <w:tcW w:type="dxa" w:w="3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مراقبة الأداء لحظياً</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اختيار إعلان والنشر</w:t>
            </w:r>
          </w:p>
        </w:tc>
      </w:tr>
      <w:tr>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القيمة</w:t>
            </w:r>
          </w:p>
        </w:tc>
        <w:tc>
          <w:tcPr>
            <w:tcW w:type="dxa" w:w="3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تقرير نتائج موثّق</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رصيد خلال 30 دقيقة</w:t>
            </w:r>
          </w:p>
        </w:tc>
      </w:tr>
    </w:tbl>
    <w:p>
      <w:pPr>
        <w:pStyle w:val="Heading2"/>
        <w:bidi/>
        <w:jc w:val="start"/>
      </w:pPr>
      <w:r>
        <w:rPr>
          <w:rFonts w:ascii="Arial" w:cs="Arial" w:eastAsia="Arial" w:hAnsi="Arial"/>
          <w:b/>
          <w:bCs/>
          <w:color w:val="1B8A4A"/>
          <w:sz w:val="26"/>
          <w:szCs w:val="26"/>
          <w:rtl/>
        </w:rPr>
        <w:t xml:space="preserve">5.2 إجراءات التشغيل واتفاقية الخدمة (SOP / SLA)</w:t>
      </w:r>
    </w:p>
    <w:p>
      <w:pPr>
        <w:pStyle w:val="ListParagraph"/>
        <w:numPr>
          <w:ilvl w:val="0"/>
          <w:numId w:val="2"/>
        </w:numPr>
        <w:bidi/>
        <w:spacing w:after="70" w:line="290"/>
      </w:pPr>
      <w:r>
        <w:rPr>
          <w:rFonts w:ascii="Arial" w:cs="Arial" w:eastAsia="Arial" w:hAnsi="Arial"/>
          <w:rtl/>
        </w:rPr>
        <w:t xml:space="preserve">التحقق من المنشور: آلي خلال 30 دقيقة من النشر.</w:t>
      </w:r>
    </w:p>
    <w:p>
      <w:pPr>
        <w:pStyle w:val="ListParagraph"/>
        <w:numPr>
          <w:ilvl w:val="0"/>
          <w:numId w:val="2"/>
        </w:numPr>
        <w:bidi/>
        <w:spacing w:after="70" w:line="290"/>
      </w:pPr>
      <w:r>
        <w:rPr>
          <w:rFonts w:ascii="Arial" w:cs="Arial" w:eastAsia="Arial" w:hAnsi="Arial"/>
          <w:rtl/>
        </w:rPr>
        <w:t xml:space="preserve">مراجعة المحتوى ومكافحة الاحتيال: فحوص آلية + مراجعة يدوية للحالات المشبوهة خلال 24 ساعة.</w:t>
      </w:r>
    </w:p>
    <w:p>
      <w:pPr>
        <w:pStyle w:val="ListParagraph"/>
        <w:numPr>
          <w:ilvl w:val="0"/>
          <w:numId w:val="2"/>
        </w:numPr>
        <w:bidi/>
        <w:spacing w:after="70" w:line="290"/>
      </w:pPr>
      <w:r>
        <w:rPr>
          <w:rFonts w:ascii="Arial" w:cs="Arial" w:eastAsia="Arial" w:hAnsi="Arial"/>
          <w:rtl/>
        </w:rPr>
        <w:t xml:space="preserve">دعم العملاء: استجابة خلال 24 ساعة عمل.</w:t>
      </w:r>
    </w:p>
    <w:p>
      <w:pPr>
        <w:pStyle w:val="ListParagraph"/>
        <w:numPr>
          <w:ilvl w:val="0"/>
          <w:numId w:val="2"/>
        </w:numPr>
        <w:bidi/>
        <w:spacing w:after="70" w:line="290"/>
      </w:pPr>
      <w:r>
        <w:rPr>
          <w:rFonts w:ascii="Arial" w:cs="Arial" w:eastAsia="Arial" w:hAnsi="Arial"/>
          <w:rtl/>
        </w:rPr>
        <w:t xml:space="preserve">جاهزية النظام المستهدفة (Uptime): 99.5٪.</w:t>
      </w:r>
    </w:p>
    <w:p>
      <w:pPr>
        <w:pStyle w:val="Heading2"/>
        <w:bidi/>
        <w:jc w:val="start"/>
      </w:pPr>
      <w:r>
        <w:rPr>
          <w:rFonts w:ascii="Arial" w:cs="Arial" w:eastAsia="Arial" w:hAnsi="Arial"/>
          <w:b/>
          <w:bCs/>
          <w:color w:val="1B8A4A"/>
          <w:sz w:val="26"/>
          <w:szCs w:val="26"/>
          <w:rtl/>
        </w:rPr>
        <w:t xml:space="preserve">5.3 الهيكل التنظيمي (المرحلة الأولى)</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الدور</w:t>
            </w:r>
          </w:p>
        </w:tc>
        <w:tc>
          <w:tcPr>
            <w:tcW w:type="dxa" w:w="6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المسؤولية</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مؤسس / مدير تنفيذي</w:t>
            </w:r>
          </w:p>
        </w:tc>
        <w:tc>
          <w:tcPr>
            <w:tcW w:type="dxa" w:w="6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الاستراتيجية، الشراكات، التمويل</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فريق تقني</w:t>
            </w:r>
          </w:p>
        </w:tc>
        <w:tc>
          <w:tcPr>
            <w:tcW w:type="dxa" w:w="6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الصيانة والتطوير المستمر</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نمو وتسويق</w:t>
            </w:r>
          </w:p>
        </w:tc>
        <w:tc>
          <w:tcPr>
            <w:tcW w:type="dxa" w:w="6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اكتساب المستخدمين والبراندات</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دعم وعمليات</w:t>
            </w:r>
          </w:p>
        </w:tc>
        <w:tc>
          <w:tcPr>
            <w:tcW w:type="dxa" w:w="6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خدمة العملاء، المراجعة، مكافحة الاحتيال</w:t>
            </w:r>
          </w:p>
        </w:tc>
      </w:tr>
    </w:tbl>
    <w:p>
      <w:pPr>
        <w:pStyle w:val="Heading2"/>
        <w:bidi/>
        <w:jc w:val="start"/>
      </w:pPr>
      <w:r>
        <w:rPr>
          <w:rFonts w:ascii="Arial" w:cs="Arial" w:eastAsia="Arial" w:hAnsi="Arial"/>
          <w:b/>
          <w:bCs/>
          <w:color w:val="1B8A4A"/>
          <w:sz w:val="26"/>
          <w:szCs w:val="26"/>
          <w:rtl/>
        </w:rPr>
        <w:t xml:space="preserve">5.4 مؤشرات التشغيل (KPIs)</w:t>
      </w:r>
    </w:p>
    <w:p>
      <w:pPr>
        <w:pStyle w:val="ListParagraph"/>
        <w:numPr>
          <w:ilvl w:val="0"/>
          <w:numId w:val="2"/>
        </w:numPr>
        <w:bidi/>
        <w:spacing w:after="70" w:line="290"/>
      </w:pPr>
      <w:r>
        <w:rPr>
          <w:rFonts w:ascii="Arial" w:cs="Arial" w:eastAsia="Arial" w:hAnsi="Arial"/>
          <w:rtl/>
        </w:rPr>
        <w:t xml:space="preserve">MAU، عدد البراندات الفعّالة، GMV، Take Rate، CAC، LTV، ونسبة المنشورات المرفوضة.</w:t>
      </w:r>
    </w:p>
    <w:p>
      <w:r>
        <w:br w:type="page"/>
      </w:r>
    </w:p>
    <w:p>
      <w:pPr>
        <w:pStyle w:val="Heading1"/>
        <w:bidi/>
        <w:jc w:val="start"/>
      </w:pPr>
      <w:r>
        <w:rPr>
          <w:rFonts w:ascii="Arial" w:cs="Arial" w:eastAsia="Arial" w:hAnsi="Arial"/>
          <w:b/>
          <w:bCs/>
          <w:color w:val="0E2254"/>
          <w:sz w:val="32"/>
          <w:szCs w:val="32"/>
          <w:rtl/>
        </w:rPr>
        <w:t xml:space="preserve">6. الخطة التسويقية</w:t>
      </w:r>
    </w:p>
    <w:p>
      <w:pPr>
        <w:bidi/>
        <w:spacing w:after="120" w:line="300"/>
        <w:jc w:val="start"/>
      </w:pPr>
      <w:r>
        <w:rPr>
          <w:rFonts w:ascii="Arial" w:cs="Arial" w:eastAsia="Arial" w:hAnsi="Arial"/>
          <w:rtl/>
        </w:rPr>
        <w:t xml:space="preserve">استراتيجية عضوية مكثّفة عبر المنصات نفسها، مدعومة بخطة محتوى تفصيلية لثلاثة أشهر (مرفقة كملف فعلي).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المرحلة</w:t>
            </w:r>
          </w:p>
        </w:tc>
        <w:tc>
          <w:tcPr>
            <w:tcW w:type="dxa" w:w="32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التركيز</w:t>
            </w:r>
          </w:p>
        </w:tc>
        <w:tc>
          <w:tcPr>
            <w:tcW w:type="dxa" w:w="4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الهدف</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الشهر 1</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الوعي والإطلاق</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أول تحميلات + تعريف الفكرة</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الشهر 2</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الإثبات والثقة</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قصص أرباح حقيقية + جذب البراندات</w:t>
            </w:r>
          </w:p>
        </w:tc>
      </w:tr>
      <w:tr>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الشهر 3</w:t>
            </w:r>
          </w:p>
        </w:tc>
        <w:tc>
          <w:tcPr>
            <w:tcW w:type="dxa" w:w="32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النمو والانتشار</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تحديات فيروسية + برنامج الإحالة</w:t>
            </w:r>
          </w:p>
        </w:tc>
      </w:tr>
    </w:tbl>
    <w:p>
      <w:pPr>
        <w:pStyle w:val="ListParagraph"/>
        <w:numPr>
          <w:ilvl w:val="0"/>
          <w:numId w:val="2"/>
        </w:numPr>
        <w:bidi/>
        <w:spacing w:after="70" w:line="290"/>
      </w:pPr>
      <w:r>
        <w:rPr>
          <w:rFonts w:ascii="Arial" w:cs="Arial" w:eastAsia="Arial" w:hAnsi="Arial"/>
          <w:rtl/>
        </w:rPr>
        <w:t xml:space="preserve">قنوات: محتوى عضوي (تيك توك/إنستغرام/سناب)، برنامج إحالة، شراكات مؤثرين صغار، تواصل مباشر للبراندات.</w:t>
      </w:r>
    </w:p>
    <w:p>
      <w:pPr>
        <w:pStyle w:val="ListParagraph"/>
        <w:numPr>
          <w:ilvl w:val="0"/>
          <w:numId w:val="2"/>
        </w:numPr>
        <w:bidi/>
        <w:spacing w:after="70" w:line="290"/>
      </w:pPr>
      <w:r>
        <w:rPr>
          <w:rFonts w:ascii="Arial" w:cs="Arial" w:eastAsia="Arial" w:hAnsi="Arial"/>
          <w:rtl/>
        </w:rPr>
        <w:t xml:space="preserve">أهداف الاكتساب: CAC مستخدم ~20 ريال (عضوي/إحالة)، CAC براند ~1,000 ريال (مبيعات مباشرة).</w:t>
      </w:r>
    </w:p>
    <w:p>
      <w:r>
        <w:br w:type="page"/>
      </w:r>
    </w:p>
    <w:p>
      <w:pPr>
        <w:pStyle w:val="Heading1"/>
        <w:bidi/>
        <w:jc w:val="start"/>
      </w:pPr>
      <w:r>
        <w:rPr>
          <w:rFonts w:ascii="Arial" w:cs="Arial" w:eastAsia="Arial" w:hAnsi="Arial"/>
          <w:b/>
          <w:bCs/>
          <w:color w:val="0E2254"/>
          <w:sz w:val="32"/>
          <w:szCs w:val="32"/>
          <w:rtl/>
        </w:rPr>
        <w:t xml:space="preserve">7. الدراسة القانونية والتنظيمية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المجال</w:t>
            </w:r>
          </w:p>
        </w:tc>
        <w:tc>
          <w:tcPr>
            <w:tcW w:type="dxa" w:w="29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الجهة</w:t>
            </w:r>
          </w:p>
        </w:tc>
        <w:tc>
          <w:tcPr>
            <w:tcW w:type="dxa" w:w="37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المتطلب / الموقف</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الكيان والسجل التجاري</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وزارة التجارة</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تأسيس كيان وسجل تجاري.</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الضريبة</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هيئة الزكاة والضريبة والجمارك</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التسجيل في ضريبة القيمة المضافة (15٪).</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حماية البيانات</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نظام حماية البيانات الشخصية (PDPL)</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الامتثال في جمع ومعالجة البيانات وسياسة خصوصية.</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تنظيم الإعلام والإعلان</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الهيئة العامة لتنظيم الإعلام (GAMR)</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توثيق المعلنين ("موثّق") + إلزام الإفصاح (#إعلان).</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التقنية</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هيئة الاتصالات والفضاء والتقنية (CITC)</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الامتثال لأنظمة مقدمي الخدمات الرقمية عند اللزوم.</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المدفوعات</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البنك المركزي (SAMA)</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الصرف عبر مزوّد دفع مرخّص لتفادي الحاجة لترخيص دفع مستقل.</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التجارة والمستهلك</w:t>
            </w:r>
          </w:p>
        </w:tc>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أنظمة التجارة الإلكترونية وحماية المستهلك</w:t>
            </w:r>
          </w:p>
        </w:tc>
        <w:tc>
          <w:tcPr>
            <w:tcW w:type="dxa" w:w="37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شروط استخدام واضحة وحماية للطرفين.</w:t>
            </w:r>
          </w:p>
        </w:tc>
      </w:tr>
    </w:tbl>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4"/>
              <w:left w:val="single" w:color="B8860B" w:sz="4"/>
              <w:bottom w:val="single" w:color="B8860B" w:sz="4"/>
              <w:right w:val="single" w:color="B8860B" w:sz="4"/>
            </w:tcBorders>
            <w:shd w:fill="FFF6E5"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نقاط تنظيمية جوهرية (تتطلب رأياً قانونياً قبل الإطلاق)</w:t>
            </w:r>
          </w:p>
          <w:p>
            <w:pPr>
              <w:bidi/>
              <w:spacing w:after="50" w:line="280"/>
            </w:pPr>
            <w:r>
              <w:rPr>
                <w:rFonts w:ascii="Arial" w:cs="Arial" w:eastAsia="Arial" w:hAnsi="Arial"/>
                <w:sz w:val="19"/>
                <w:szCs w:val="19"/>
                <w:rtl/>
              </w:rPr>
              <w:t xml:space="preserve">• تكييف "الرصيد" داخل التطبيق: يُنصح ببنائه كنقاط ترويجية تُصرف عبر مزوّد دفع مرخّص من البنك المركزي، لتفادي تصنيفه "نقوداً إلكترونية" يستلزم ترخيص دفع مستقل.</w:t>
            </w:r>
          </w:p>
          <w:p>
            <w:pPr>
              <w:bidi/>
              <w:spacing w:after="50" w:line="280"/>
            </w:pPr>
            <w:r>
              <w:rPr>
                <w:rFonts w:ascii="Arial" w:cs="Arial" w:eastAsia="Arial" w:hAnsi="Arial"/>
                <w:sz w:val="19"/>
                <w:szCs w:val="19"/>
                <w:rtl/>
              </w:rPr>
              <w:t xml:space="preserve">• توثيق المعلنين والإفصاح: نشر إعلان مدفوع من الأفراد يخضع لأنظمة الهيئة العامة لتنظيم الإعلام؛ تعالجه المنصة بالإفصاح التلقائي وإرشاد المستخدمين.</w:t>
            </w:r>
          </w:p>
          <w:p>
            <w:pPr>
              <w:bidi/>
              <w:spacing w:after="50" w:line="280"/>
            </w:pPr>
            <w:r>
              <w:rPr>
                <w:rFonts w:ascii="Arial" w:cs="Arial" w:eastAsia="Arial" w:hAnsi="Arial"/>
                <w:sz w:val="19"/>
                <w:szCs w:val="19"/>
                <w:rtl/>
              </w:rPr>
              <w:t xml:space="preserve">• الالتزام بمكافحة غسل الأموال (AML) وإجراءات "اعرف عميلك" (KYC) عند الصرف النقدي.</w:t>
            </w:r>
          </w:p>
        </w:tc>
      </w:tr>
    </w:tbl>
    <w:p>
      <w:r>
        <w:br w:type="page"/>
      </w:r>
    </w:p>
    <w:p>
      <w:pPr>
        <w:pStyle w:val="Heading1"/>
        <w:bidi/>
        <w:jc w:val="start"/>
      </w:pPr>
      <w:r>
        <w:rPr>
          <w:rFonts w:ascii="Arial" w:cs="Arial" w:eastAsia="Arial" w:hAnsi="Arial"/>
          <w:b/>
          <w:bCs/>
          <w:color w:val="0E2254"/>
          <w:sz w:val="32"/>
          <w:szCs w:val="32"/>
          <w:rtl/>
        </w:rPr>
        <w:t xml:space="preserve">8. الدراسة المالية</w:t>
      </w:r>
    </w:p>
    <w:p>
      <w:pPr>
        <w:bidi/>
        <w:spacing w:after="120" w:line="300"/>
        <w:jc w:val="start"/>
      </w:pPr>
      <w:r>
        <w:rPr>
          <w:rFonts w:ascii="Arial" w:cs="Arial" w:eastAsia="Arial" w:hAnsi="Arial"/>
          <w:rtl/>
        </w:rPr>
        <w:t xml:space="preserve">يرافق هذه الدراسة نموذج مالي تفصيلي (Excel) بمعادلات حية و7 أوراق (فرضيات، قائمة دخل، تحليل، حساسية بأربعة سيناريوهات، اقتصاد وحدوي، توقعات شهرية 24 شهراً، وخطة التمويل والعائد).</w:t>
      </w:r>
    </w:p>
    <w:p>
      <w:pPr>
        <w:pStyle w:val="Heading2"/>
        <w:bidi/>
        <w:jc w:val="start"/>
      </w:pPr>
      <w:r>
        <w:rPr>
          <w:rFonts w:ascii="Arial" w:cs="Arial" w:eastAsia="Arial" w:hAnsi="Arial"/>
          <w:b/>
          <w:bCs/>
          <w:color w:val="1B8A4A"/>
          <w:sz w:val="26"/>
          <w:szCs w:val="26"/>
          <w:rtl/>
        </w:rPr>
        <w:t xml:space="preserve">8.1 التبرير التصاعدي للنمو (Bottom-up)</w:t>
      </w:r>
    </w:p>
    <w:p>
      <w:pPr>
        <w:bidi/>
        <w:spacing w:after="120" w:line="300"/>
        <w:jc w:val="start"/>
      </w:pPr>
      <w:r>
        <w:rPr>
          <w:rFonts w:ascii="Arial" w:cs="Arial" w:eastAsia="Arial" w:hAnsi="Arial"/>
          <w:rtl/>
        </w:rPr>
        <w:t xml:space="preserve">GMV = عدد البراندات × متوسط الإنفاق السنوي — نموّ مدفوع باكتساب البراندات وارتفاع متوسط الإنفاق مع الثقة: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rPr>
          <w:tblHeader/>
        </w:trPr>
        <w:tc>
          <w:tcPr>
            <w:tcW w:type="dxa" w:w="1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السنة</w:t>
            </w:r>
          </w:p>
        </w:tc>
        <w:tc>
          <w:tcPr>
            <w:tcW w:type="dxa" w:w="2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عدد البراندات</w:t>
            </w:r>
          </w:p>
        </w:tc>
        <w:tc>
          <w:tcPr>
            <w:tcW w:type="dxa" w:w="2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متوسط الإنفاق (ريال)</w:t>
            </w:r>
          </w:p>
        </w:tc>
        <w:tc>
          <w:tcPr>
            <w:tcW w:type="dxa" w:w="26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GMV (ريال)</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50</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80,000</w:t>
            </w:r>
          </w:p>
        </w:tc>
        <w:tc>
          <w:tcPr>
            <w:tcW w:type="dxa" w:w="2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4,000,000</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200</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90,000</w:t>
            </w:r>
          </w:p>
        </w:tc>
        <w:tc>
          <w:tcPr>
            <w:tcW w:type="dxa" w:w="2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18,000,000</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500</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90,000</w:t>
            </w:r>
          </w:p>
        </w:tc>
        <w:tc>
          <w:tcPr>
            <w:tcW w:type="dxa" w:w="2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45,000,000</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750</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100,000</w:t>
            </w:r>
          </w:p>
        </w:tc>
        <w:tc>
          <w:tcPr>
            <w:tcW w:type="dxa" w:w="2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75,000,000</w:t>
            </w:r>
          </w:p>
        </w:tc>
      </w:tr>
      <w:tr>
        <w:tc>
          <w:tcPr>
            <w:tcW w:type="dxa" w:w="1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1,185</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100,000</w:t>
            </w:r>
          </w:p>
        </w:tc>
        <w:tc>
          <w:tcPr>
            <w:tcW w:type="dxa" w:w="26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118,500,000</w:t>
            </w:r>
          </w:p>
        </w:tc>
      </w:tr>
    </w:tbl>
    <w:p>
      <w:pPr>
        <w:pStyle w:val="Heading2"/>
        <w:bidi/>
        <w:jc w:val="start"/>
      </w:pPr>
      <w:r>
        <w:rPr>
          <w:rFonts w:ascii="Arial" w:cs="Arial" w:eastAsia="Arial" w:hAnsi="Arial"/>
          <w:b/>
          <w:bCs/>
          <w:color w:val="1B8A4A"/>
          <w:sz w:val="26"/>
          <w:szCs w:val="26"/>
          <w:rtl/>
        </w:rPr>
        <w:t xml:space="preserve">8.2 نموذج الإيراد والفرضيات</w:t>
      </w:r>
    </w:p>
    <w:p>
      <w:pPr>
        <w:pStyle w:val="ListParagraph"/>
        <w:numPr>
          <w:ilvl w:val="0"/>
          <w:numId w:val="2"/>
        </w:numPr>
        <w:bidi/>
        <w:spacing w:after="70" w:line="290"/>
      </w:pPr>
      <w:r>
        <w:rPr>
          <w:rFonts w:ascii="Arial" w:cs="Arial" w:eastAsia="Arial" w:hAnsi="Arial"/>
          <w:rtl/>
        </w:rPr>
        <w:t xml:space="preserve">العمولة المجمّعة 8٪ = (70٪ حملات × 5٪) + (30٪ جلسات × 15٪).</w:t>
      </w:r>
    </w:p>
    <w:p>
      <w:pPr>
        <w:pStyle w:val="ListParagraph"/>
        <w:numPr>
          <w:ilvl w:val="0"/>
          <w:numId w:val="2"/>
        </w:numPr>
        <w:bidi/>
        <w:spacing w:after="70" w:line="290"/>
      </w:pPr>
      <w:r>
        <w:rPr>
          <w:rFonts w:ascii="Arial" w:cs="Arial" w:eastAsia="Arial" w:hAnsi="Arial"/>
          <w:rtl/>
        </w:rPr>
        <w:t xml:space="preserve">كل الأرقام بالريال السعودي وغير شاملة ضريبة القيمة المضافة.</w:t>
      </w:r>
    </w:p>
    <w:p>
      <w:pPr>
        <w:pStyle w:val="Heading2"/>
        <w:bidi/>
        <w:jc w:val="start"/>
      </w:pPr>
      <w:r>
        <w:rPr>
          <w:rFonts w:ascii="Arial" w:cs="Arial" w:eastAsia="Arial" w:hAnsi="Arial"/>
          <w:b/>
          <w:bCs/>
          <w:color w:val="1B8A4A"/>
          <w:sz w:val="26"/>
          <w:szCs w:val="26"/>
          <w:rtl/>
        </w:rPr>
        <w:t xml:space="preserve">8.3 قائمة الدخل المتوقعة (3 سنوات)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البند</w:t>
            </w:r>
          </w:p>
        </w:tc>
        <w:tc>
          <w:tcPr>
            <w:tcW w:type="dxa" w:w="2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السنة 1</w:t>
            </w:r>
          </w:p>
        </w:tc>
        <w:tc>
          <w:tcPr>
            <w:tcW w:type="dxa" w:w="2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السنة 2</w:t>
            </w:r>
          </w:p>
        </w:tc>
        <w:tc>
          <w:tcPr>
            <w:tcW w:type="dxa" w:w="2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السنة 3</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GMV</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4,000,000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18,000,000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45,000,000</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إيراد المنصة (عمولة 8٪)</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320,000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1,440,000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3,600,000</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إجمالي المصاريف</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920,000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1,730,000</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2,800,000</w:t>
            </w:r>
          </w:p>
        </w:tc>
      </w:tr>
      <w:tr>
        <w:tc>
          <w:tcPr>
            <w:tcW w:type="dxa" w:w="3026"/>
            <w:tcBorders>
              <w:top w:val="single" w:color="B4C4BC" w:sz="1"/>
              <w:left w:val="single" w:color="B4C4BC" w:sz="1"/>
              <w:bottom w:val="single" w:color="B4C4BC" w:sz="1"/>
              <w:right w:val="single" w:color="B4C4BC" w:sz="1"/>
            </w:tcBorders>
            <w:shd w:fill="EEF4F1"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صافي الربح/(الخسارة)</w:t>
            </w:r>
          </w:p>
        </w:tc>
        <w:tc>
          <w:tcPr>
            <w:tcW w:type="dxa" w:w="2000"/>
            <w:tcBorders>
              <w:top w:val="single" w:color="B4C4BC" w:sz="1"/>
              <w:left w:val="single" w:color="B4C4BC" w:sz="1"/>
              <w:bottom w:val="single" w:color="B4C4BC" w:sz="1"/>
              <w:right w:val="single" w:color="B4C4BC" w:sz="1"/>
            </w:tcBorders>
            <w:shd w:fill="EEF4F1"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(600,000)</w:t>
            </w:r>
          </w:p>
        </w:tc>
        <w:tc>
          <w:tcPr>
            <w:tcW w:type="dxa" w:w="2000"/>
            <w:tcBorders>
              <w:top w:val="single" w:color="B4C4BC" w:sz="1"/>
              <w:left w:val="single" w:color="B4C4BC" w:sz="1"/>
              <w:bottom w:val="single" w:color="B4C4BC" w:sz="1"/>
              <w:right w:val="single" w:color="B4C4BC" w:sz="1"/>
            </w:tcBorders>
            <w:shd w:fill="EEF4F1"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(290,000)</w:t>
            </w:r>
          </w:p>
        </w:tc>
        <w:tc>
          <w:tcPr>
            <w:tcW w:type="dxa" w:w="2000"/>
            <w:tcBorders>
              <w:top w:val="single" w:color="B4C4BC" w:sz="1"/>
              <w:left w:val="single" w:color="B4C4BC" w:sz="1"/>
              <w:bottom w:val="single" w:color="B4C4BC" w:sz="1"/>
              <w:right w:val="single" w:color="B4C4BC" w:sz="1"/>
            </w:tcBorders>
            <w:shd w:fill="EEF4F1"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800,000</w:t>
            </w:r>
          </w:p>
        </w:tc>
      </w:tr>
    </w:tbl>
    <w:p>
      <w:pPr>
        <w:pStyle w:val="Heading2"/>
        <w:bidi/>
        <w:jc w:val="start"/>
      </w:pPr>
      <w:r>
        <w:rPr>
          <w:rFonts w:ascii="Arial" w:cs="Arial" w:eastAsia="Arial" w:hAnsi="Arial"/>
          <w:b/>
          <w:bCs/>
          <w:color w:val="1B8A4A"/>
          <w:sz w:val="26"/>
          <w:szCs w:val="26"/>
          <w:rtl/>
        </w:rPr>
        <w:t xml:space="preserve">8.4 الاقتصاد الوحدوي (Unit Economics)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المؤشر</w:t>
            </w:r>
          </w:p>
        </w:tc>
        <w:tc>
          <w:tcPr>
            <w:tcW w:type="dxa" w:w="3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المستخدم</w:t>
            </w:r>
          </w:p>
        </w:tc>
        <w:tc>
          <w:tcPr>
            <w:tcW w:type="dxa" w:w="3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البراند</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تكلفة الاكتساب CAC</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~20 ريال</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~1,000 ريال</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إيراد سنوي لكل وحدة</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~16 ريال</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~6,400 ريال</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القيمة الدائمة LTV</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~30 ريال</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~14,400 ريال</w:t>
            </w:r>
          </w:p>
        </w:tc>
      </w:tr>
      <w:tr>
        <w:tc>
          <w:tcPr>
            <w:tcW w:type="dxa" w:w="3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نسبة LTV/CAC</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~1.5x</w:t>
            </w:r>
          </w:p>
        </w:tc>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bCs/>
                <w:color w:val="111111"/>
                <w:sz w:val="18"/>
                <w:szCs w:val="18"/>
                <w:rtl/>
              </w:rPr>
              <w:t xml:space="preserve">~14x</w:t>
            </w:r>
          </w:p>
        </w:tc>
      </w:tr>
    </w:tbl>
    <w:p>
      <w:pPr>
        <w:bidi/>
        <w:spacing w:after="120" w:line="300"/>
        <w:jc w:val="start"/>
      </w:pPr>
      <w:r>
        <w:rPr>
          <w:rFonts w:ascii="Arial" w:cs="Arial" w:eastAsia="Arial" w:hAnsi="Arial"/>
          <w:rtl/>
        </w:rPr>
        <w:t xml:space="preserve">البراندات هي محرّك الربح الأساسي؛ المستخدمون يُكتسبون بتكلفة منخفضة (عضوي/إحالة) كطرف عرض في الشبكة — وهو نموذج سوق ثنائي معتاد.</w:t>
      </w:r>
    </w:p>
    <w:p>
      <w:r>
        <w:br w:type="page"/>
      </w:r>
    </w:p>
    <w:p>
      <w:pPr>
        <w:pStyle w:val="Heading1"/>
        <w:bidi/>
        <w:jc w:val="start"/>
      </w:pPr>
      <w:r>
        <w:rPr>
          <w:rFonts w:ascii="Arial" w:cs="Arial" w:eastAsia="Arial" w:hAnsi="Arial"/>
          <w:b/>
          <w:bCs/>
          <w:color w:val="0E2254"/>
          <w:sz w:val="32"/>
          <w:szCs w:val="32"/>
          <w:rtl/>
        </w:rPr>
        <w:t xml:space="preserve">9. التحليل المالي والجدوى</w:t>
      </w:r>
    </w:p>
    <w:p>
      <w:pPr>
        <w:pStyle w:val="Heading2"/>
        <w:bidi/>
        <w:jc w:val="start"/>
      </w:pPr>
      <w:r>
        <w:rPr>
          <w:rFonts w:ascii="Arial" w:cs="Arial" w:eastAsia="Arial" w:hAnsi="Arial"/>
          <w:b/>
          <w:bCs/>
          <w:color w:val="1B8A4A"/>
          <w:sz w:val="26"/>
          <w:szCs w:val="26"/>
          <w:rtl/>
        </w:rPr>
        <w:t xml:space="preserve">9.1 التدفقات النقدية (منظور المستثمر، 5 سنوات)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السنة</w:t>
            </w:r>
          </w:p>
        </w:tc>
        <w:tc>
          <w:tcPr>
            <w:tcW w:type="dxa" w:w="2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صافي التدفق (ريال)</w:t>
            </w:r>
          </w:p>
        </w:tc>
        <w:tc>
          <w:tcPr>
            <w:tcW w:type="dxa" w:w="2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التراكمي (ريال)</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0 — ضخ الاستثمار</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(1,200,000)</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 (خسائر ممولة من الاستثمار)</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(1,200,000)</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 (خسائر ممولة من الاستثمار)</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(1,200,000)</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800,000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(400,000)</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1,800,000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1,400,000</w:t>
            </w:r>
          </w:p>
        </w:tc>
      </w:tr>
      <w:tr>
        <w:tc>
          <w:tcPr>
            <w:tcW w:type="dxa" w:w="42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3,200,000</w:t>
            </w:r>
          </w:p>
        </w:tc>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4,600,000</w:t>
            </w:r>
          </w:p>
        </w:tc>
      </w:tr>
    </w:tbl>
    <w:p>
      <w:pPr>
        <w:bidi/>
        <w:spacing w:after="120" w:line="300"/>
        <w:jc w:val="start"/>
      </w:pPr>
      <w:r>
        <w:rPr>
          <w:rFonts w:ascii="Arial" w:cs="Arial" w:eastAsia="Arial" w:hAnsi="Arial"/>
          <w:rtl/>
        </w:rPr>
        <w:t xml:space="preserve">ذروة الاحتياج التمويلي = 250,000 + 600,000 + 290,000 = 1,140,000 ريال، وعليه حُدّد الاستثمار بـ 1.2 مليون باحتياطي ~60 ألفاً (يؤكده جدول السيولة الشهري: أدنى رصيد ~60 ألف ريال).</w:t>
      </w:r>
    </w:p>
    <w:p>
      <w:pPr>
        <w:pStyle w:val="Heading2"/>
        <w:bidi/>
        <w:jc w:val="start"/>
      </w:pPr>
      <w:r>
        <w:rPr>
          <w:rFonts w:ascii="Arial" w:cs="Arial" w:eastAsia="Arial" w:hAnsi="Arial"/>
          <w:b/>
          <w:bCs/>
          <w:color w:val="1B8A4A"/>
          <w:sz w:val="26"/>
          <w:szCs w:val="26"/>
          <w:rtl/>
        </w:rPr>
        <w:t xml:space="preserve">9.2 مؤشرات الجدوى</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المؤشر</w:t>
            </w:r>
          </w:p>
        </w:tc>
        <w:tc>
          <w:tcPr>
            <w:tcW w:type="dxa" w:w="2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القيمة</w:t>
            </w:r>
          </w:p>
        </w:tc>
        <w:tc>
          <w:tcPr>
            <w:tcW w:type="dxa" w:w="4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الأساس</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NPV @12٪</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 +2,330,000 ريال</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خصم تدفقات المستثمر</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IRR</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~44٪</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على تدفقات الجدول أعلاه</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فترة الاسترداد</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~3.2 سنة</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400,000 ÷ 1,800,000 خلال السنة 4</w:t>
            </w:r>
          </w:p>
        </w:tc>
      </w:tr>
      <w:tr>
        <w:tc>
          <w:tcPr>
            <w:tcW w:type="dxa" w:w="24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هامش صافٍ (سنة 3)</w:t>
            </w:r>
          </w:p>
        </w:tc>
        <w:tc>
          <w:tcPr>
            <w:tcW w:type="dxa" w:w="2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~22٪</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800,000 ÷ 3,600,000</w:t>
            </w:r>
          </w:p>
        </w:tc>
      </w:tr>
    </w:tbl>
    <w:p>
      <w:r>
        <w:br w:type="page"/>
      </w:r>
    </w:p>
    <w:p>
      <w:pPr>
        <w:pStyle w:val="Heading1"/>
        <w:bidi/>
        <w:jc w:val="start"/>
      </w:pPr>
      <w:r>
        <w:rPr>
          <w:rFonts w:ascii="Arial" w:cs="Arial" w:eastAsia="Arial" w:hAnsi="Arial"/>
          <w:b/>
          <w:bCs/>
          <w:color w:val="0E2254"/>
          <w:sz w:val="32"/>
          <w:szCs w:val="32"/>
          <w:rtl/>
        </w:rPr>
        <w:t xml:space="preserve">10. تحليل الحساسية</w:t>
      </w:r>
    </w:p>
    <w:p>
      <w:pPr>
        <w:bidi/>
        <w:spacing w:after="120" w:line="300"/>
        <w:jc w:val="start"/>
      </w:pPr>
      <w:r>
        <w:rPr>
          <w:rFonts w:ascii="Arial" w:cs="Arial" w:eastAsia="Arial" w:hAnsi="Arial"/>
          <w:rtl/>
        </w:rPr>
        <w:t xml:space="preserve">أربعة سيناريوهات بتطبيق معامل على معدلات نمو GMV (المصاريف ثابتة — افتراض متحفّظ):</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5526"/>
      </w:tblGrid>
      <w:tr>
        <w:trPr>
          <w:tblHeader/>
        </w:trPr>
        <w:tc>
          <w:tcPr>
            <w:tcW w:type="dxa" w:w="17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السيناريو</w:t>
            </w:r>
          </w:p>
        </w:tc>
        <w:tc>
          <w:tcPr>
            <w:tcW w:type="dxa" w:w="18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معامل النمو</w:t>
            </w:r>
          </w:p>
        </w:tc>
        <w:tc>
          <w:tcPr>
            <w:tcW w:type="dxa" w:w="55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الأثر الرئيسي</w:t>
            </w:r>
          </w:p>
        </w:tc>
      </w:tr>
      <w:tr>
        <w:tc>
          <w:tcPr>
            <w:tcW w:type="dxa" w:w="1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متفائل</w:t>
            </w:r>
          </w:p>
        </w:tc>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×1.3</w:t>
            </w:r>
          </w:p>
        </w:tc>
        <w:tc>
          <w:tcPr>
            <w:tcW w:type="dxa" w:w="5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تعادل أبكر وربحية وNPV أعلى بوضوح</w:t>
            </w:r>
          </w:p>
        </w:tc>
      </w:tr>
      <w:tr>
        <w:tc>
          <w:tcPr>
            <w:tcW w:type="dxa" w:w="1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أساسي</w:t>
            </w:r>
          </w:p>
        </w:tc>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×1.0</w:t>
            </w:r>
          </w:p>
        </w:tc>
        <w:tc>
          <w:tcPr>
            <w:tcW w:type="dxa" w:w="5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تعادل أوائل السنة 3، NPV ≈ +2.33 مليون</w:t>
            </w:r>
          </w:p>
        </w:tc>
      </w:tr>
      <w:tr>
        <w:tc>
          <w:tcPr>
            <w:tcW w:type="dxa" w:w="1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متحفّظ</w:t>
            </w:r>
          </w:p>
        </w:tc>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×0.7</w:t>
            </w:r>
          </w:p>
        </w:tc>
        <w:tc>
          <w:tcPr>
            <w:tcW w:type="dxa" w:w="5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تأخّر التعادل للسنة 4 وحاجة تمويل إضافي محدود</w:t>
            </w:r>
          </w:p>
        </w:tc>
      </w:tr>
      <w:tr>
        <w:tc>
          <w:tcPr>
            <w:tcW w:type="dxa" w:w="1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أسوأ حالة</w:t>
            </w:r>
          </w:p>
        </w:tc>
        <w:tc>
          <w:tcPr>
            <w:tcW w:type="dxa" w:w="1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×0.4</w:t>
            </w:r>
          </w:p>
        </w:tc>
        <w:tc>
          <w:tcPr>
            <w:tcW w:type="dxa" w:w="5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خسائر ممتدة، IRR غير محقق — يستلزم خفض المصاريف</w:t>
            </w:r>
          </w:p>
        </w:tc>
      </w:tr>
    </w:tbl>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2254" w:sz="4"/>
              <w:left w:val="single" w:color="0E2254" w:sz="4"/>
              <w:bottom w:val="single" w:color="0E2254" w:sz="4"/>
              <w:right w:val="single" w:color="0E2254" w:sz="4"/>
            </w:tcBorders>
            <w:shd w:fill="EEF4F1"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الخلاصة</w:t>
            </w:r>
          </w:p>
          <w:p>
            <w:pPr>
              <w:bidi/>
              <w:spacing w:after="50" w:line="280"/>
            </w:pPr>
            <w:r>
              <w:rPr>
                <w:rFonts w:ascii="Arial" w:cs="Arial" w:eastAsia="Arial" w:hAnsi="Arial"/>
                <w:sz w:val="19"/>
                <w:szCs w:val="19"/>
                <w:rtl/>
              </w:rPr>
              <w:t xml:space="preserve">المشروع حسّاس بدرجة عالية لسرعة اكتساب البراندات (المحرّك المالي)؛ لذا يتركّز الاستثمار في النمو أول 18 شهراً. في السيناريوهات الضعيفة يلزم ضبط هيكل التكاليف (المصاريف مرنة عملياً وإن كانت ثابتة في النموذج للتحفّظ).</w:t>
            </w:r>
          </w:p>
        </w:tc>
      </w:tr>
    </w:tbl>
    <w:p>
      <w:r>
        <w:br w:type="page"/>
      </w:r>
    </w:p>
    <w:p>
      <w:pPr>
        <w:pStyle w:val="Heading1"/>
        <w:bidi/>
        <w:jc w:val="start"/>
      </w:pPr>
      <w:r>
        <w:rPr>
          <w:rFonts w:ascii="Arial" w:cs="Arial" w:eastAsia="Arial" w:hAnsi="Arial"/>
          <w:b/>
          <w:bCs/>
          <w:color w:val="0E2254"/>
          <w:sz w:val="32"/>
          <w:szCs w:val="32"/>
          <w:rtl/>
        </w:rPr>
        <w:t xml:space="preserve">11. سجل المخاطر (Risk Register)</w:t>
      </w:r>
    </w:p>
    <w:p>
      <w:pPr>
        <w:bidi/>
        <w:spacing w:after="120" w:line="300"/>
        <w:jc w:val="start"/>
      </w:pPr>
      <w:r>
        <w:rPr>
          <w:rFonts w:ascii="Arial" w:cs="Arial" w:eastAsia="Arial" w:hAnsi="Arial"/>
          <w:rtl/>
        </w:rPr>
        <w:t xml:space="preserve">التقييم: الاحتمال (1–5) × الأثر (1–5) = الدرجة (1–25).</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700"/>
        <w:gridCol w:w="800"/>
        <w:gridCol w:w="3826"/>
      </w:tblGrid>
      <w:tr>
        <w:trPr>
          <w:tblHeader/>
        </w:trPr>
        <w:tc>
          <w:tcPr>
            <w:tcW w:type="dxa" w:w="27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الخطر</w:t>
            </w:r>
          </w:p>
        </w:tc>
        <w:tc>
          <w:tcPr>
            <w:tcW w:type="dxa" w:w="8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احتمال</w:t>
            </w:r>
          </w:p>
        </w:tc>
        <w:tc>
          <w:tcPr>
            <w:tcW w:type="dxa" w:w="7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أثر</w:t>
            </w:r>
          </w:p>
        </w:tc>
        <w:tc>
          <w:tcPr>
            <w:tcW w:type="dxa" w:w="8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درجة</w:t>
            </w:r>
          </w:p>
        </w:tc>
        <w:tc>
          <w:tcPr>
            <w:tcW w:type="dxa" w:w="38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المعالجة</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بطء اكتساب المستخدمين/البراندات</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20</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إحالة، محتوى عضوي مكثّف، قصص نجاح، مبيعات مباشرة</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سياسات المنصات الاجتماعية</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الإفصاح، النشر اليدوي، تنويع المنصات</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الامتثال التنظيمي (إعلام/دفع/بيانات)</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استشارة قانونية، مزوّد دفع مرخّص، توثيق وإفصاح</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الاحتيال في النشر</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نافذة تحقق، فحوص آلية، حد أدنى للمتابعين</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المنافسة/دخول لاعب كبير</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التخصص المحلي، سرعة التنفيذ، تجربة متفوقة</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نضوب التمويل</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3</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15</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حرق منضبط، أهداف مرحلية، خفض تكاليف مرن</w:t>
            </w:r>
          </w:p>
        </w:tc>
      </w:tr>
      <w:tr>
        <w:tc>
          <w:tcPr>
            <w:tcW w:type="dxa" w:w="2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الاعتماد على أشخاص رئيسيين</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w:t>
            </w:r>
          </w:p>
        </w:tc>
        <w:tc>
          <w:tcPr>
            <w:tcW w:type="dxa" w:w="7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w:t>
            </w:r>
          </w:p>
        </w:tc>
        <w:tc>
          <w:tcPr>
            <w:tcW w:type="dxa" w:w="8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w:t>
            </w:r>
          </w:p>
        </w:tc>
        <w:tc>
          <w:tcPr>
            <w:tcW w:type="dxa" w:w="38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توثيق العمليات، بناء فريق ووثائق تقنية</w:t>
            </w:r>
          </w:p>
        </w:tc>
      </w:tr>
    </w:tbl>
    <w:p>
      <w:r>
        <w:br w:type="page"/>
      </w:r>
    </w:p>
    <w:p>
      <w:pPr>
        <w:pStyle w:val="Heading1"/>
        <w:bidi/>
        <w:jc w:val="start"/>
      </w:pPr>
      <w:r>
        <w:rPr>
          <w:rFonts w:ascii="Arial" w:cs="Arial" w:eastAsia="Arial" w:hAnsi="Arial"/>
          <w:b/>
          <w:bCs/>
          <w:color w:val="0E2254"/>
          <w:sz w:val="32"/>
          <w:szCs w:val="32"/>
          <w:rtl/>
        </w:rPr>
        <w:t xml:space="preserve">12. خطة التنفيذ</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526"/>
      </w:tblGrid>
      <w:tr>
        <w:trPr>
          <w:tblHeader/>
        </w:trPr>
        <w:tc>
          <w:tcPr>
            <w:tcW w:type="dxa" w:w="29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المرحلة</w:t>
            </w:r>
          </w:p>
        </w:tc>
        <w:tc>
          <w:tcPr>
            <w:tcW w:type="dxa" w:w="16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المدة</w:t>
            </w:r>
          </w:p>
        </w:tc>
        <w:tc>
          <w:tcPr>
            <w:tcW w:type="dxa" w:w="45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المخرجات</w:t>
            </w:r>
          </w:p>
        </w:tc>
      </w:tr>
      <w:tr>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المرحلة 0 — الجاهزية (مكتملة)</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منجزة</w:t>
            </w:r>
          </w:p>
        </w:tc>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المنتج مبنيّ ومنشور + هوية + خطة تسويق + عرض + نموذج مالي</w:t>
            </w:r>
          </w:p>
        </w:tc>
      </w:tr>
      <w:tr>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المرحلة 1 — الإطلاق</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الأشهر 1–3</w:t>
            </w:r>
          </w:p>
        </w:tc>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تفعيل SMS/OTP حقيقي، تأسيس قانوني، أول براندات ومستخدمين</w:t>
            </w:r>
          </w:p>
        </w:tc>
      </w:tr>
      <w:tr>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المرحلة 2 — النمو</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الأشهر 4–12</w:t>
            </w:r>
          </w:p>
        </w:tc>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توسيع الفريق، تحسين المنتج، أهداف السنة 1</w:t>
            </w:r>
          </w:p>
        </w:tc>
      </w:tr>
      <w:tr>
        <w:tc>
          <w:tcPr>
            <w:tcW w:type="dxa" w:w="29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المرحلة 3 — التوسّع</w:t>
            </w:r>
          </w:p>
        </w:tc>
        <w:tc>
          <w:tcPr>
            <w:tcW w:type="dxa" w:w="16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السنة 2–3</w:t>
            </w:r>
          </w:p>
        </w:tc>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مدفوعات ومكافآت متقدمة + التوسّع الخليجي</w:t>
            </w:r>
          </w:p>
        </w:tc>
      </w:tr>
    </w:tbl>
    <w:p>
      <w:pPr>
        <w:pStyle w:val="Heading2"/>
        <w:bidi/>
        <w:jc w:val="start"/>
      </w:pPr>
      <w:r>
        <w:rPr>
          <w:rFonts w:ascii="Arial" w:cs="Arial" w:eastAsia="Arial" w:hAnsi="Arial"/>
          <w:b/>
          <w:bCs/>
          <w:color w:val="1B8A4A"/>
          <w:sz w:val="26"/>
          <w:szCs w:val="26"/>
          <w:rtl/>
        </w:rPr>
        <w:t xml:space="preserve">12.1 أولويات ما قبل الإطلاق التجاري</w:t>
      </w:r>
    </w:p>
    <w:p>
      <w:pPr>
        <w:pStyle w:val="ListParagraph"/>
        <w:numPr>
          <w:ilvl w:val="0"/>
          <w:numId w:val="2"/>
        </w:numPr>
        <w:bidi/>
        <w:spacing w:after="70" w:line="290"/>
      </w:pPr>
      <w:r>
        <w:rPr>
          <w:rFonts w:ascii="Arial" w:cs="Arial" w:eastAsia="Arial" w:hAnsi="Arial"/>
          <w:rtl/>
        </w:rPr>
        <w:t xml:space="preserve">تفعيل مزوّد SMS معتمد وتحويل بيئة الإنتاج لرموز OTP حقيقية.</w:t>
      </w:r>
    </w:p>
    <w:p>
      <w:pPr>
        <w:pStyle w:val="ListParagraph"/>
        <w:numPr>
          <w:ilvl w:val="0"/>
          <w:numId w:val="2"/>
        </w:numPr>
        <w:bidi/>
        <w:spacing w:after="70" w:line="290"/>
      </w:pPr>
      <w:r>
        <w:rPr>
          <w:rFonts w:ascii="Arial" w:cs="Arial" w:eastAsia="Arial" w:hAnsi="Arial"/>
          <w:rtl/>
        </w:rPr>
        <w:t xml:space="preserve">استكمال التأسيس والتراخيص والتسجيل الضريبي وترتيب الصرف عبر مزوّد دفع مرخّص.</w:t>
      </w:r>
    </w:p>
    <w:p>
      <w:pPr>
        <w:pStyle w:val="ListParagraph"/>
        <w:numPr>
          <w:ilvl w:val="0"/>
          <w:numId w:val="2"/>
        </w:numPr>
        <w:bidi/>
        <w:spacing w:after="70" w:line="290"/>
      </w:pPr>
      <w:r>
        <w:rPr>
          <w:rFonts w:ascii="Arial" w:cs="Arial" w:eastAsia="Arial" w:hAnsi="Arial"/>
          <w:rtl/>
        </w:rPr>
        <w:t xml:space="preserve">إطلاق الحسابات الاجتماعية وبدء تقويم المحتوى.</w:t>
      </w:r>
    </w:p>
    <w:p>
      <w:r>
        <w:br w:type="page"/>
      </w:r>
    </w:p>
    <w:p>
      <w:pPr>
        <w:pStyle w:val="Heading1"/>
        <w:bidi/>
        <w:jc w:val="start"/>
      </w:pPr>
      <w:r>
        <w:rPr>
          <w:rFonts w:ascii="Arial" w:cs="Arial" w:eastAsia="Arial" w:hAnsi="Arial"/>
          <w:b/>
          <w:bCs/>
          <w:color w:val="0E2254"/>
          <w:sz w:val="32"/>
          <w:szCs w:val="32"/>
          <w:rtl/>
        </w:rPr>
        <w:t xml:space="preserve">13. شروط الاستثمار والعائد</w:t>
      </w:r>
    </w:p>
    <w:p>
      <w:pPr>
        <w:bidi/>
        <w:spacing w:after="120" w:line="300"/>
        <w:jc w:val="start"/>
      </w:pPr>
      <w:r>
        <w:rPr>
          <w:rFonts w:ascii="Arial" w:cs="Arial" w:eastAsia="Arial" w:hAnsi="Arial"/>
          <w:rtl/>
        </w:rPr>
        <w:t xml:space="preserve">أرقام استرشادية قابلة للتفاوض (راجع ورقة "التمويل والعائد" في النموذج المالي):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البند</w:t>
            </w:r>
          </w:p>
        </w:tc>
        <w:tc>
          <w:tcPr>
            <w:tcW w:type="dxa" w:w="45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القيمة (استرشادي)</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مبلغ الجولة</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1,200,000 ريال</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حصة المستثمر</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~22٪</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التقييم بعد الجولة (Post-money)</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~5,450,000 ريال</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التقييم قبل الجولة (Pre-money)</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~4,250,000 ريال</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مضاعف رأس المال المتوقع MOIC (سنة 5)</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~8.7x</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أفق وطريقة الخروج</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استحواذ استراتيجي / بيع حصص / إدراج مستقبلي (نمو) — 5–7 سنوات</w:t>
            </w:r>
          </w:p>
        </w:tc>
      </w:tr>
    </w:tbl>
    <w:p>
      <w:pPr>
        <w:pStyle w:val="Heading2"/>
        <w:bidi/>
        <w:jc w:val="start"/>
      </w:pPr>
      <w:r>
        <w:rPr>
          <w:rFonts w:ascii="Arial" w:cs="Arial" w:eastAsia="Arial" w:hAnsi="Arial"/>
          <w:b/>
          <w:bCs/>
          <w:color w:val="1B8A4A"/>
          <w:sz w:val="26"/>
          <w:szCs w:val="26"/>
          <w:rtl/>
        </w:rPr>
        <w:t xml:space="preserve">13.1 استخدام التمويل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البند</w:t>
            </w:r>
          </w:p>
        </w:tc>
        <w:tc>
          <w:tcPr>
            <w:tcW w:type="dxa" w:w="25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النسبة</w:t>
            </w:r>
          </w:p>
        </w:tc>
        <w:tc>
          <w:tcPr>
            <w:tcW w:type="dxa" w:w="25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المبلغ (ريال)</w:t>
            </w:r>
          </w:p>
        </w:tc>
      </w:tr>
      <w:tr>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التسويق والنمو</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480,000</w:t>
            </w:r>
          </w:p>
        </w:tc>
      </w:tr>
      <w:tr>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الرواتب والفريق</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40٪</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480,000</w:t>
            </w:r>
          </w:p>
        </w:tc>
      </w:tr>
      <w:tr>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التقنية والبنية والـ SMS</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8٪</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96,000</w:t>
            </w:r>
          </w:p>
        </w:tc>
      </w:tr>
      <w:tr>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قانوني وتراخيص وإداري</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10٪</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120,000</w:t>
            </w:r>
          </w:p>
        </w:tc>
      </w:tr>
      <w:tr>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احتياطي نقدي</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w:t>
            </w:r>
          </w:p>
        </w:tc>
        <w:tc>
          <w:tcPr>
            <w:tcW w:type="dxa" w:w="2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24,000</w:t>
            </w:r>
          </w:p>
        </w:tc>
      </w:tr>
    </w:tbl>
    <w:p>
      <w:pPr>
        <w:pStyle w:val="Heading2"/>
        <w:bidi/>
        <w:jc w:val="start"/>
      </w:pPr>
      <w:r>
        <w:rPr>
          <w:rFonts w:ascii="Arial" w:cs="Arial" w:eastAsia="Arial" w:hAnsi="Arial"/>
          <w:b/>
          <w:bCs/>
          <w:color w:val="1B8A4A"/>
          <w:sz w:val="26"/>
          <w:szCs w:val="26"/>
          <w:rtl/>
        </w:rPr>
        <w:t xml:space="preserve">13.2 جدول الملكية (Cap Table)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المساهم</w:t>
            </w:r>
          </w:p>
        </w:tc>
        <w:tc>
          <w:tcPr>
            <w:tcW w:type="dxa" w:w="45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الحصة</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المؤسسون</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~78٪</w:t>
            </w:r>
          </w:p>
        </w:tc>
      </w:tr>
      <w:tr>
        <w:tc>
          <w:tcPr>
            <w:tcW w:type="dxa" w:w="45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المستثمر (الجولة الحالية)</w:t>
            </w:r>
          </w:p>
        </w:tc>
        <w:tc>
          <w:tcPr>
            <w:tcW w:type="dxa" w:w="45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~22٪</w:t>
            </w:r>
          </w:p>
        </w:tc>
      </w:tr>
    </w:tbl>
    <w:p>
      <w:r>
        <w:br w:type="page"/>
      </w:r>
    </w:p>
    <w:p>
      <w:pPr>
        <w:pStyle w:val="Heading1"/>
        <w:bidi/>
        <w:jc w:val="start"/>
      </w:pPr>
      <w:r>
        <w:rPr>
          <w:rFonts w:ascii="Arial" w:cs="Arial" w:eastAsia="Arial" w:hAnsi="Arial"/>
          <w:b/>
          <w:bCs/>
          <w:color w:val="0E2254"/>
          <w:sz w:val="32"/>
          <w:szCs w:val="32"/>
          <w:rtl/>
        </w:rPr>
        <w:t xml:space="preserve">14. الملاحق (ملفات مرفقة فعلية)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الملحق</w:t>
            </w:r>
          </w:p>
        </w:tc>
        <w:tc>
          <w:tcPr>
            <w:tcW w:type="dxa" w:w="4026"/>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الملف</w:t>
            </w:r>
          </w:p>
        </w:tc>
        <w:tc>
          <w:tcPr>
            <w:tcW w:type="dxa" w:w="2000"/>
            <w:tcBorders>
              <w:top w:val="single" w:color="B4C4BC" w:sz="1"/>
              <w:left w:val="single" w:color="B4C4BC" w:sz="1"/>
              <w:bottom w:val="single" w:color="B4C4BC" w:sz="1"/>
              <w:right w:val="single" w:color="B4C4BC" w:sz="1"/>
            </w:tcBorders>
            <w:shd w:fill="0E2254" w:val="clear"/>
            <w:tcMar>
              <w:top w:type="dxa" w:w="60"/>
              <w:left w:type="dxa" w:w="90"/>
              <w:bottom w:type="dxa" w:w="60"/>
              <w:right w:type="dxa" w:w="90"/>
            </w:tcMar>
          </w:tcPr>
          <w:p>
            <w:pPr>
              <w:bidi/>
              <w:jc w:val="start"/>
            </w:pPr>
            <w:r>
              <w:rPr>
                <w:rFonts w:ascii="Arial" w:cs="Arial" w:eastAsia="Arial" w:hAnsi="Arial"/>
                <w:b/>
                <w:bCs/>
                <w:color w:val="FFFFFF"/>
                <w:sz w:val="18"/>
                <w:szCs w:val="18"/>
                <w:rtl/>
              </w:rPr>
              <w:t xml:space="preserve">الحالة</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أ — النموذج المالي التفصيلي</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WinWin-Financial-Model.xlsx</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مرفق ✓</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ب — العرض التقديمي للبراندات</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WinWin-Brand-Deck.pptx</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مرفق ✓</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ج — خطة المحتوى التسويقي (3 أشهر)</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WinWin-Content-Plan-3Months.docx</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مرفق ✓</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د — الهوية البصرية والتصاميم</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marketing/posts/ (منشورات + أغلفة + أيقونة)</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مرفق ✓</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هـ — البنية التقنية والكود المصدري</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github.com/mfathycampus/winwin</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متاح ✓</w:t>
            </w:r>
          </w:p>
        </w:tc>
      </w:tr>
      <w:tr>
        <w:tc>
          <w:tcPr>
            <w:tcW w:type="dxa" w:w="3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و — استبيان/مقابلات العملاء</w:t>
            </w:r>
          </w:p>
        </w:tc>
        <w:tc>
          <w:tcPr>
            <w:tcW w:type="dxa" w:w="4026"/>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يُنفّذ ميدانياً قبل الجولة</w:t>
            </w:r>
          </w:p>
        </w:tc>
        <w:tc>
          <w:tcPr>
            <w:tcW w:type="dxa" w:w="2000"/>
            <w:tcBorders>
              <w:top w:val="single" w:color="B4C4BC" w:sz="1"/>
              <w:left w:val="single" w:color="B4C4BC" w:sz="1"/>
              <w:bottom w:val="single" w:color="B4C4BC" w:sz="1"/>
              <w:right w:val="single" w:color="B4C4BC" w:sz="1"/>
            </w:tcBorders>
            <w:shd w:fill="FFFFFF" w:val="clear"/>
            <w:tcMar>
              <w:top w:type="dxa" w:w="60"/>
              <w:left w:type="dxa" w:w="90"/>
              <w:bottom w:type="dxa" w:w="60"/>
              <w:right w:type="dxa" w:w="90"/>
            </w:tcMar>
          </w:tcPr>
          <w:p>
            <w:pPr>
              <w:bidi/>
              <w:jc w:val="start"/>
            </w:pPr>
            <w:r>
              <w:rPr>
                <w:rFonts w:ascii="Arial" w:cs="Arial" w:eastAsia="Arial" w:hAnsi="Arial"/>
                <w:b w:val="function bold() { [native code] }"/>
                <w:bCs w:val="function bold() { [native code] }"/>
                <w:color w:val="111111"/>
                <w:sz w:val="18"/>
                <w:szCs w:val="18"/>
                <w:rtl/>
              </w:rPr>
              <w:t xml:space="preserve">مقترح</w:t>
            </w:r>
          </w:p>
        </w:tc>
      </w:tr>
    </w:tbl>
    <w:p>
      <w:pPr>
        <w:spacing w:after="10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4"/>
              <w:left w:val="single" w:color="B8860B" w:sz="4"/>
              <w:bottom w:val="single" w:color="B8860B" w:sz="4"/>
              <w:right w:val="single" w:color="B8860B" w:sz="4"/>
            </w:tcBorders>
            <w:shd w:fill="FFF6E5" w:val="clear"/>
            <w:tcMar>
              <w:top w:type="dxa" w:w="110"/>
              <w:left w:type="dxa" w:w="150"/>
              <w:bottom w:type="dxa" w:w="110"/>
              <w:right w:type="dxa" w:w="150"/>
            </w:tcMar>
          </w:tcPr>
          <w:p>
            <w:pPr>
              <w:bidi/>
              <w:spacing w:after="70"/>
            </w:pPr>
            <w:r>
              <w:rPr>
                <w:rFonts w:ascii="Arial" w:cs="Arial" w:eastAsia="Arial" w:hAnsi="Arial"/>
                <w:b/>
                <w:bCs/>
                <w:color w:val="0E2254"/>
                <w:sz w:val="22"/>
                <w:szCs w:val="22"/>
                <w:rtl/>
              </w:rPr>
              <w:t xml:space="preserve">تنويه</w:t>
            </w:r>
          </w:p>
          <w:p>
            <w:pPr>
              <w:bidi/>
              <w:spacing w:after="50" w:line="280"/>
            </w:pPr>
            <w:r>
              <w:rPr>
                <w:rFonts w:ascii="Arial" w:cs="Arial" w:eastAsia="Arial" w:hAnsi="Arial"/>
                <w:sz w:val="19"/>
                <w:szCs w:val="19"/>
                <w:rtl/>
              </w:rPr>
              <w:t xml:space="preserve">هذه الدراسة للتقييم الاستثماري. الأرقام المالية والسوقية تقديرية بفرضيات معلنة ومصادر منشورة، ولا تُعدّ ضماناً للنتائج. يوصى باستكمالها ببحث سوق ميداني (استبيانات/مقابلات)، وتحديث المصادر بتقارير مرخّصة، ومراجعة قانونية ومحاسبية معتمدة قبل قرار الاستثمار.</w:t>
            </w:r>
          </w:p>
        </w:tc>
      </w:tr>
    </w:tbl>
    <w:p>
      <w:r>
        <w:br w:type="page"/>
      </w:r>
    </w:p>
    <w:p>
      <w:pPr>
        <w:pStyle w:val="Heading1"/>
        <w:bidi/>
        <w:jc w:val="start"/>
      </w:pPr>
      <w:r>
        <w:rPr>
          <w:rFonts w:ascii="Arial" w:cs="Arial" w:eastAsia="Arial" w:hAnsi="Arial"/>
          <w:b/>
          <w:bCs/>
          <w:color w:val="0E2254"/>
          <w:sz w:val="32"/>
          <w:szCs w:val="32"/>
          <w:rtl/>
        </w:rPr>
        <w:t xml:space="preserve">15. المصادر والمراجع</w:t>
      </w:r>
    </w:p>
    <w:p>
      <w:pPr>
        <w:pStyle w:val="ListParagraph"/>
        <w:numPr>
          <w:ilvl w:val="0"/>
          <w:numId w:val="2"/>
        </w:numPr>
        <w:bidi/>
        <w:spacing w:after="70" w:line="290"/>
      </w:pPr>
      <w:r>
        <w:rPr>
          <w:rFonts w:ascii="Arial" w:cs="Arial" w:eastAsia="Arial" w:hAnsi="Arial"/>
          <w:rtl/>
        </w:rPr>
        <w:t xml:space="preserve">DataReportal — Digital 2024: Saudi Arabia (We Are Social &amp; Meltwater).</w:t>
      </w:r>
    </w:p>
    <w:p>
      <w:pPr>
        <w:pStyle w:val="ListParagraph"/>
        <w:numPr>
          <w:ilvl w:val="0"/>
          <w:numId w:val="2"/>
        </w:numPr>
        <w:bidi/>
        <w:spacing w:after="70" w:line="290"/>
      </w:pPr>
      <w:r>
        <w:rPr>
          <w:rFonts w:ascii="Arial" w:cs="Arial" w:eastAsia="Arial" w:hAnsi="Arial"/>
          <w:rtl/>
        </w:rPr>
        <w:t xml:space="preserve">Statista — Digital Advertising / Influencer Advertising, Saudi Arabia, Market Outlook.</w:t>
      </w:r>
    </w:p>
    <w:p>
      <w:pPr>
        <w:pStyle w:val="ListParagraph"/>
        <w:numPr>
          <w:ilvl w:val="0"/>
          <w:numId w:val="2"/>
        </w:numPr>
        <w:bidi/>
        <w:spacing w:after="70" w:line="290"/>
      </w:pPr>
      <w:r>
        <w:rPr>
          <w:rFonts w:ascii="Arial" w:cs="Arial" w:eastAsia="Arial" w:hAnsi="Arial"/>
          <w:rtl/>
        </w:rPr>
        <w:t xml:space="preserve">Influencer Marketing Hub — Benchmark Report 2024.</w:t>
      </w:r>
    </w:p>
    <w:p>
      <w:pPr>
        <w:pStyle w:val="ListParagraph"/>
        <w:numPr>
          <w:ilvl w:val="0"/>
          <w:numId w:val="2"/>
        </w:numPr>
        <w:bidi/>
        <w:spacing w:after="70" w:line="290"/>
      </w:pPr>
      <w:r>
        <w:rPr>
          <w:rFonts w:ascii="Arial" w:cs="Arial" w:eastAsia="Arial" w:hAnsi="Arial"/>
          <w:rtl/>
        </w:rPr>
        <w:t xml:space="preserve">الهيئة العامة للإحصاء (GASTAT) — بيانات السكان.</w:t>
      </w:r>
    </w:p>
    <w:p>
      <w:pPr>
        <w:pStyle w:val="ListParagraph"/>
        <w:numPr>
          <w:ilvl w:val="0"/>
          <w:numId w:val="2"/>
        </w:numPr>
        <w:bidi/>
        <w:spacing w:after="70" w:line="290"/>
      </w:pPr>
      <w:r>
        <w:rPr>
          <w:rFonts w:ascii="Arial" w:cs="Arial" w:eastAsia="Arial" w:hAnsi="Arial"/>
          <w:rtl/>
        </w:rPr>
        <w:t xml:space="preserve">هيئة الاتصالات والفضاء والتقنية (CITC) — تقارير القطاع.</w:t>
      </w:r>
    </w:p>
    <w:p>
      <w:pPr>
        <w:pStyle w:val="ListParagraph"/>
        <w:numPr>
          <w:ilvl w:val="0"/>
          <w:numId w:val="2"/>
        </w:numPr>
        <w:bidi/>
        <w:spacing w:after="70" w:line="290"/>
      </w:pPr>
      <w:r>
        <w:rPr>
          <w:rFonts w:ascii="Arial" w:cs="Arial" w:eastAsia="Arial" w:hAnsi="Arial"/>
          <w:rtl/>
        </w:rPr>
        <w:t xml:space="preserve">الهيئة العامة لتنظيم الإعلام (GAMR) — أنظمة الإعلانات وتوثيق المعلنين.</w:t>
      </w:r>
    </w:p>
    <w:p>
      <w:pPr>
        <w:pStyle w:val="ListParagraph"/>
        <w:numPr>
          <w:ilvl w:val="0"/>
          <w:numId w:val="2"/>
        </w:numPr>
        <w:bidi/>
        <w:spacing w:after="70" w:line="290"/>
      </w:pPr>
      <w:r>
        <w:rPr>
          <w:rFonts w:ascii="Arial" w:cs="Arial" w:eastAsia="Arial" w:hAnsi="Arial"/>
          <w:rtl/>
        </w:rPr>
        <w:t xml:space="preserve">البنك المركزي السعودي (SAMA) — أنظمة خدمات المدفوعات.</w:t>
      </w:r>
    </w:p>
    <w:p>
      <w:pPr>
        <w:pStyle w:val="ListParagraph"/>
        <w:numPr>
          <w:ilvl w:val="0"/>
          <w:numId w:val="2"/>
        </w:numPr>
        <w:bidi/>
        <w:spacing w:after="70" w:line="290"/>
      </w:pPr>
      <w:r>
        <w:rPr>
          <w:rFonts w:ascii="Arial" w:cs="Arial" w:eastAsia="Arial" w:hAnsi="Arial"/>
          <w:rtl/>
        </w:rPr>
        <w:t xml:space="preserve">الهيئة العامة للمنشآت الصغيرة والمتوسطة (منشآت) — إحصاءات المنشآت.</w:t>
      </w:r>
    </w:p>
    <w:p>
      <w:pPr>
        <w:bidi/>
        <w:spacing w:after="120" w:line="300"/>
        <w:jc w:val="start"/>
      </w:pPr>
      <w:r>
        <w:rPr>
          <w:rFonts w:ascii="Arial" w:cs="Arial" w:eastAsia="Arial" w:hAnsi="Arial"/>
          <w:color w:val="888888"/>
          <w:sz w:val="18"/>
          <w:szCs w:val="18"/>
          <w:rtl/>
        </w:rPr>
        <w:t xml:space="preserve">ملاحظة: روابط وأرقام محدّثة يجب إدراجها من التقارير الأصلية المرخّصة في النسخة النهائية.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5"/>
        <w:szCs w:val="15"/>
        <w:rtl/>
      </w:rPr>
      <w:t xml:space="preserve">صفحة </w:t>
    </w:r>
    <w:r>
      <w:rPr>
        <w:rFonts w:ascii="Arial" w:cs="Arial" w:eastAsia="Arial" w:hAnsi="Arial"/>
        <w:sz w:val="15"/>
        <w:szCs w:val="15"/>
      </w:rPr>
      <w:fldChar w:fldCharType="begin"/>
      <w:instrText xml:space="preserve">PAGE</w:instrText>
      <w:fldChar w:fldCharType="separate"/>
      <w:fldChar w:fldCharType="end"/>
    </w:r>
    <w:r>
      <w:rPr>
        <w:rFonts w:ascii="Arial" w:cs="Arial" w:eastAsia="Arial" w:hAnsi="Arial"/>
        <w:color w:val="AAAAAA"/>
        <w:sz w:val="13"/>
        <w:szCs w:val="13"/>
        <w:rtl/>
      </w:rPr>
      <w:t xml:space="preserve">  —  سرّي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0E2254"/>
        <w:sz w:val="18"/>
        <w:szCs w:val="18"/>
      </w:rPr>
      <w:t xml:space="preserve">WIN</w:t>
    </w:r>
    <w:r>
      <w:rPr>
        <w:rFonts w:ascii="Arial" w:cs="Arial" w:eastAsia="Arial" w:hAnsi="Arial"/>
        <w:b/>
        <w:bCs/>
        <w:color w:val="1B8A4A"/>
        <w:sz w:val="20"/>
        <w:szCs w:val="20"/>
        <w:rtl/>
      </w:rPr>
      <w:t xml:space="preserve">و</w:t>
    </w:r>
    <w:r>
      <w:rPr>
        <w:rFonts w:ascii="Arial" w:cs="Arial" w:eastAsia="Arial" w:hAnsi="Arial"/>
        <w:b/>
        <w:bCs/>
        <w:color w:val="0E2254"/>
        <w:sz w:val="18"/>
        <w:szCs w:val="18"/>
      </w:rPr>
      <w:t xml:space="preserve">WIN</w:t>
    </w:r>
    <w:r>
      <w:rPr>
        <w:rFonts w:ascii="Arial" w:cs="Arial" w:eastAsia="Arial" w:hAnsi="Arial"/>
        <w:color w:val="888888"/>
        <w:sz w:val="15"/>
        <w:szCs w:val="15"/>
        <w:rtl/>
      </w:rPr>
      <w:t xml:space="preserve">  —  دراسة الجدوى (إصدار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40"/>
      <w:outlineLvl w:val="0"/>
    </w:pPr>
    <w:rPr>
      <w:rFonts w:ascii="Arial" w:cs="Arial" w:eastAsia="Arial" w:hAnsi="Arial"/>
      <w:b/>
      <w:bCs/>
      <w:color w:val="0E2254"/>
      <w:sz w:val="32"/>
      <w:szCs w:val="32"/>
    </w:rPr>
  </w:style>
  <w:style w:type="paragraph" w:styleId="Heading2">
    <w:name w:val="Heading 2"/>
    <w:basedOn w:val="Normal"/>
    <w:next w:val="Normal"/>
    <w:qFormat/>
    <w:pPr>
      <w:spacing w:after="110" w:before="170"/>
      <w:outlineLvl w:val="1"/>
    </w:pPr>
    <w:rPr>
      <w:rFonts w:ascii="Arial" w:cs="Arial" w:eastAsia="Arial" w:hAnsi="Arial"/>
      <w:b/>
      <w:bCs/>
      <w:color w:val="1B8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2026-07-13T03:48:02.715Z</dcterms:created>
  <dcterms:modified xsi:type="dcterms:W3CDTF">2026-07-13T03:48:02.718Z</dcterms:modified>
</cp:coreProperties>
</file>

<file path=docProps/custom.xml><?xml version="1.0" encoding="utf-8"?>
<Properties xmlns="http://schemas.openxmlformats.org/officeDocument/2006/custom-properties" xmlns:vt="http://schemas.openxmlformats.org/officeDocument/2006/docPropsVTypes"/>
</file>