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Arial" w:cs="Arial" w:eastAsia="Arial" w:hAnsi="Arial"/>
          <w:b/>
          <w:bCs/>
          <w:color w:val="0E2254"/>
          <w:sz w:val="76"/>
          <w:szCs w:val="76"/>
        </w:rPr>
        <w:t xml:space="preserve">WIN</w:t>
      </w:r>
      <w:r>
        <w:rPr>
          <w:rFonts w:ascii="Arial" w:cs="Arial" w:eastAsia="Arial" w:hAnsi="Arial"/>
          <w:b/>
          <w:bCs/>
          <w:color w:val="1B8A4A"/>
          <w:sz w:val="80"/>
          <w:szCs w:val="80"/>
          <w:rtl/>
        </w:rPr>
        <w:t xml:space="preserve">و</w:t>
      </w:r>
      <w:r>
        <w:rPr>
          <w:rFonts w:ascii="Arial" w:cs="Arial" w:eastAsia="Arial" w:hAnsi="Arial"/>
          <w:b/>
          <w:bCs/>
          <w:color w:val="0E2254"/>
          <w:sz w:val="76"/>
          <w:szCs w:val="76"/>
        </w:rPr>
        <w:t xml:space="preserve">WIN</w:t>
      </w:r>
    </w:p>
    <w:p>
      <w:pPr>
        <w:bidi/>
        <w:spacing w:after="160"/>
        <w:jc w:val="center"/>
      </w:pPr>
      <w:r>
        <w:rPr>
          <w:rFonts w:ascii="Arial" w:cs="Arial" w:eastAsia="Arial" w:hAnsi="Arial"/>
          <w:b/>
          <w:bCs/>
          <w:color w:val="0E2254"/>
          <w:sz w:val="44"/>
          <w:szCs w:val="44"/>
          <w:rtl/>
        </w:rPr>
        <w:t xml:space="preserve">دراسة الجدوى الاقتصادية</w:t>
      </w:r>
    </w:p>
    <w:p>
      <w:pPr>
        <w:bidi/>
        <w:spacing w:after="120"/>
        <w:jc w:val="center"/>
      </w:pPr>
      <w:r>
        <w:rPr>
          <w:rFonts w:ascii="Arial" w:cs="Arial" w:eastAsia="Arial" w:hAnsi="Arial"/>
          <w:b/>
          <w:bCs/>
          <w:color w:val="1B8A4A"/>
          <w:sz w:val="24"/>
          <w:szCs w:val="24"/>
          <w:rtl/>
        </w:rPr>
        <w:t xml:space="preserve">منصة التسويق بالأداء عبر السوشيال ميديا — المملكة العربية السعودية</w:t>
      </w:r>
    </w:p>
    <w:p>
      <w:pPr>
        <w:bidi/>
        <w:jc w:val="center"/>
      </w:pPr>
      <w:r>
        <w:rPr>
          <w:rFonts w:ascii="Arial" w:cs="Arial" w:eastAsia="Arial" w:hAnsi="Arial"/>
          <w:color w:val="777777"/>
          <w:sz w:val="18"/>
          <w:szCs w:val="18"/>
          <w:rtl/>
        </w:rPr>
        <w:t xml:space="preserve">وثيقة سرّية — لأغراض دراسة الاستثمار  ·  winwin.sa</w:t>
      </w:r>
    </w:p>
    <w:p>
      <w:r>
        <w:br w:type="page"/>
      </w:r>
    </w:p>
    <w:p>
      <w:pPr>
        <w:pStyle w:val="Heading1"/>
        <w:bidi/>
        <w:jc w:val="start"/>
      </w:pPr>
      <w:r>
        <w:rPr>
          <w:rFonts w:ascii="Arial" w:cs="Arial" w:eastAsia="Arial" w:hAnsi="Arial"/>
          <w:b/>
          <w:bCs/>
          <w:color w:val="0E2254"/>
          <w:sz w:val="32"/>
          <w:szCs w:val="32"/>
          <w:rtl/>
        </w:rPr>
        <w:t xml:space="preserve">المحتويات</w:t>
      </w:r>
    </w:p>
    <w:sdt>
      <w:sdtPr>
        <w:alias w:val="المحتويات"/>
      </w:sdtPr>
      <w:sdtContent>
        <w:p>
          <w:r>
            <w:fldChar w:fldCharType="begin" w:dirty="true"/>
            <w:instrText xml:space="preserve">TOC \h \o "1-1"</w:instrText>
            <w:fldChar w:fldCharType="separate"/>
          </w:r>
        </w:p>
        <w:p>
          <w:r>
            <w:fldChar w:fldCharType="end"/>
          </w:r>
        </w:p>
      </w:sdtContent>
    </w:sdt>
    <w:p>
      <w:pPr>
        <w:bidi/>
      </w:pPr>
      <w:r>
        <w:rPr>
          <w:rFonts w:ascii="Arial" w:cs="Arial" w:eastAsia="Arial" w:hAnsi="Arial"/>
          <w:color w:val="888888"/>
          <w:sz w:val="16"/>
          <w:szCs w:val="16"/>
          <w:rtl/>
        </w:rPr>
        <w:t xml:space="preserve">(حدّث الحقل داخل Word: اضغط بالزر الأيمن ثم "Update Field")</w:t>
      </w:r>
    </w:p>
    <w:p>
      <w:r>
        <w:br w:type="page"/>
      </w:r>
    </w:p>
    <w:p>
      <w:pPr>
        <w:pStyle w:val="Heading1"/>
        <w:bidi/>
        <w:jc w:val="start"/>
      </w:pPr>
      <w:r>
        <w:rPr>
          <w:rFonts w:ascii="Arial" w:cs="Arial" w:eastAsia="Arial" w:hAnsi="Arial"/>
          <w:b/>
          <w:bCs/>
          <w:color w:val="0E2254"/>
          <w:sz w:val="32"/>
          <w:szCs w:val="32"/>
          <w:rtl/>
        </w:rPr>
        <w:t xml:space="preserve">1. الملخص التنفيذي</w:t>
      </w:r>
    </w:p>
    <w:p>
      <w:pPr>
        <w:bidi/>
        <w:spacing w:after="120" w:line="300"/>
        <w:jc w:val="start"/>
      </w:pPr>
      <w:r>
        <w:rPr>
          <w:rFonts w:ascii="Arial" w:cs="Arial" w:eastAsia="Arial" w:hAnsi="Arial"/>
          <w:rtl/>
        </w:rPr>
        <w:t xml:space="preserve">وينوين منصة سعودية للتسويق بالأداء (Performance Marketing) تربط البراندات بمستخدمين حقيقيين ينشرون محتوى الإعلانات على حساباتهم في منصات التواصل الاجتماعي (سناب شات، تيك توك، إنستغرام، إكس). يدفع البراند فقط مقابل المنشورات الحقيقية التي يتم التحقق منها آلياً، بينما يكسب المستخدم رصيداً مالياً نظير مشاركته.</w:t>
      </w:r>
    </w:p>
    <w:p>
      <w:pPr>
        <w:bidi/>
        <w:spacing w:after="120" w:line="300"/>
        <w:jc w:val="start"/>
      </w:pPr>
      <w:r>
        <w:rPr>
          <w:rFonts w:ascii="Arial" w:cs="Arial" w:eastAsia="Arial" w:hAnsi="Arial"/>
          <w:rtl/>
        </w:rPr>
        <w:t xml:space="preserve">يعالج المشروع فجوة واضحة في السوق: الإعلان الرقمي التقليدي مكلف وغير مضمون النتائج، بينما التسويق عبر المؤثرين الكبار باهظ وصعب القياس. يقدّم وينوين نموذجاً قابلاً للقياس بالكامل، يدفع فيه المعلن مقابل النتيجة فقط، مع عمولة منصة 5٪ على الرصيد و15٪ على ميزانية جلسات البث المباشر.</w:t>
      </w:r>
    </w:p>
    <w:p>
      <w:pPr>
        <w:spacing w:after="10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8A4A" w:sz="4"/>
              <w:left w:val="single" w:color="1B8A4A" w:sz="4"/>
              <w:bottom w:val="single" w:color="1B8A4A" w:sz="4"/>
              <w:right w:val="single" w:color="1B8A4A" w:sz="4"/>
            </w:tcBorders>
            <w:shd w:fill="EEF4F1"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أبرز مؤشرات الجدوى (تقديرية)</w:t>
            </w:r>
          </w:p>
          <w:p>
            <w:pPr>
              <w:bidi/>
              <w:spacing w:after="50" w:line="280"/>
            </w:pPr>
            <w:r>
              <w:rPr>
                <w:rFonts w:ascii="Arial" w:cs="Arial" w:eastAsia="Arial" w:hAnsi="Arial"/>
                <w:sz w:val="20"/>
                <w:szCs w:val="20"/>
                <w:rtl/>
              </w:rPr>
              <w:t xml:space="preserve">• الاستثمار المطلوب: 1.2 مليون ريال (تأسيس 250 ألفاً + تمويل خسائر أول سنتين ~890 ألفاً + احتياطي ~60 ألفاً).</w:t>
            </w:r>
          </w:p>
          <w:p>
            <w:pPr>
              <w:bidi/>
              <w:spacing w:after="50" w:line="280"/>
            </w:pPr>
            <w:r>
              <w:rPr>
                <w:rFonts w:ascii="Arial" w:cs="Arial" w:eastAsia="Arial" w:hAnsi="Arial"/>
                <w:sz w:val="20"/>
                <w:szCs w:val="20"/>
                <w:rtl/>
              </w:rPr>
              <w:t xml:space="preserve">• الوصول لنقطة التعادل التشغيلي: أوائل السنة الثالثة.</w:t>
            </w:r>
          </w:p>
          <w:p>
            <w:pPr>
              <w:bidi/>
              <w:spacing w:after="50" w:line="280"/>
            </w:pPr>
            <w:r>
              <w:rPr>
                <w:rFonts w:ascii="Arial" w:cs="Arial" w:eastAsia="Arial" w:hAnsi="Arial"/>
                <w:sz w:val="20"/>
                <w:szCs w:val="20"/>
                <w:rtl/>
              </w:rPr>
              <w:t xml:space="preserve">• صافي ربح متوقع في السنة الثالثة: ~0.8 مليون ريال، بهامش صافٍ ~22٪ من الإيراد.</w:t>
            </w:r>
          </w:p>
          <w:p>
            <w:pPr>
              <w:bidi/>
              <w:spacing w:after="50" w:line="280"/>
            </w:pPr>
            <w:r>
              <w:rPr>
                <w:rFonts w:ascii="Arial" w:cs="Arial" w:eastAsia="Arial" w:hAnsi="Arial"/>
                <w:sz w:val="20"/>
                <w:szCs w:val="20"/>
                <w:rtl/>
              </w:rPr>
              <w:t xml:space="preserve">• فترة استرداد رأس المال: ~3.2 سنة | معدل العائد الداخلي (IRR): ~40٪ (سيناريو أساسي).</w:t>
            </w:r>
          </w:p>
        </w:tc>
      </w:tr>
    </w:tbl>
    <w:p>
      <w:pPr>
        <w:spacing w:after="100"/>
      </w:pPr>
    </w:p>
    <w:p>
      <w:pPr>
        <w:bidi/>
        <w:spacing w:after="120" w:line="300"/>
        <w:jc w:val="start"/>
      </w:pPr>
      <w:r>
        <w:rPr>
          <w:rFonts w:ascii="Arial" w:cs="Arial" w:eastAsia="Arial" w:hAnsi="Arial"/>
          <w:rtl/>
        </w:rPr>
        <w:t xml:space="preserve">يمتلك المشروع ميزة تنفيذية مهمة: المنتج (تطبيق مستخدم + لوحة تحكم براند + خادم خلفي) مبنيّ ومنشور فعلياً وجاهز تقنياً للإطلاق، ما يقلّل مخاطر التطوير ويسرّع الوصول للسوق.</w:t>
      </w:r>
    </w:p>
    <w:p>
      <w:r>
        <w:br w:type="page"/>
      </w:r>
    </w:p>
    <w:p>
      <w:pPr>
        <w:pStyle w:val="Heading1"/>
        <w:bidi/>
        <w:jc w:val="start"/>
      </w:pPr>
      <w:r>
        <w:rPr>
          <w:rFonts w:ascii="Arial" w:cs="Arial" w:eastAsia="Arial" w:hAnsi="Arial"/>
          <w:b/>
          <w:bCs/>
          <w:color w:val="0E2254"/>
          <w:sz w:val="32"/>
          <w:szCs w:val="32"/>
          <w:rtl/>
        </w:rPr>
        <w:t xml:space="preserve">2. وصف المشروع</w:t>
      </w:r>
    </w:p>
    <w:p>
      <w:pPr>
        <w:pStyle w:val="Heading2"/>
        <w:bidi/>
        <w:jc w:val="start"/>
      </w:pPr>
      <w:r>
        <w:rPr>
          <w:rFonts w:ascii="Arial" w:cs="Arial" w:eastAsia="Arial" w:hAnsi="Arial"/>
          <w:b/>
          <w:bCs/>
          <w:color w:val="1B8A4A"/>
          <w:sz w:val="26"/>
          <w:szCs w:val="26"/>
          <w:rtl/>
        </w:rPr>
        <w:t xml:space="preserve">2.1 الفكرة</w:t>
      </w:r>
    </w:p>
    <w:p>
      <w:pPr>
        <w:bidi/>
        <w:spacing w:after="120" w:line="300"/>
        <w:jc w:val="start"/>
      </w:pPr>
      <w:r>
        <w:rPr>
          <w:rFonts w:ascii="Arial" w:cs="Arial" w:eastAsia="Arial" w:hAnsi="Arial"/>
          <w:rtl/>
        </w:rPr>
        <w:t xml:space="preserve">منصة رقمية ذات ثلاثة أطراف: (1) البراندات التي تنشئ حملات، (2) المستخدمون الذين ينشرونها ويكسبون، (3) المنصة التي تدير العملية وتتحقق منها وتأخذ عمولة.</w:t>
      </w:r>
    </w:p>
    <w:p>
      <w:pPr>
        <w:pStyle w:val="Heading2"/>
        <w:bidi/>
        <w:jc w:val="start"/>
      </w:pPr>
      <w:r>
        <w:rPr>
          <w:rFonts w:ascii="Arial" w:cs="Arial" w:eastAsia="Arial" w:hAnsi="Arial"/>
          <w:b/>
          <w:bCs/>
          <w:color w:val="1B8A4A"/>
          <w:sz w:val="26"/>
          <w:szCs w:val="26"/>
          <w:rtl/>
        </w:rPr>
        <w:t xml:space="preserve">2.2 الرؤية والرسالة</w:t>
      </w:r>
    </w:p>
    <w:p>
      <w:pPr>
        <w:bidi/>
        <w:spacing w:after="120" w:line="300"/>
        <w:jc w:val="start"/>
      </w:pPr>
      <w:r>
        <w:rPr>
          <w:rFonts w:ascii="Arial" w:cs="Arial" w:eastAsia="Arial" w:hAnsi="Arial"/>
          <w:b/>
          <w:bCs/>
          <w:rtl/>
        </w:rPr>
        <w:t xml:space="preserve">الرؤية: </w:t>
      </w:r>
      <w:r>
        <w:rPr>
          <w:rFonts w:ascii="Arial" w:cs="Arial" w:eastAsia="Arial" w:hAnsi="Arial"/>
          <w:rtl/>
        </w:rPr>
        <w:t xml:space="preserve">أن تصبح المنصة الأولى للتسويق بالأداء عبر الأفراد في الخليج.</w:t>
      </w:r>
    </w:p>
    <w:p>
      <w:pPr>
        <w:bidi/>
        <w:spacing w:after="120" w:line="300"/>
        <w:jc w:val="start"/>
      </w:pPr>
      <w:r>
        <w:rPr>
          <w:rFonts w:ascii="Arial" w:cs="Arial" w:eastAsia="Arial" w:hAnsi="Arial"/>
          <w:b/>
          <w:bCs/>
          <w:rtl/>
        </w:rPr>
        <w:t xml:space="preserve">الرسالة: </w:t>
      </w:r>
      <w:r>
        <w:rPr>
          <w:rFonts w:ascii="Arial" w:cs="Arial" w:eastAsia="Arial" w:hAnsi="Arial"/>
          <w:rtl/>
        </w:rPr>
        <w:t xml:space="preserve">تمكين كل صاحب حساب من تحويل تفاعله إلى دخل، وتمكين كل براند من إعلان مقيس يدفع مقابل النتيجة فقط.</w:t>
      </w:r>
    </w:p>
    <w:p>
      <w:pPr>
        <w:pStyle w:val="Heading2"/>
        <w:bidi/>
        <w:jc w:val="start"/>
      </w:pPr>
      <w:r>
        <w:rPr>
          <w:rFonts w:ascii="Arial" w:cs="Arial" w:eastAsia="Arial" w:hAnsi="Arial"/>
          <w:b/>
          <w:bCs/>
          <w:color w:val="1B8A4A"/>
          <w:sz w:val="26"/>
          <w:szCs w:val="26"/>
          <w:rtl/>
        </w:rPr>
        <w:t xml:space="preserve">2.3 الأهداف</w:t>
      </w:r>
    </w:p>
    <w:p>
      <w:pPr>
        <w:pStyle w:val="ListParagraph"/>
        <w:numPr>
          <w:ilvl w:val="0"/>
          <w:numId w:val="2"/>
        </w:numPr>
        <w:bidi/>
        <w:spacing w:after="70" w:line="290"/>
      </w:pPr>
      <w:r>
        <w:rPr>
          <w:rFonts w:ascii="Arial" w:cs="Arial" w:eastAsia="Arial" w:hAnsi="Arial"/>
          <w:rtl/>
        </w:rPr>
        <w:t xml:space="preserve">إطلاق تجاري في السوق السعودي خلال الربع الأول.</w:t>
      </w:r>
    </w:p>
    <w:p>
      <w:pPr>
        <w:pStyle w:val="ListParagraph"/>
        <w:numPr>
          <w:ilvl w:val="0"/>
          <w:numId w:val="2"/>
        </w:numPr>
        <w:bidi/>
        <w:spacing w:after="70" w:line="290"/>
      </w:pPr>
      <w:r>
        <w:rPr>
          <w:rFonts w:ascii="Arial" w:cs="Arial" w:eastAsia="Arial" w:hAnsi="Arial"/>
          <w:rtl/>
        </w:rPr>
        <w:t xml:space="preserve">الوصول إلى 20,000 مستخدم نشط و50 براند في السنة الأولى.</w:t>
      </w:r>
    </w:p>
    <w:p>
      <w:pPr>
        <w:pStyle w:val="ListParagraph"/>
        <w:numPr>
          <w:ilvl w:val="0"/>
          <w:numId w:val="2"/>
        </w:numPr>
        <w:bidi/>
        <w:spacing w:after="70" w:line="290"/>
      </w:pPr>
      <w:r>
        <w:rPr>
          <w:rFonts w:ascii="Arial" w:cs="Arial" w:eastAsia="Arial" w:hAnsi="Arial"/>
          <w:rtl/>
        </w:rPr>
        <w:t xml:space="preserve">بناء نموذج إيراد متكرر ومستدام عبر العمولة.</w:t>
      </w:r>
    </w:p>
    <w:p>
      <w:pPr>
        <w:pStyle w:val="ListParagraph"/>
        <w:numPr>
          <w:ilvl w:val="0"/>
          <w:numId w:val="2"/>
        </w:numPr>
        <w:bidi/>
        <w:spacing w:after="70" w:line="290"/>
      </w:pPr>
      <w:r>
        <w:rPr>
          <w:rFonts w:ascii="Arial" w:cs="Arial" w:eastAsia="Arial" w:hAnsi="Arial"/>
          <w:rtl/>
        </w:rPr>
        <w:t xml:space="preserve">التوسّع لدول الخليج بحلول السنة الثالثة.</w:t>
      </w:r>
    </w:p>
    <w:p>
      <w:pPr>
        <w:pStyle w:val="Heading2"/>
        <w:bidi/>
        <w:jc w:val="start"/>
      </w:pPr>
      <w:r>
        <w:rPr>
          <w:rFonts w:ascii="Arial" w:cs="Arial" w:eastAsia="Arial" w:hAnsi="Arial"/>
          <w:b/>
          <w:bCs/>
          <w:color w:val="1B8A4A"/>
          <w:sz w:val="26"/>
          <w:szCs w:val="26"/>
          <w:rtl/>
        </w:rPr>
        <w:t xml:space="preserve">2.4 نموذج القيمة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الطرف</w:t>
            </w:r>
          </w:p>
        </w:tc>
        <w:tc>
          <w:tcPr>
            <w:tcW w:type="dxa" w:w="3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ما يقدّمه</w:t>
            </w:r>
          </w:p>
        </w:tc>
        <w:tc>
          <w:tcPr>
            <w:tcW w:type="dxa" w:w="36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ما يحصل عليه</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البراند</w:t>
            </w:r>
          </w:p>
        </w:tc>
        <w:tc>
          <w:tcPr>
            <w:tcW w:type="dxa" w:w="3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ميزانية حملة</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وصول حقيقي موثّق + دفع مقابل النتيجة</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المستخدم</w:t>
            </w:r>
          </w:p>
        </w:tc>
        <w:tc>
          <w:tcPr>
            <w:tcW w:type="dxa" w:w="3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النشر على حسابه</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رصيد مالي (يزيد بالمتابعين والتفاعل)</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المنصة</w:t>
            </w:r>
          </w:p>
        </w:tc>
        <w:tc>
          <w:tcPr>
            <w:tcW w:type="dxa" w:w="3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التقنية + التحقق + الإدارة</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عمولة 5٪ / 15٪</w:t>
            </w:r>
          </w:p>
        </w:tc>
      </w:tr>
    </w:tbl>
    <w:p>
      <w:r>
        <w:br w:type="page"/>
      </w:r>
    </w:p>
    <w:p>
      <w:pPr>
        <w:pStyle w:val="Heading1"/>
        <w:bidi/>
        <w:jc w:val="start"/>
      </w:pPr>
      <w:r>
        <w:rPr>
          <w:rFonts w:ascii="Arial" w:cs="Arial" w:eastAsia="Arial" w:hAnsi="Arial"/>
          <w:b/>
          <w:bCs/>
          <w:color w:val="0E2254"/>
          <w:sz w:val="32"/>
          <w:szCs w:val="32"/>
          <w:rtl/>
        </w:rPr>
        <w:t xml:space="preserve">3. دراسة السوق</w:t>
      </w:r>
    </w:p>
    <w:p>
      <w:pPr>
        <w:pStyle w:val="Heading2"/>
        <w:bidi/>
        <w:jc w:val="start"/>
      </w:pPr>
      <w:r>
        <w:rPr>
          <w:rFonts w:ascii="Arial" w:cs="Arial" w:eastAsia="Arial" w:hAnsi="Arial"/>
          <w:b/>
          <w:bCs/>
          <w:color w:val="1B8A4A"/>
          <w:sz w:val="26"/>
          <w:szCs w:val="26"/>
          <w:rtl/>
        </w:rPr>
        <w:t xml:space="preserve">3.1 حجم السوق والفرصة</w:t>
      </w:r>
    </w:p>
    <w:p>
      <w:pPr>
        <w:bidi/>
        <w:spacing w:after="120" w:line="300"/>
        <w:jc w:val="start"/>
      </w:pPr>
      <w:r>
        <w:rPr>
          <w:rFonts w:ascii="Arial" w:cs="Arial" w:eastAsia="Arial" w:hAnsi="Arial"/>
          <w:rtl/>
        </w:rPr>
        <w:t xml:space="preserve">تُعدّ المملكة من أعلى دول العالم في معدلات استخدام وسائل التواصل الاجتماعي، مع انتشار إنترنت يتجاوز 90٪ وأكثر من 26 مليون مستخدم نشط للسوشيال ميديا، ومعدلات استخدام لسناب شات وتيك توك من الأعلى عالمياً. يوازي ذلك نموّاً متسارعاً في الإنفاق على الإعلان الرقمي وتسويق المؤثرين. (يوصى بتوثيق هذه الأرقام من مصادر رسمية محدّثة — GASTAT / تقارير القطاع — قبل جولة الاستثمار).</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2254" w:sz="4"/>
              <w:left w:val="single" w:color="0E2254" w:sz="4"/>
              <w:bottom w:val="single" w:color="0E2254" w:sz="4"/>
              <w:right w:val="single" w:color="0E2254" w:sz="4"/>
            </w:tcBorders>
            <w:shd w:fill="EEF4F1"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تقدير السوق (منهجية TAM / SAM / SOM)</w:t>
            </w:r>
          </w:p>
          <w:p>
            <w:pPr>
              <w:bidi/>
              <w:spacing w:after="50" w:line="280"/>
            </w:pPr>
            <w:r>
              <w:rPr>
                <w:rFonts w:ascii="Arial" w:cs="Arial" w:eastAsia="Arial" w:hAnsi="Arial"/>
                <w:sz w:val="20"/>
                <w:szCs w:val="20"/>
                <w:rtl/>
              </w:rPr>
              <w:t xml:space="preserve">• السوق الكلي (TAM): إجمالي الإنفاق على الإعلان الرقمي وتسويق المؤثرين في السعودية (مليارات الريالات سنوياً).</w:t>
            </w:r>
          </w:p>
          <w:p>
            <w:pPr>
              <w:bidi/>
              <w:spacing w:after="50" w:line="280"/>
            </w:pPr>
            <w:r>
              <w:rPr>
                <w:rFonts w:ascii="Arial" w:cs="Arial" w:eastAsia="Arial" w:hAnsi="Arial"/>
                <w:sz w:val="20"/>
                <w:szCs w:val="20"/>
                <w:rtl/>
              </w:rPr>
              <w:t xml:space="preserve">• السوق المتاح (SAM): شريحة الإعلان القائم على الأداء والمؤثرين الصغار/المتوسطين.</w:t>
            </w:r>
          </w:p>
          <w:p>
            <w:pPr>
              <w:bidi/>
              <w:spacing w:after="50" w:line="280"/>
            </w:pPr>
            <w:r>
              <w:rPr>
                <w:rFonts w:ascii="Arial" w:cs="Arial" w:eastAsia="Arial" w:hAnsi="Arial"/>
                <w:sz w:val="20"/>
                <w:szCs w:val="20"/>
                <w:rtl/>
              </w:rPr>
              <w:t xml:space="preserve">• السوق المستهدف (SOM): حصة واقعية للمنصة في أول 3 سنوات — تُقاس بإجمالي قيمة المنشورات (GMV) الممرّرة عبر المنصة.</w:t>
            </w:r>
          </w:p>
        </w:tc>
      </w:tr>
    </w:tbl>
    <w:p>
      <w:pPr>
        <w:pStyle w:val="Heading2"/>
        <w:bidi/>
        <w:jc w:val="start"/>
      </w:pPr>
      <w:r>
        <w:rPr>
          <w:rFonts w:ascii="Arial" w:cs="Arial" w:eastAsia="Arial" w:hAnsi="Arial"/>
          <w:b/>
          <w:bCs/>
          <w:color w:val="1B8A4A"/>
          <w:sz w:val="26"/>
          <w:szCs w:val="26"/>
          <w:rtl/>
        </w:rPr>
        <w:t xml:space="preserve">3.2 الجمهور المستهدف</w:t>
      </w:r>
    </w:p>
    <w:p>
      <w:pPr>
        <w:pStyle w:val="ListParagraph"/>
        <w:numPr>
          <w:ilvl w:val="0"/>
          <w:numId w:val="2"/>
        </w:numPr>
        <w:bidi/>
        <w:spacing w:after="70" w:line="290"/>
      </w:pPr>
      <w:r>
        <w:rPr>
          <w:rFonts w:ascii="Arial" w:cs="Arial" w:eastAsia="Arial" w:hAnsi="Arial"/>
          <w:rtl/>
        </w:rPr>
        <w:t xml:space="preserve">المستخدمون: أصحاب الحسابات النشطة — المنتج يقبل الانضمام بدءاً من 100 متابع، مع تركيز تسويقي على المؤثرين الصغار والمتوسطين (1,000 إلى 500,000 متابع) الباحثين عن دخل إضافي.</w:t>
      </w:r>
    </w:p>
    <w:p>
      <w:pPr>
        <w:pStyle w:val="ListParagraph"/>
        <w:numPr>
          <w:ilvl w:val="0"/>
          <w:numId w:val="2"/>
        </w:numPr>
        <w:bidi/>
        <w:spacing w:after="70" w:line="290"/>
      </w:pPr>
      <w:r>
        <w:rPr>
          <w:rFonts w:ascii="Arial" w:cs="Arial" w:eastAsia="Arial" w:hAnsi="Arial"/>
          <w:rtl/>
        </w:rPr>
        <w:t xml:space="preserve">البراندات: المطاعم، المتاجر الإلكترونية، التطبيقات، والخدمات المحلية ذات الميزانيات المتوسطة.</w:t>
      </w:r>
    </w:p>
    <w:p>
      <w:pPr>
        <w:pStyle w:val="Heading2"/>
        <w:bidi/>
        <w:jc w:val="start"/>
      </w:pPr>
      <w:r>
        <w:rPr>
          <w:rFonts w:ascii="Arial" w:cs="Arial" w:eastAsia="Arial" w:hAnsi="Arial"/>
          <w:b/>
          <w:bCs/>
          <w:color w:val="1B8A4A"/>
          <w:sz w:val="26"/>
          <w:szCs w:val="26"/>
          <w:rtl/>
        </w:rPr>
        <w:t xml:space="preserve">3.3 تحليل المنافسين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المنافس</w:t>
            </w:r>
          </w:p>
        </w:tc>
        <w:tc>
          <w:tcPr>
            <w:tcW w:type="dxa" w:w="3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النموذج</w:t>
            </w:r>
          </w:p>
        </w:tc>
        <w:tc>
          <w:tcPr>
            <w:tcW w:type="dxa" w:w="34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ميزة وينوين التنافسية</w:t>
            </w:r>
          </w:p>
        </w:tc>
      </w:tr>
      <w:tr>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وكالات المؤثرين</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وساطة يدوية مكلفة وبطيئة</w:t>
            </w:r>
          </w:p>
        </w:tc>
        <w:tc>
          <w:tcPr>
            <w:tcW w:type="dxa" w:w="3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أتمتة كاملة + دفع بالأداء + تكلفة أقل</w:t>
            </w:r>
          </w:p>
        </w:tc>
      </w:tr>
      <w:tr>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الإعلان المدفوع (Meta/TikTok Ads)</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دفع مقابل ظهور غير مضمون التفاعل</w:t>
            </w:r>
          </w:p>
        </w:tc>
        <w:tc>
          <w:tcPr>
            <w:tcW w:type="dxa" w:w="3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محتوى من حسابات موثوقة + مصداقية أعلى</w:t>
            </w:r>
          </w:p>
        </w:tc>
      </w:tr>
      <w:tr>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منصات UGC عالمية</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غير موجّهة للسوق المحلي/العربي</w:t>
            </w:r>
          </w:p>
        </w:tc>
        <w:tc>
          <w:tcPr>
            <w:tcW w:type="dxa" w:w="3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تخصيص محلي RTL + مضاعفات لكل منصة</w:t>
            </w:r>
          </w:p>
        </w:tc>
      </w:tr>
    </w:tbl>
    <w:p>
      <w:pPr>
        <w:pStyle w:val="Heading2"/>
        <w:bidi/>
        <w:jc w:val="start"/>
      </w:pPr>
      <w:r>
        <w:rPr>
          <w:rFonts w:ascii="Arial" w:cs="Arial" w:eastAsia="Arial" w:hAnsi="Arial"/>
          <w:b/>
          <w:bCs/>
          <w:color w:val="1B8A4A"/>
          <w:sz w:val="26"/>
          <w:szCs w:val="26"/>
          <w:rtl/>
        </w:rPr>
        <w:t xml:space="preserve">3.4 عوامل الطلب</w:t>
      </w:r>
    </w:p>
    <w:p>
      <w:pPr>
        <w:bidi/>
        <w:spacing w:after="120" w:line="300"/>
        <w:jc w:val="start"/>
      </w:pPr>
      <w:r>
        <w:rPr>
          <w:rFonts w:ascii="Arial" w:cs="Arial" w:eastAsia="Arial" w:hAnsi="Arial"/>
          <w:rtl/>
        </w:rPr>
        <w:t xml:space="preserve">توجّه المعلنين نحو ROI قابل للقياس، وثقة المستهلك في المحتوى الشخصي أكثر من الإعلان التقليدي، وبحث شريحة واسعة من الشباب عن مصادر دخل مرنة — كلها عوامل تدعم الطلب على المنصة.</w:t>
      </w:r>
    </w:p>
    <w:p>
      <w:r>
        <w:br w:type="page"/>
      </w:r>
    </w:p>
    <w:p>
      <w:pPr>
        <w:pStyle w:val="Heading1"/>
        <w:bidi/>
        <w:jc w:val="start"/>
      </w:pPr>
      <w:r>
        <w:rPr>
          <w:rFonts w:ascii="Arial" w:cs="Arial" w:eastAsia="Arial" w:hAnsi="Arial"/>
          <w:b/>
          <w:bCs/>
          <w:color w:val="0E2254"/>
          <w:sz w:val="32"/>
          <w:szCs w:val="32"/>
          <w:rtl/>
        </w:rPr>
        <w:t xml:space="preserve">4. الدراسة الفنية</w:t>
      </w:r>
    </w:p>
    <w:p>
      <w:pPr>
        <w:bidi/>
        <w:spacing w:after="120" w:line="300"/>
        <w:jc w:val="start"/>
      </w:pPr>
      <w:r>
        <w:rPr>
          <w:rFonts w:ascii="Arial" w:cs="Arial" w:eastAsia="Arial" w:hAnsi="Arial"/>
          <w:rtl/>
        </w:rPr>
        <w:t xml:space="preserve">المنتج مبنيّ ومنشور فعلياً، ما يمثّل ميزة جوهرية بتقليل مخاطر ووقت التطوير.</w:t>
      </w:r>
    </w:p>
    <w:p>
      <w:pPr>
        <w:pStyle w:val="Heading2"/>
        <w:bidi/>
        <w:jc w:val="start"/>
      </w:pPr>
      <w:r>
        <w:rPr>
          <w:rFonts w:ascii="Arial" w:cs="Arial" w:eastAsia="Arial" w:hAnsi="Arial"/>
          <w:b/>
          <w:bCs/>
          <w:color w:val="1B8A4A"/>
          <w:sz w:val="26"/>
          <w:szCs w:val="26"/>
          <w:rtl/>
        </w:rPr>
        <w:t xml:space="preserve">4.1 مكوّنات النظام</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المكوّن</w:t>
            </w:r>
          </w:p>
        </w:tc>
        <w:tc>
          <w:tcPr>
            <w:tcW w:type="dxa" w:w="2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التقنية</w:t>
            </w:r>
          </w:p>
        </w:tc>
        <w:tc>
          <w:tcPr>
            <w:tcW w:type="dxa" w:w="42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الوظيفة</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تطبيق المستخدم</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React Native (Expo)</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التصفّح، ربط الحسابات، النشر، المحفظة</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لوحة تحكم البراند</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Next.js (ويب RTL)</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إنشاء الحملات والبث والتقارير</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الخادم الخلفي</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Node.js / Express</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المنطق، المصادقة، التحقق، العمولات</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قاعدة البيانات</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PostgreSQL</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تخزين البيانات (20+ جدول)</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الذاكرة المؤقتة/الطابور</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Redis</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رموز الدخول، طابور التحقق، الأداء</w:t>
            </w:r>
          </w:p>
        </w:tc>
      </w:tr>
    </w:tbl>
    <w:p>
      <w:pPr>
        <w:pStyle w:val="Heading2"/>
        <w:bidi/>
        <w:jc w:val="start"/>
      </w:pPr>
      <w:r>
        <w:rPr>
          <w:rFonts w:ascii="Arial" w:cs="Arial" w:eastAsia="Arial" w:hAnsi="Arial"/>
          <w:b/>
          <w:bCs/>
          <w:color w:val="1B8A4A"/>
          <w:sz w:val="26"/>
          <w:szCs w:val="26"/>
          <w:rtl/>
        </w:rPr>
        <w:t xml:space="preserve">4.2 آلية العمل التقنية</w:t>
      </w:r>
    </w:p>
    <w:p>
      <w:pPr>
        <w:pStyle w:val="ListParagraph"/>
        <w:numPr>
          <w:ilvl w:val="0"/>
          <w:numId w:val="2"/>
        </w:numPr>
        <w:bidi/>
        <w:spacing w:after="70" w:line="290"/>
      </w:pPr>
      <w:r>
        <w:rPr>
          <w:rFonts w:ascii="Arial" w:cs="Arial" w:eastAsia="Arial" w:hAnsi="Arial"/>
          <w:rtl/>
        </w:rPr>
        <w:t xml:space="preserve">مصادقة عبر رمز تحقق (OTP) لأرقام سعودية، مع أدوار (أدمن / صاحب براند / مستخدم).</w:t>
      </w:r>
    </w:p>
    <w:p>
      <w:pPr>
        <w:pStyle w:val="ListParagraph"/>
        <w:numPr>
          <w:ilvl w:val="0"/>
          <w:numId w:val="2"/>
        </w:numPr>
        <w:bidi/>
        <w:spacing w:after="70" w:line="290"/>
      </w:pPr>
      <w:r>
        <w:rPr>
          <w:rFonts w:ascii="Arial" w:cs="Arial" w:eastAsia="Arial" w:hAnsi="Arial"/>
          <w:rtl/>
        </w:rPr>
        <w:t xml:space="preserve">محرك حساب رصيد يعتمد على المتابعين، التفاعل، ومضاعف المنصة (سناب ×2 حتى إكس ×1) والوقت (المساء ×2.5، رمضان ×3).</w:t>
      </w:r>
    </w:p>
    <w:p>
      <w:pPr>
        <w:pStyle w:val="ListParagraph"/>
        <w:numPr>
          <w:ilvl w:val="0"/>
          <w:numId w:val="2"/>
        </w:numPr>
        <w:bidi/>
        <w:spacing w:after="70" w:line="290"/>
      </w:pPr>
      <w:r>
        <w:rPr>
          <w:rFonts w:ascii="Arial" w:cs="Arial" w:eastAsia="Arial" w:hAnsi="Arial"/>
          <w:rtl/>
        </w:rPr>
        <w:t xml:space="preserve">نافذة تحقق 30 دقيقة: يُحرّر الرصيد إذا بقي المنشور، وإلا يُلغى — للحد من الاحتيال.</w:t>
      </w:r>
    </w:p>
    <w:p>
      <w:pPr>
        <w:pStyle w:val="ListParagraph"/>
        <w:numPr>
          <w:ilvl w:val="0"/>
          <w:numId w:val="2"/>
        </w:numPr>
        <w:bidi/>
        <w:spacing w:after="70" w:line="290"/>
      </w:pPr>
      <w:r>
        <w:rPr>
          <w:rFonts w:ascii="Arial" w:cs="Arial" w:eastAsia="Arial" w:hAnsi="Arial"/>
          <w:rtl/>
        </w:rPr>
        <w:t xml:space="preserve">صلاحية الرصيد 90 يوماً — يحفّز الاستخدام النشط ويحسّن التدفق النقدي للمنصة.</w:t>
      </w:r>
    </w:p>
    <w:p>
      <w:pPr>
        <w:pStyle w:val="ListParagraph"/>
        <w:numPr>
          <w:ilvl w:val="0"/>
          <w:numId w:val="2"/>
        </w:numPr>
        <w:bidi/>
        <w:spacing w:after="70" w:line="290"/>
      </w:pPr>
      <w:r>
        <w:rPr>
          <w:rFonts w:ascii="Arial" w:cs="Arial" w:eastAsia="Arial" w:hAnsi="Arial"/>
          <w:rtl/>
        </w:rPr>
        <w:t xml:space="preserve">عزل صلاحيات صارم: كل براند يرى بياناته فقط، والأدمن يدير الكل.</w:t>
      </w:r>
    </w:p>
    <w:p>
      <w:pPr>
        <w:pStyle w:val="Heading2"/>
        <w:bidi/>
        <w:jc w:val="start"/>
      </w:pPr>
      <w:r>
        <w:rPr>
          <w:rFonts w:ascii="Arial" w:cs="Arial" w:eastAsia="Arial" w:hAnsi="Arial"/>
          <w:b/>
          <w:bCs/>
          <w:color w:val="1B8A4A"/>
          <w:sz w:val="26"/>
          <w:szCs w:val="26"/>
          <w:rtl/>
        </w:rPr>
        <w:t xml:space="preserve">4.3 قابلية التوسّع والأمان</w:t>
      </w:r>
    </w:p>
    <w:p>
      <w:pPr>
        <w:bidi/>
        <w:spacing w:after="120" w:line="300"/>
        <w:jc w:val="start"/>
      </w:pPr>
      <w:r>
        <w:rPr>
          <w:rFonts w:ascii="Arial" w:cs="Arial" w:eastAsia="Arial" w:hAnsi="Arial"/>
          <w:rtl/>
        </w:rPr>
        <w:t xml:space="preserve">بنية سحابية قابلة للتوسّع أفقياً، مع فصل الأدوار، تحديد معدل الطلبات (Rate Limiting)، وتشفير الاتصال (HTTPS). خطة الترقية تشمل استضافة مدفوعة عند النمو ومزوّد SMS معتمد.</w:t>
      </w:r>
    </w:p>
    <w:p>
      <w:r>
        <w:br w:type="page"/>
      </w:r>
    </w:p>
    <w:p>
      <w:pPr>
        <w:pStyle w:val="Heading1"/>
        <w:bidi/>
        <w:jc w:val="start"/>
      </w:pPr>
      <w:r>
        <w:rPr>
          <w:rFonts w:ascii="Arial" w:cs="Arial" w:eastAsia="Arial" w:hAnsi="Arial"/>
          <w:b/>
          <w:bCs/>
          <w:color w:val="0E2254"/>
          <w:sz w:val="32"/>
          <w:szCs w:val="32"/>
          <w:rtl/>
        </w:rPr>
        <w:t xml:space="preserve">5. الدراسة التشغيلية</w:t>
      </w:r>
    </w:p>
    <w:p>
      <w:pPr>
        <w:pStyle w:val="Heading2"/>
        <w:bidi/>
        <w:jc w:val="start"/>
      </w:pPr>
      <w:r>
        <w:rPr>
          <w:rFonts w:ascii="Arial" w:cs="Arial" w:eastAsia="Arial" w:hAnsi="Arial"/>
          <w:b/>
          <w:bCs/>
          <w:color w:val="1B8A4A"/>
          <w:sz w:val="26"/>
          <w:szCs w:val="26"/>
          <w:rtl/>
        </w:rPr>
        <w:t xml:space="preserve">5.1 دورة التشغيل</w:t>
      </w:r>
    </w:p>
    <w:p>
      <w:pPr>
        <w:pStyle w:val="ListParagraph"/>
        <w:numPr>
          <w:ilvl w:val="0"/>
          <w:numId w:val="2"/>
        </w:numPr>
        <w:bidi/>
        <w:spacing w:after="70" w:line="290"/>
      </w:pPr>
      <w:r>
        <w:rPr>
          <w:rFonts w:ascii="Arial" w:cs="Arial" w:eastAsia="Arial" w:hAnsi="Arial"/>
          <w:rtl/>
        </w:rPr>
        <w:t xml:space="preserve">استقطاب البراندات وتفعيل حساباتها ومراجعة حملاتها.</w:t>
      </w:r>
    </w:p>
    <w:p>
      <w:pPr>
        <w:pStyle w:val="ListParagraph"/>
        <w:numPr>
          <w:ilvl w:val="0"/>
          <w:numId w:val="2"/>
        </w:numPr>
        <w:bidi/>
        <w:spacing w:after="70" w:line="290"/>
      </w:pPr>
      <w:r>
        <w:rPr>
          <w:rFonts w:ascii="Arial" w:cs="Arial" w:eastAsia="Arial" w:hAnsi="Arial"/>
          <w:rtl/>
        </w:rPr>
        <w:t xml:space="preserve">استقطاب المستخدمين وتحقق حساباتهم الاجتماعية.</w:t>
      </w:r>
    </w:p>
    <w:p>
      <w:pPr>
        <w:pStyle w:val="ListParagraph"/>
        <w:numPr>
          <w:ilvl w:val="0"/>
          <w:numId w:val="2"/>
        </w:numPr>
        <w:bidi/>
        <w:spacing w:after="70" w:line="290"/>
      </w:pPr>
      <w:r>
        <w:rPr>
          <w:rFonts w:ascii="Arial" w:cs="Arial" w:eastAsia="Arial" w:hAnsi="Arial"/>
          <w:rtl/>
        </w:rPr>
        <w:t xml:space="preserve">مطابقة الحملات بالمستخدمين، ثم النشر والتحقق الآلي.</w:t>
      </w:r>
    </w:p>
    <w:p>
      <w:pPr>
        <w:pStyle w:val="ListParagraph"/>
        <w:numPr>
          <w:ilvl w:val="0"/>
          <w:numId w:val="2"/>
        </w:numPr>
        <w:bidi/>
        <w:spacing w:after="70" w:line="290"/>
      </w:pPr>
      <w:r>
        <w:rPr>
          <w:rFonts w:ascii="Arial" w:cs="Arial" w:eastAsia="Arial" w:hAnsi="Arial"/>
          <w:rtl/>
        </w:rPr>
        <w:t xml:space="preserve">تسوية العمولات والمدفوعات وإصدار التقارير.</w:t>
      </w:r>
    </w:p>
    <w:p>
      <w:pPr>
        <w:pStyle w:val="Heading2"/>
        <w:bidi/>
        <w:jc w:val="start"/>
      </w:pPr>
      <w:r>
        <w:rPr>
          <w:rFonts w:ascii="Arial" w:cs="Arial" w:eastAsia="Arial" w:hAnsi="Arial"/>
          <w:b/>
          <w:bCs/>
          <w:color w:val="1B8A4A"/>
          <w:sz w:val="26"/>
          <w:szCs w:val="26"/>
          <w:rtl/>
        </w:rPr>
        <w:t xml:space="preserve">5.2 الهيكل التنظيمي (المرحلة الأولى)</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الدور</w:t>
            </w:r>
          </w:p>
        </w:tc>
        <w:tc>
          <w:tcPr>
            <w:tcW w:type="dxa" w:w="6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المسؤولية</w:t>
            </w:r>
          </w:p>
        </w:tc>
      </w:tr>
      <w:tr>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مؤسس / مدير تنفيذي</w:t>
            </w:r>
          </w:p>
        </w:tc>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الاستراتيجية، الشراكات، التمويل</w:t>
            </w:r>
          </w:p>
        </w:tc>
      </w:tr>
      <w:tr>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مطوّر/فريق تقني</w:t>
            </w:r>
          </w:p>
        </w:tc>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الصيانة والتطوير المستمر</w:t>
            </w:r>
          </w:p>
        </w:tc>
      </w:tr>
      <w:tr>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مسؤول نمو وتسويق</w:t>
            </w:r>
          </w:p>
        </w:tc>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اكتساب المستخدمين والبراندات</w:t>
            </w:r>
          </w:p>
        </w:tc>
      </w:tr>
      <w:tr>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دعم وعمليات</w:t>
            </w:r>
          </w:p>
        </w:tc>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خدمة العملاء، مراجعة المحتوى، مكافحة الاحتيال</w:t>
            </w:r>
          </w:p>
        </w:tc>
      </w:tr>
    </w:tbl>
    <w:p>
      <w:pPr>
        <w:pStyle w:val="Heading2"/>
        <w:bidi/>
        <w:jc w:val="start"/>
      </w:pPr>
      <w:r>
        <w:rPr>
          <w:rFonts w:ascii="Arial" w:cs="Arial" w:eastAsia="Arial" w:hAnsi="Arial"/>
          <w:b/>
          <w:bCs/>
          <w:color w:val="1B8A4A"/>
          <w:sz w:val="26"/>
          <w:szCs w:val="26"/>
          <w:rtl/>
        </w:rPr>
        <w:t xml:space="preserve">5.3 مؤشرات التشغيل الرئيسية (KPIs)</w:t>
      </w:r>
    </w:p>
    <w:p>
      <w:pPr>
        <w:pStyle w:val="ListParagraph"/>
        <w:numPr>
          <w:ilvl w:val="0"/>
          <w:numId w:val="2"/>
        </w:numPr>
        <w:bidi/>
        <w:spacing w:after="70" w:line="290"/>
      </w:pPr>
      <w:r>
        <w:rPr>
          <w:rFonts w:ascii="Arial" w:cs="Arial" w:eastAsia="Arial" w:hAnsi="Arial"/>
          <w:rtl/>
        </w:rPr>
        <w:t xml:space="preserve">عدد المستخدمين النشطين شهرياً (MAU) وعدد البراندات الفعّالة.</w:t>
      </w:r>
    </w:p>
    <w:p>
      <w:pPr>
        <w:pStyle w:val="ListParagraph"/>
        <w:numPr>
          <w:ilvl w:val="0"/>
          <w:numId w:val="2"/>
        </w:numPr>
        <w:bidi/>
        <w:spacing w:after="70" w:line="290"/>
      </w:pPr>
      <w:r>
        <w:rPr>
          <w:rFonts w:ascii="Arial" w:cs="Arial" w:eastAsia="Arial" w:hAnsi="Arial"/>
          <w:rtl/>
        </w:rPr>
        <w:t xml:space="preserve">إجمالي قيمة المنشورات الممرّرة (GMV) ونسبة العمولة الفعلية (Take Rate).</w:t>
      </w:r>
    </w:p>
    <w:p>
      <w:pPr>
        <w:pStyle w:val="ListParagraph"/>
        <w:numPr>
          <w:ilvl w:val="0"/>
          <w:numId w:val="2"/>
        </w:numPr>
        <w:bidi/>
        <w:spacing w:after="70" w:line="290"/>
      </w:pPr>
      <w:r>
        <w:rPr>
          <w:rFonts w:ascii="Arial" w:cs="Arial" w:eastAsia="Arial" w:hAnsi="Arial"/>
          <w:rtl/>
        </w:rPr>
        <w:t xml:space="preserve">تكلفة اكتساب المستخدم (CAC) والقيمة الدائمة (LTV).</w:t>
      </w:r>
    </w:p>
    <w:p>
      <w:pPr>
        <w:pStyle w:val="ListParagraph"/>
        <w:numPr>
          <w:ilvl w:val="0"/>
          <w:numId w:val="2"/>
        </w:numPr>
        <w:bidi/>
        <w:spacing w:after="70" w:line="290"/>
      </w:pPr>
      <w:r>
        <w:rPr>
          <w:rFonts w:ascii="Arial" w:cs="Arial" w:eastAsia="Arial" w:hAnsi="Arial"/>
          <w:rtl/>
        </w:rPr>
        <w:t xml:space="preserve">نسبة المنشورات المرفوضة/المحتالة (مؤشر جودة).</w:t>
      </w:r>
    </w:p>
    <w:p>
      <w:r>
        <w:br w:type="page"/>
      </w:r>
    </w:p>
    <w:p>
      <w:pPr>
        <w:pStyle w:val="Heading1"/>
        <w:bidi/>
        <w:jc w:val="start"/>
      </w:pPr>
      <w:r>
        <w:rPr>
          <w:rFonts w:ascii="Arial" w:cs="Arial" w:eastAsia="Arial" w:hAnsi="Arial"/>
          <w:b/>
          <w:bCs/>
          <w:color w:val="0E2254"/>
          <w:sz w:val="32"/>
          <w:szCs w:val="32"/>
          <w:rtl/>
        </w:rPr>
        <w:t xml:space="preserve">6. الخطة التسويقية</w:t>
      </w:r>
    </w:p>
    <w:p>
      <w:pPr>
        <w:bidi/>
        <w:spacing w:after="120" w:line="300"/>
        <w:jc w:val="start"/>
      </w:pPr>
      <w:r>
        <w:rPr>
          <w:rFonts w:ascii="Arial" w:cs="Arial" w:eastAsia="Arial" w:hAnsi="Arial"/>
          <w:rtl/>
        </w:rPr>
        <w:t xml:space="preserve">تعتمد الخطة على استراتيجية عضوية قوية عبر المنصات نفسها التي تخدمها المنصة، مدعومة بخطة محتوى تفصيلية لثلاثة أشهر (مرفقة).</w:t>
      </w:r>
    </w:p>
    <w:p>
      <w:pPr>
        <w:pStyle w:val="Heading2"/>
        <w:bidi/>
        <w:jc w:val="start"/>
      </w:pPr>
      <w:r>
        <w:rPr>
          <w:rFonts w:ascii="Arial" w:cs="Arial" w:eastAsia="Arial" w:hAnsi="Arial"/>
          <w:b/>
          <w:bCs/>
          <w:color w:val="1B8A4A"/>
          <w:sz w:val="26"/>
          <w:szCs w:val="26"/>
          <w:rtl/>
        </w:rPr>
        <w:t xml:space="preserve">6.1 مراحل النمو</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المرحلة</w:t>
            </w:r>
          </w:p>
        </w:tc>
        <w:tc>
          <w:tcPr>
            <w:tcW w:type="dxa" w:w="3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التركيز</w:t>
            </w:r>
          </w:p>
        </w:tc>
        <w:tc>
          <w:tcPr>
            <w:tcW w:type="dxa" w:w="4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الهدف</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الشهر 1</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الوعي والإطلاق</w:t>
            </w:r>
          </w:p>
        </w:tc>
        <w:tc>
          <w:tcPr>
            <w:tcW w:type="dxa" w:w="4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أول تحميلات + تعريف الفكرة</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الشهر 2</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الإثبات والثقة</w:t>
            </w:r>
          </w:p>
        </w:tc>
        <w:tc>
          <w:tcPr>
            <w:tcW w:type="dxa" w:w="4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قصص أرباح حقيقية + جذب البراندات</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الشهر 3</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النمو والانتشار</w:t>
            </w:r>
          </w:p>
        </w:tc>
        <w:tc>
          <w:tcPr>
            <w:tcW w:type="dxa" w:w="4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تحديات فيروسية + برنامج الإحالة</w:t>
            </w:r>
          </w:p>
        </w:tc>
      </w:tr>
    </w:tbl>
    <w:p>
      <w:pPr>
        <w:pStyle w:val="Heading2"/>
        <w:bidi/>
        <w:jc w:val="start"/>
      </w:pPr>
      <w:r>
        <w:rPr>
          <w:rFonts w:ascii="Arial" w:cs="Arial" w:eastAsia="Arial" w:hAnsi="Arial"/>
          <w:b/>
          <w:bCs/>
          <w:color w:val="1B8A4A"/>
          <w:sz w:val="26"/>
          <w:szCs w:val="26"/>
          <w:rtl/>
        </w:rPr>
        <w:t xml:space="preserve">6.2 قنوات الاكتساب</w:t>
      </w:r>
    </w:p>
    <w:p>
      <w:pPr>
        <w:pStyle w:val="ListParagraph"/>
        <w:numPr>
          <w:ilvl w:val="0"/>
          <w:numId w:val="2"/>
        </w:numPr>
        <w:bidi/>
        <w:spacing w:after="70" w:line="290"/>
      </w:pPr>
      <w:r>
        <w:rPr>
          <w:rFonts w:ascii="Arial" w:cs="Arial" w:eastAsia="Arial" w:hAnsi="Arial"/>
          <w:rtl/>
        </w:rPr>
        <w:t xml:space="preserve">محتوى عضوي على تيك توك/إنستغرام/سناب (الأعلى وصولاً محلياً).</w:t>
      </w:r>
    </w:p>
    <w:p>
      <w:pPr>
        <w:pStyle w:val="ListParagraph"/>
        <w:numPr>
          <w:ilvl w:val="0"/>
          <w:numId w:val="2"/>
        </w:numPr>
        <w:bidi/>
        <w:spacing w:after="70" w:line="290"/>
      </w:pPr>
      <w:r>
        <w:rPr>
          <w:rFonts w:ascii="Arial" w:cs="Arial" w:eastAsia="Arial" w:hAnsi="Arial"/>
          <w:rtl/>
        </w:rPr>
        <w:t xml:space="preserve">برنامج إحالة (المستخدم يدعو صديقاً ويكسب الطرفان).</w:t>
      </w:r>
    </w:p>
    <w:p>
      <w:pPr>
        <w:pStyle w:val="ListParagraph"/>
        <w:numPr>
          <w:ilvl w:val="0"/>
          <w:numId w:val="2"/>
        </w:numPr>
        <w:bidi/>
        <w:spacing w:after="70" w:line="290"/>
      </w:pPr>
      <w:r>
        <w:rPr>
          <w:rFonts w:ascii="Arial" w:cs="Arial" w:eastAsia="Arial" w:hAnsi="Arial"/>
          <w:rtl/>
        </w:rPr>
        <w:t xml:space="preserve">شراكات مع المؤثرين الصغار وقصص النجاح الحقيقية.</w:t>
      </w:r>
    </w:p>
    <w:p>
      <w:pPr>
        <w:pStyle w:val="ListParagraph"/>
        <w:numPr>
          <w:ilvl w:val="0"/>
          <w:numId w:val="2"/>
        </w:numPr>
        <w:bidi/>
        <w:spacing w:after="70" w:line="290"/>
      </w:pPr>
      <w:r>
        <w:rPr>
          <w:rFonts w:ascii="Arial" w:cs="Arial" w:eastAsia="Arial" w:hAnsi="Arial"/>
          <w:rtl/>
        </w:rPr>
        <w:t xml:space="preserve">حملات موجّهة للبراندات عبر LinkedIn والتواصل المباشر.</w:t>
      </w:r>
    </w:p>
    <w:p>
      <w:pPr>
        <w:pStyle w:val="Heading2"/>
        <w:bidi/>
        <w:jc w:val="start"/>
      </w:pPr>
      <w:r>
        <w:rPr>
          <w:rFonts w:ascii="Arial" w:cs="Arial" w:eastAsia="Arial" w:hAnsi="Arial"/>
          <w:b/>
          <w:bCs/>
          <w:color w:val="1B8A4A"/>
          <w:sz w:val="26"/>
          <w:szCs w:val="26"/>
          <w:rtl/>
        </w:rPr>
        <w:t xml:space="preserve">6.3 استراتيجية الاحتفاظ</w:t>
      </w:r>
    </w:p>
    <w:p>
      <w:pPr>
        <w:bidi/>
        <w:spacing w:after="120" w:line="300"/>
        <w:jc w:val="start"/>
      </w:pPr>
      <w:r>
        <w:rPr>
          <w:rFonts w:ascii="Arial" w:cs="Arial" w:eastAsia="Arial" w:hAnsi="Arial"/>
          <w:rtl/>
        </w:rPr>
        <w:t xml:space="preserve">مضاعفات المكافأة، جلسات البث المباشر ذات البونص، وبرنامج الإحالة تعزّز بقاء المستخدم؛ بينما التقارير الشفافة والنتائج المقيسة تحتفظ بالبراندات.</w:t>
      </w:r>
    </w:p>
    <w:p>
      <w:r>
        <w:br w:type="page"/>
      </w:r>
    </w:p>
    <w:p>
      <w:pPr>
        <w:pStyle w:val="Heading1"/>
        <w:bidi/>
        <w:jc w:val="start"/>
      </w:pPr>
      <w:r>
        <w:rPr>
          <w:rFonts w:ascii="Arial" w:cs="Arial" w:eastAsia="Arial" w:hAnsi="Arial"/>
          <w:b/>
          <w:bCs/>
          <w:color w:val="0E2254"/>
          <w:sz w:val="32"/>
          <w:szCs w:val="32"/>
          <w:rtl/>
        </w:rPr>
        <w:t xml:space="preserve">7. الدراسة القانونية والتنظيمية</w:t>
      </w:r>
    </w:p>
    <w:p>
      <w:pPr>
        <w:bidi/>
        <w:spacing w:after="120" w:line="300"/>
        <w:jc w:val="start"/>
      </w:pPr>
      <w:r>
        <w:rPr>
          <w:rFonts w:ascii="Arial" w:cs="Arial" w:eastAsia="Arial" w:hAnsi="Arial"/>
          <w:rtl/>
        </w:rPr>
        <w:t xml:space="preserve">يتطلب المشروع الامتثال لعدة أنظمة سعودية، وأبرزها: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المجال</w:t>
            </w:r>
          </w:p>
        </w:tc>
        <w:tc>
          <w:tcPr>
            <w:tcW w:type="dxa" w:w="64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المتطلب</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السجل التجاري</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تأسيس كيان وسجل تجاري لدى وزارة التجارة.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ضريبة القيمة المضافة</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التسجيل في هيئة الزكاة والضريبة والجمارك (15٪).</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حماية البيانات (PDPL)</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الامتثال لنظام حماية البيانات الشخصية في جمع ومعالجة البيانات.</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تنظيم الإعلام والإعلان</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الإعلانات المدفوعة عبر الأفراد تخضع لتنظيم الهيئة العامة لتنظيم الإعلام (توثيق المعلنين "موثّق").</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التجارة الإلكترونية</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الامتثال لنظام التجارة الإلكترونية وحماية المستهلك.</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المدفوعات</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ترتيبات دفع/تحويل متوافقة ومكافحة غسل الأموال عند الصرف.</w:t>
            </w:r>
          </w:p>
        </w:tc>
      </w:tr>
    </w:tbl>
    <w:p>
      <w:pPr>
        <w:spacing w:after="10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8860B" w:sz="4"/>
              <w:left w:val="single" w:color="B8860B" w:sz="4"/>
              <w:bottom w:val="single" w:color="B8860B" w:sz="4"/>
              <w:right w:val="single" w:color="B8860B" w:sz="4"/>
            </w:tcBorders>
            <w:shd w:fill="FFF6E5"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نقطة تنظيمية جوهرية</w:t>
            </w:r>
          </w:p>
          <w:p>
            <w:pPr>
              <w:bidi/>
              <w:spacing w:after="50" w:line="280"/>
            </w:pPr>
            <w:r>
              <w:rPr>
                <w:rFonts w:ascii="Arial" w:cs="Arial" w:eastAsia="Arial" w:hAnsi="Arial"/>
                <w:sz w:val="20"/>
                <w:szCs w:val="20"/>
                <w:rtl/>
              </w:rPr>
              <w:t xml:space="preserve">نشر إعلانات مدفوعة من الأفراد يستلزم الالتزام بمتطلبات الإفصاح (وسم #إعلان) وتوثيق المعلنين وفق أنظمة الهيئة العامة لتنظيم الإعلام. تعالج المنصة ذلك عبر: إلزام الإفصاح تلقائياً، إرشاد المستخدمين، ومراجعة الامتثال — ويُنصح باستشارة قانونية متخصصة قبل الإطلاق التجاري.</w:t>
            </w:r>
          </w:p>
        </w:tc>
      </w:tr>
    </w:tbl>
    <w:p>
      <w:r>
        <w:br w:type="page"/>
      </w:r>
    </w:p>
    <w:p>
      <w:pPr>
        <w:pStyle w:val="Heading1"/>
        <w:bidi/>
        <w:jc w:val="start"/>
      </w:pPr>
      <w:r>
        <w:rPr>
          <w:rFonts w:ascii="Arial" w:cs="Arial" w:eastAsia="Arial" w:hAnsi="Arial"/>
          <w:b/>
          <w:bCs/>
          <w:color w:val="0E2254"/>
          <w:sz w:val="32"/>
          <w:szCs w:val="32"/>
          <w:rtl/>
        </w:rPr>
        <w:t xml:space="preserve">8. الدراسة المالية</w:t>
      </w:r>
    </w:p>
    <w:p>
      <w:pPr>
        <w:bidi/>
        <w:spacing w:after="120" w:line="300"/>
        <w:jc w:val="start"/>
      </w:pPr>
      <w:r>
        <w:rPr>
          <w:rFonts w:ascii="Arial" w:cs="Arial" w:eastAsia="Arial" w:hAnsi="Arial"/>
          <w:rtl/>
        </w:rPr>
        <w:t xml:space="preserve">الأرقام التالية تقديرية لأغراض الدراسة، بعملة الريال السعودي، وتُبنى على سيناريو أساسي معتدل. يجب تحديثها ببيانات فعلية عند التشغيل.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2254" w:sz="4"/>
              <w:left w:val="single" w:color="0E2254" w:sz="4"/>
              <w:bottom w:val="single" w:color="0E2254" w:sz="4"/>
              <w:right w:val="single" w:color="0E2254" w:sz="4"/>
            </w:tcBorders>
            <w:shd w:fill="EEF4F1"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الفرضيات الأساسية للنموذج</w:t>
            </w:r>
          </w:p>
          <w:p>
            <w:pPr>
              <w:bidi/>
              <w:spacing w:after="50" w:line="280"/>
            </w:pPr>
            <w:r>
              <w:rPr>
                <w:rFonts w:ascii="Arial" w:cs="Arial" w:eastAsia="Arial" w:hAnsi="Arial"/>
                <w:sz w:val="20"/>
                <w:szCs w:val="20"/>
                <w:rtl/>
              </w:rPr>
              <w:t xml:space="preserve">• نسبة العمولة الفعلية المجمّعة (Take Rate): 8٪ من إجمالي قيمة المنشورات (GMV) — بافتراض أن 70٪ من الحجم يمر عبر الحملات العادية (عمولة 5٪) و30٪ عبر جلسات البث المباشر (عمولة 15٪): (0.70×5٪) + (0.30×15٪) = 8٪.</w:t>
            </w:r>
          </w:p>
          <w:p>
            <w:pPr>
              <w:bidi/>
              <w:spacing w:after="50" w:line="280"/>
            </w:pPr>
            <w:r>
              <w:rPr>
                <w:rFonts w:ascii="Arial" w:cs="Arial" w:eastAsia="Arial" w:hAnsi="Arial"/>
                <w:sz w:val="20"/>
                <w:szCs w:val="20"/>
                <w:rtl/>
              </w:rPr>
              <w:t xml:space="preserve">• أهداف السنة الأولى: 20,000 مستخدم نشط و50 براند ⇒ GMV ≈ 4 ملايين ريال (متوسط إنفاق سنوي ~80 ألف ريال للبراند، و~200 ريال أرباحاً للمستخدم).</w:t>
            </w:r>
          </w:p>
          <w:p>
            <w:pPr>
              <w:bidi/>
              <w:spacing w:after="50" w:line="280"/>
            </w:pPr>
            <w:r>
              <w:rPr>
                <w:rFonts w:ascii="Arial" w:cs="Arial" w:eastAsia="Arial" w:hAnsi="Arial"/>
                <w:sz w:val="20"/>
                <w:szCs w:val="20"/>
                <w:rtl/>
              </w:rPr>
              <w:t xml:space="preserve">• جميع الأرقام غير شاملة ضريبة القيمة المضافة (15٪).</w:t>
            </w:r>
          </w:p>
        </w:tc>
      </w:tr>
    </w:tbl>
    <w:p>
      <w:pPr>
        <w:spacing w:after="100"/>
      </w:pPr>
    </w:p>
    <w:p>
      <w:pPr>
        <w:pStyle w:val="Heading2"/>
        <w:bidi/>
        <w:jc w:val="start"/>
      </w:pPr>
      <w:r>
        <w:rPr>
          <w:rFonts w:ascii="Arial" w:cs="Arial" w:eastAsia="Arial" w:hAnsi="Arial"/>
          <w:b/>
          <w:bCs/>
          <w:color w:val="1B8A4A"/>
          <w:sz w:val="26"/>
          <w:szCs w:val="26"/>
          <w:rtl/>
        </w:rPr>
        <w:t xml:space="preserve">8.1 التكاليف التأسيسية (قبل الإطلاق)</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البند</w:t>
            </w:r>
          </w:p>
        </w:tc>
        <w:tc>
          <w:tcPr>
            <w:tcW w:type="dxa" w:w="3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التقدير (ريال)</w:t>
            </w:r>
          </w:p>
        </w:tc>
      </w:tr>
      <w:tr>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استكمال التطوير والتصميم والهوية</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80,000</w:t>
            </w:r>
          </w:p>
        </w:tc>
      </w:tr>
      <w:tr>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التأسيس القانوني والتراخيص</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40,000</w:t>
            </w:r>
          </w:p>
        </w:tc>
      </w:tr>
      <w:tr>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إعداد البنية والاستضافة الأولية</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30,000</w:t>
            </w:r>
          </w:p>
        </w:tc>
      </w:tr>
      <w:tr>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حملة الإطلاق التسويقية</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100,000</w:t>
            </w:r>
          </w:p>
        </w:tc>
      </w:tr>
      <w:tr>
        <w:tc>
          <w:tcPr>
            <w:tcW w:type="dxa" w:w="6026"/>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الإجمالي التأسيسي</w:t>
            </w:r>
          </w:p>
        </w:tc>
        <w:tc>
          <w:tcPr>
            <w:tcW w:type="dxa" w:w="3000"/>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250,000</w:t>
            </w:r>
          </w:p>
        </w:tc>
      </w:tr>
    </w:tbl>
    <w:p>
      <w:pPr>
        <w:bidi/>
        <w:spacing w:after="120" w:line="300"/>
        <w:jc w:val="start"/>
      </w:pPr>
      <w:r>
        <w:rPr>
          <w:rFonts w:ascii="Arial" w:cs="Arial" w:eastAsia="Arial" w:hAnsi="Arial"/>
          <w:rtl/>
        </w:rPr>
        <w:t xml:space="preserve">تدخل هذه التكاليف ضمن إجمالي الاستثمار المطلوب (1.2 مليون ريال)، الذي يغطي أيضاً خسائر التشغيل المتوقعة لأول سنتين واحتياطياً نقدياً.</w:t>
      </w:r>
    </w:p>
    <w:p>
      <w:pPr>
        <w:pStyle w:val="Heading2"/>
        <w:bidi/>
        <w:jc w:val="start"/>
      </w:pPr>
      <w:r>
        <w:rPr>
          <w:rFonts w:ascii="Arial" w:cs="Arial" w:eastAsia="Arial" w:hAnsi="Arial"/>
          <w:b/>
          <w:bCs/>
          <w:color w:val="1B8A4A"/>
          <w:sz w:val="26"/>
          <w:szCs w:val="26"/>
          <w:rtl/>
        </w:rPr>
        <w:t xml:space="preserve">8.2 نموذج الإيراد</w:t>
      </w:r>
    </w:p>
    <w:p>
      <w:pPr>
        <w:pStyle w:val="ListParagraph"/>
        <w:numPr>
          <w:ilvl w:val="0"/>
          <w:numId w:val="2"/>
        </w:numPr>
        <w:bidi/>
        <w:spacing w:after="70" w:line="290"/>
      </w:pPr>
      <w:r>
        <w:rPr>
          <w:rFonts w:ascii="Arial" w:cs="Arial" w:eastAsia="Arial" w:hAnsi="Arial"/>
          <w:rtl/>
        </w:rPr>
        <w:t xml:space="preserve">عمولة 5٪ على قيمة الرصيد الموزّع (المنشورات الحقيقية).</w:t>
      </w:r>
    </w:p>
    <w:p>
      <w:pPr>
        <w:pStyle w:val="ListParagraph"/>
        <w:numPr>
          <w:ilvl w:val="0"/>
          <w:numId w:val="2"/>
        </w:numPr>
        <w:bidi/>
        <w:spacing w:after="70" w:line="290"/>
      </w:pPr>
      <w:r>
        <w:rPr>
          <w:rFonts w:ascii="Arial" w:cs="Arial" w:eastAsia="Arial" w:hAnsi="Arial"/>
          <w:rtl/>
        </w:rPr>
        <w:t xml:space="preserve">عمولة 15٪ على ميزانية جلسات البث المباشر.</w:t>
      </w:r>
    </w:p>
    <w:p>
      <w:pPr>
        <w:pStyle w:val="ListParagraph"/>
        <w:numPr>
          <w:ilvl w:val="0"/>
          <w:numId w:val="2"/>
        </w:numPr>
        <w:bidi/>
        <w:spacing w:after="70" w:line="290"/>
      </w:pPr>
      <w:r>
        <w:rPr>
          <w:rFonts w:ascii="Arial" w:cs="Arial" w:eastAsia="Arial" w:hAnsi="Arial"/>
          <w:rtl/>
        </w:rPr>
        <w:t xml:space="preserve">مصادر مستقبلية محتملة: باقات اشتراك مميّزة للبراندات، وإعلانات مميّزة.</w:t>
      </w:r>
    </w:p>
    <w:p>
      <w:pPr>
        <w:pStyle w:val="Heading2"/>
        <w:bidi/>
        <w:jc w:val="start"/>
      </w:pPr>
      <w:r>
        <w:rPr>
          <w:rFonts w:ascii="Arial" w:cs="Arial" w:eastAsia="Arial" w:hAnsi="Arial"/>
          <w:b/>
          <w:bCs/>
          <w:color w:val="1B8A4A"/>
          <w:sz w:val="26"/>
          <w:szCs w:val="26"/>
          <w:rtl/>
        </w:rPr>
        <w:t xml:space="preserve">8.3 قائمة الدخل المتوقعة (3 سنوات)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tblHeader/>
        </w:trPr>
        <w:tc>
          <w:tcPr>
            <w:tcW w:type="dxa" w:w="3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البند</w:t>
            </w:r>
          </w:p>
        </w:tc>
        <w:tc>
          <w:tcPr>
            <w:tcW w:type="dxa" w:w="2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السنة 1</w:t>
            </w:r>
          </w:p>
        </w:tc>
        <w:tc>
          <w:tcPr>
            <w:tcW w:type="dxa" w:w="2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السنة 2</w:t>
            </w:r>
          </w:p>
        </w:tc>
        <w:tc>
          <w:tcPr>
            <w:tcW w:type="dxa" w:w="2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السنة 3</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إجمالي قيمة المنشورات (GMV)</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4,000,000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18,000,000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45,000,000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إيراد المنصة (عمولة)</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320,000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1,440,000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3,600,000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الرواتب</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480,000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900,000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1,500,000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التسويق</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500,000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700,000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البنية والـ SMS</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60,000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180,000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350,000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مصاريف إدارية وقانونية</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80,000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150,000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250,000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إجمالي المصاريف</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920,000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1,730,000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2,800,000</w:t>
            </w:r>
          </w:p>
        </w:tc>
      </w:tr>
      <w:tr>
        <w:tc>
          <w:tcPr>
            <w:tcW w:type="dxa" w:w="3026"/>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صافي الربح/الخسارة</w:t>
            </w:r>
          </w:p>
        </w:tc>
        <w:tc>
          <w:tcPr>
            <w:tcW w:type="dxa" w:w="2000"/>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(600,000)</w:t>
            </w:r>
          </w:p>
        </w:tc>
        <w:tc>
          <w:tcPr>
            <w:tcW w:type="dxa" w:w="2000"/>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(290,000)</w:t>
            </w:r>
          </w:p>
        </w:tc>
        <w:tc>
          <w:tcPr>
            <w:tcW w:type="dxa" w:w="2000"/>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800,000</w:t>
            </w:r>
          </w:p>
        </w:tc>
      </w:tr>
    </w:tbl>
    <w:p>
      <w:r>
        <w:br w:type="page"/>
      </w:r>
    </w:p>
    <w:p>
      <w:pPr>
        <w:pStyle w:val="Heading1"/>
        <w:bidi/>
        <w:jc w:val="start"/>
      </w:pPr>
      <w:r>
        <w:rPr>
          <w:rFonts w:ascii="Arial" w:cs="Arial" w:eastAsia="Arial" w:hAnsi="Arial"/>
          <w:b/>
          <w:bCs/>
          <w:color w:val="0E2254"/>
          <w:sz w:val="32"/>
          <w:szCs w:val="32"/>
          <w:rtl/>
        </w:rPr>
        <w:t xml:space="preserve">9. التحليل المالي والجدوى</w:t>
      </w:r>
    </w:p>
    <w:p>
      <w:pPr>
        <w:pStyle w:val="Heading2"/>
        <w:bidi/>
        <w:jc w:val="start"/>
      </w:pPr>
      <w:r>
        <w:rPr>
          <w:rFonts w:ascii="Arial" w:cs="Arial" w:eastAsia="Arial" w:hAnsi="Arial"/>
          <w:b/>
          <w:bCs/>
          <w:color w:val="1B8A4A"/>
          <w:sz w:val="26"/>
          <w:szCs w:val="26"/>
          <w:rtl/>
        </w:rPr>
        <w:t xml:space="preserve">9.1 التدفقات النقدية من منظور المستثمر (5 سنوات، سيناريو أساسي)</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2400"/>
        <w:gridCol w:w="2400"/>
      </w:tblGrid>
      <w:tr>
        <w:trPr>
          <w:tblHeader/>
        </w:trPr>
        <w:tc>
          <w:tcPr>
            <w:tcW w:type="dxa" w:w="42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السنة</w:t>
            </w:r>
          </w:p>
        </w:tc>
        <w:tc>
          <w:tcPr>
            <w:tcW w:type="dxa" w:w="24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صافي التدفق (ريال)</w:t>
            </w:r>
          </w:p>
        </w:tc>
        <w:tc>
          <w:tcPr>
            <w:tcW w:type="dxa" w:w="24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التراكمي (ريال)</w:t>
            </w:r>
          </w:p>
        </w:tc>
      </w:tr>
      <w:tr>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0 — ضخ الاستثمار (تأسيس + تمويل الخسائر + احتياطي)</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(1,200,000)</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(1,200,000)</w:t>
            </w:r>
          </w:p>
        </w:tc>
      </w:tr>
      <w:tr>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1 — خسائر التشغيل ممولة من الاستثمار</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0</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(1,200,000)</w:t>
            </w:r>
          </w:p>
        </w:tc>
      </w:tr>
      <w:tr>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2 — خسائر التشغيل ممولة من الاستثمار</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0</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(1,200,000)</w:t>
            </w:r>
          </w:p>
        </w:tc>
      </w:tr>
      <w:tr>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3</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800,000</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(400,000)</w:t>
            </w:r>
          </w:p>
        </w:tc>
      </w:tr>
      <w:tr>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4</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1,800,000</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1,400,000</w:t>
            </w:r>
          </w:p>
        </w:tc>
      </w:tr>
      <w:tr>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5</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3,200,000</w:t>
            </w:r>
          </w:p>
        </w:tc>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4,600,000</w:t>
            </w:r>
          </w:p>
        </w:tc>
      </w:tr>
    </w:tbl>
    <w:p>
      <w:pPr>
        <w:spacing w:after="100"/>
      </w:pPr>
    </w:p>
    <w:p>
      <w:pPr>
        <w:bidi/>
        <w:spacing w:after="120" w:line="300"/>
        <w:jc w:val="start"/>
      </w:pPr>
      <w:r>
        <w:rPr>
          <w:rFonts w:ascii="Arial" w:cs="Arial" w:eastAsia="Arial" w:hAnsi="Arial"/>
          <w:rtl/>
        </w:rPr>
        <w:t xml:space="preserve">التحقق من كفاية الاستثمار: ذروة الاحتياج التمويلي = 250,000 (تأسيس) + 600,000 (خسارة السنة 1) + 290,000 (خسارة السنة 2) = 1,140,000 ريال؛ وعليه حُدّد الاستثمار بـ 1.2 مليون ريال متضمناً احتياطياً نقدياً ~60 ألف ريال.</w:t>
      </w:r>
    </w:p>
    <w:p>
      <w:pPr>
        <w:pStyle w:val="Heading2"/>
        <w:bidi/>
        <w:jc w:val="start"/>
      </w:pPr>
      <w:r>
        <w:rPr>
          <w:rFonts w:ascii="Arial" w:cs="Arial" w:eastAsia="Arial" w:hAnsi="Arial"/>
          <w:b/>
          <w:bCs/>
          <w:color w:val="1B8A4A"/>
          <w:sz w:val="26"/>
          <w:szCs w:val="26"/>
          <w:rtl/>
        </w:rPr>
        <w:t xml:space="preserve">9.2 مؤشرات الجدوى</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26"/>
        <w:gridCol w:w="3800"/>
      </w:tblGrid>
      <w:tr>
        <w:trPr>
          <w:tblHeader/>
        </w:trPr>
        <w:tc>
          <w:tcPr>
            <w:tcW w:type="dxa" w:w="2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المؤشر</w:t>
            </w:r>
          </w:p>
        </w:tc>
        <w:tc>
          <w:tcPr>
            <w:tcW w:type="dxa" w:w="26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القيمة التقديرية</w:t>
            </w:r>
          </w:p>
        </w:tc>
        <w:tc>
          <w:tcPr>
            <w:tcW w:type="dxa" w:w="38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الدلالة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نقطة التعادل التشغيلي</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أوائل السنة 3</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تحوّل التشغيل للربحية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فترة الاسترداد</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~3.2 سنة</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التراكمي يتحول موجباً خلال السنة 4 (400,000 ÷ 1,800,000 ≈ 0.2)</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صافي القيمة الحالية (NPV) @12٪</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+2.3 مليون ريال</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المشروع يضيف قيمة بوضوح</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معدل العائد الداخلي (IRR)</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~40٪</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محسوب على تدفقات الجدول أعلاه — عائد جذّاب مقابل المخاطرة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هامش الربح الصافي (سنة 3)</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~22٪</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800,000 ÷ 3,600,000 من الإيراد</w:t>
            </w:r>
          </w:p>
        </w:tc>
      </w:tr>
    </w:tbl>
    <w:p>
      <w:pPr>
        <w:bidi/>
        <w:spacing w:after="120" w:line="300"/>
        <w:jc w:val="start"/>
      </w:pPr>
      <w:r>
        <w:rPr>
          <w:rFonts w:ascii="Arial" w:cs="Arial" w:eastAsia="Arial" w:hAnsi="Arial"/>
          <w:rtl/>
        </w:rPr>
        <w:t xml:space="preserve">ملاحظة: NPV وIRR محسوبان على تدفقات السيناريو الأساسي أعلاه ويتغيران بتغيّر فرضيات النمو؛ يوصى بإعداد نموذج مالي تفصيلي (Excel) بسيناريوهات متعددة قبل جولة الاستثمار.</w:t>
      </w:r>
    </w:p>
    <w:p>
      <w:r>
        <w:br w:type="page"/>
      </w:r>
    </w:p>
    <w:p>
      <w:pPr>
        <w:pStyle w:val="Heading1"/>
        <w:bidi/>
        <w:jc w:val="start"/>
      </w:pPr>
      <w:r>
        <w:rPr>
          <w:rFonts w:ascii="Arial" w:cs="Arial" w:eastAsia="Arial" w:hAnsi="Arial"/>
          <w:b/>
          <w:bCs/>
          <w:color w:val="0E2254"/>
          <w:sz w:val="32"/>
          <w:szCs w:val="32"/>
          <w:rtl/>
        </w:rPr>
        <w:t xml:space="preserve">10. تحليل الحساسية</w:t>
      </w:r>
    </w:p>
    <w:p>
      <w:pPr>
        <w:bidi/>
        <w:spacing w:after="120" w:line="300"/>
        <w:jc w:val="start"/>
      </w:pPr>
      <w:r>
        <w:rPr>
          <w:rFonts w:ascii="Arial" w:cs="Arial" w:eastAsia="Arial" w:hAnsi="Arial"/>
          <w:rtl/>
        </w:rPr>
        <w:t xml:space="preserve">اختبار متانة المشروع أمام تغيّر أهم المتغيرات (نمو المستخدمين، نسبة العمولة الفعلية، تكلفة التسويق):</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السيناريو</w:t>
            </w:r>
          </w:p>
        </w:tc>
        <w:tc>
          <w:tcPr>
            <w:tcW w:type="dxa" w:w="3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التغيّر</w:t>
            </w:r>
          </w:p>
        </w:tc>
        <w:tc>
          <w:tcPr>
            <w:tcW w:type="dxa" w:w="36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الأثر على التعادل/الربحية</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متفائل</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نمو مستخدمين +30٪</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تعادل أبكر (منتصف السنة 2) وربحية أعلى</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أساسي</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الفرضيات المعتمدة</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تعادل أوائل السنة 3</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متحفّظ</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نمو -30٪ + تسويق أعلى</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تأخّر التعادل للسنة 4 وحاجة تمويل إضافي</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ضغط العمولة</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انخفاض Take Rate من 8٪ إلى 6٪</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انخفاض الإيراد ~25٪ — يعوّضه رفع الحجم</w:t>
            </w:r>
          </w:p>
        </w:tc>
      </w:tr>
    </w:tbl>
    <w:p>
      <w:pPr>
        <w:spacing w:after="10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2254" w:sz="4"/>
              <w:left w:val="single" w:color="0E2254" w:sz="4"/>
              <w:bottom w:val="single" w:color="0E2254" w:sz="4"/>
              <w:right w:val="single" w:color="0E2254" w:sz="4"/>
            </w:tcBorders>
            <w:shd w:fill="EEF4F1"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الخلاصة</w:t>
            </w:r>
          </w:p>
          <w:p>
            <w:pPr>
              <w:bidi/>
              <w:spacing w:after="50" w:line="280"/>
            </w:pPr>
            <w:r>
              <w:rPr>
                <w:rFonts w:ascii="Arial" w:cs="Arial" w:eastAsia="Arial" w:hAnsi="Arial"/>
                <w:sz w:val="20"/>
                <w:szCs w:val="20"/>
                <w:rtl/>
              </w:rPr>
              <w:t xml:space="preserve">المشروع حسّاس بدرجة عالية لسرعة اكتساب المستخدمين والبراندات؛ لذا يتركّز الاستثمار في التسويق والنمو في أول 18 شهراً. حتى في السيناريو المتحفّظ يبقى المشروع قابلاً للحياة مع تمويل إضافي محدود.</w:t>
            </w:r>
          </w:p>
        </w:tc>
      </w:tr>
    </w:tbl>
    <w:p>
      <w:r>
        <w:br w:type="page"/>
      </w:r>
    </w:p>
    <w:p>
      <w:pPr>
        <w:pStyle w:val="Heading1"/>
        <w:bidi/>
        <w:jc w:val="start"/>
      </w:pPr>
      <w:r>
        <w:rPr>
          <w:rFonts w:ascii="Arial" w:cs="Arial" w:eastAsia="Arial" w:hAnsi="Arial"/>
          <w:b/>
          <w:bCs/>
          <w:color w:val="0E2254"/>
          <w:sz w:val="32"/>
          <w:szCs w:val="32"/>
          <w:rtl/>
        </w:rPr>
        <w:t xml:space="preserve">11. إدارة المخاطر</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26"/>
      </w:tblGrid>
      <w:tr>
        <w:trPr>
          <w:tblHeader/>
        </w:trPr>
        <w:tc>
          <w:tcPr>
            <w:tcW w:type="dxa" w:w="2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الخطر</w:t>
            </w:r>
          </w:p>
        </w:tc>
        <w:tc>
          <w:tcPr>
            <w:tcW w:type="dxa" w:w="18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الاحتمال/الأثر</w:t>
            </w:r>
          </w:p>
        </w:tc>
        <w:tc>
          <w:tcPr>
            <w:tcW w:type="dxa" w:w="46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خطة المعالجة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بطء اكتساب المستخدمين</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مرتفع</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برنامج إحالة، محتوى عضوي مكثّف، قصص نجاح</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سياسات المنصات الاجتماعية (API/الإعلان)</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متوسط–مرتفع</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الالتزام بالإفصاح، النشر اليدوي، تنويع المنصات</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الامتثال التنظيمي (الإعلام/البيانات)</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استشارة قانونية، توثيق، إفصاح تلقائي</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الاحتيال في النشر</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نافذة تحقق 30 دقيقة، فحوص آلية، حد أدنى للمتابعين</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المنافسة</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التخصص المحلي، سرعة التنفيذ، تجربة مستخدم متفوقة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نضوب التمويل</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مرتفع الأثر</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إدارة حرق نقدي منضبطة، أهداف مرحلية للتمويل</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الاعتماد على أشخاص رئيسيين</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توثيق العمليات، بناء فريق، وثائق تقنية</w:t>
            </w:r>
          </w:p>
        </w:tc>
      </w:tr>
    </w:tbl>
    <w:p>
      <w:r>
        <w:br w:type="page"/>
      </w:r>
    </w:p>
    <w:p>
      <w:pPr>
        <w:pStyle w:val="Heading1"/>
        <w:bidi/>
        <w:jc w:val="start"/>
      </w:pPr>
      <w:r>
        <w:rPr>
          <w:rFonts w:ascii="Arial" w:cs="Arial" w:eastAsia="Arial" w:hAnsi="Arial"/>
          <w:b/>
          <w:bCs/>
          <w:color w:val="0E2254"/>
          <w:sz w:val="32"/>
          <w:szCs w:val="32"/>
          <w:rtl/>
        </w:rPr>
        <w:t xml:space="preserve">12. خطة التنفيذ</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4526"/>
      </w:tblGrid>
      <w:tr>
        <w:trPr>
          <w:tblHeader/>
        </w:trPr>
        <w:tc>
          <w:tcPr>
            <w:tcW w:type="dxa" w:w="29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المرحلة</w:t>
            </w:r>
          </w:p>
        </w:tc>
        <w:tc>
          <w:tcPr>
            <w:tcW w:type="dxa" w:w="1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المدة</w:t>
            </w:r>
          </w:p>
        </w:tc>
        <w:tc>
          <w:tcPr>
            <w:tcW w:type="dxa" w:w="45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المخرجات</w:t>
            </w:r>
          </w:p>
        </w:tc>
      </w:tr>
      <w:tr>
        <w:tc>
          <w:tcPr>
            <w:tcW w:type="dxa" w:w="29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المرحلة 0 — الجاهزية (مكتملة)</w:t>
            </w:r>
          </w:p>
        </w:tc>
        <w:tc>
          <w:tcPr>
            <w:tcW w:type="dxa" w:w="1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منجزة</w:t>
            </w:r>
          </w:p>
        </w:tc>
        <w:tc>
          <w:tcPr>
            <w:tcW w:type="dxa" w:w="45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المنتج مبنيّ ومنشور + هوية + خطة تسويق</w:t>
            </w:r>
          </w:p>
        </w:tc>
      </w:tr>
      <w:tr>
        <w:tc>
          <w:tcPr>
            <w:tcW w:type="dxa" w:w="29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المرحلة 1 — الإطلاق</w:t>
            </w:r>
          </w:p>
        </w:tc>
        <w:tc>
          <w:tcPr>
            <w:tcW w:type="dxa" w:w="1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الأشهر 1–3</w:t>
            </w:r>
          </w:p>
        </w:tc>
        <w:tc>
          <w:tcPr>
            <w:tcW w:type="dxa" w:w="45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تفعيل SMS وOTP الحقيقي، إطلاق تجاري، أول براندات ومستخدمين</w:t>
            </w:r>
          </w:p>
        </w:tc>
      </w:tr>
      <w:tr>
        <w:tc>
          <w:tcPr>
            <w:tcW w:type="dxa" w:w="29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المرحلة 2 — النمو</w:t>
            </w:r>
          </w:p>
        </w:tc>
        <w:tc>
          <w:tcPr>
            <w:tcW w:type="dxa" w:w="1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الأشهر 4–12</w:t>
            </w:r>
          </w:p>
        </w:tc>
        <w:tc>
          <w:tcPr>
            <w:tcW w:type="dxa" w:w="45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توسيع الفريق، تحسين المنتج، الوصول لأهداف السنة 1</w:t>
            </w:r>
          </w:p>
        </w:tc>
      </w:tr>
      <w:tr>
        <w:tc>
          <w:tcPr>
            <w:tcW w:type="dxa" w:w="29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المرحلة 3 — التوسّع</w:t>
            </w:r>
          </w:p>
        </w:tc>
        <w:tc>
          <w:tcPr>
            <w:tcW w:type="dxa" w:w="1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2–3</w:t>
            </w:r>
          </w:p>
        </w:tc>
        <w:tc>
          <w:tcPr>
            <w:tcW w:type="dxa" w:w="45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ميزات جديدة (مدفوعات، مكافآت متقدمة)، التوسّع الخليجي</w:t>
            </w:r>
          </w:p>
        </w:tc>
      </w:tr>
    </w:tbl>
    <w:p>
      <w:pPr>
        <w:spacing w:after="100"/>
      </w:pPr>
    </w:p>
    <w:p>
      <w:pPr>
        <w:pStyle w:val="Heading2"/>
        <w:bidi/>
        <w:jc w:val="start"/>
      </w:pPr>
      <w:r>
        <w:rPr>
          <w:rFonts w:ascii="Arial" w:cs="Arial" w:eastAsia="Arial" w:hAnsi="Arial"/>
          <w:b/>
          <w:bCs/>
          <w:color w:val="1B8A4A"/>
          <w:sz w:val="26"/>
          <w:szCs w:val="26"/>
          <w:rtl/>
        </w:rPr>
        <w:t xml:space="preserve">12.1 أولويات ما قبل الإطلاق التجاري</w:t>
      </w:r>
    </w:p>
    <w:p>
      <w:pPr>
        <w:pStyle w:val="ListParagraph"/>
        <w:numPr>
          <w:ilvl w:val="0"/>
          <w:numId w:val="2"/>
        </w:numPr>
        <w:bidi/>
        <w:spacing w:after="70" w:line="290"/>
      </w:pPr>
      <w:r>
        <w:rPr>
          <w:rFonts w:ascii="Arial" w:cs="Arial" w:eastAsia="Arial" w:hAnsi="Arial"/>
          <w:rtl/>
        </w:rPr>
        <w:t xml:space="preserve">تفعيل مزوّد SMS معتمد وتحويل بيئة الإنتاج لرموز OTP حقيقية.</w:t>
      </w:r>
    </w:p>
    <w:p>
      <w:pPr>
        <w:pStyle w:val="ListParagraph"/>
        <w:numPr>
          <w:ilvl w:val="0"/>
          <w:numId w:val="2"/>
        </w:numPr>
        <w:bidi/>
        <w:spacing w:after="70" w:line="290"/>
      </w:pPr>
      <w:r>
        <w:rPr>
          <w:rFonts w:ascii="Arial" w:cs="Arial" w:eastAsia="Arial" w:hAnsi="Arial"/>
          <w:rtl/>
        </w:rPr>
        <w:t xml:space="preserve">استكمال التأسيس القانوني والتراخيص والتسجيل الضريبي.</w:t>
      </w:r>
    </w:p>
    <w:p>
      <w:pPr>
        <w:pStyle w:val="ListParagraph"/>
        <w:numPr>
          <w:ilvl w:val="0"/>
          <w:numId w:val="2"/>
        </w:numPr>
        <w:bidi/>
        <w:spacing w:after="70" w:line="290"/>
      </w:pPr>
      <w:r>
        <w:rPr>
          <w:rFonts w:ascii="Arial" w:cs="Arial" w:eastAsia="Arial" w:hAnsi="Arial"/>
          <w:rtl/>
        </w:rPr>
        <w:t xml:space="preserve">ترتيب آلية صرف/دفع متوافقة نظامياً.</w:t>
      </w:r>
    </w:p>
    <w:p>
      <w:pPr>
        <w:pStyle w:val="ListParagraph"/>
        <w:numPr>
          <w:ilvl w:val="0"/>
          <w:numId w:val="2"/>
        </w:numPr>
        <w:bidi/>
        <w:spacing w:after="70" w:line="290"/>
      </w:pPr>
      <w:r>
        <w:rPr>
          <w:rFonts w:ascii="Arial" w:cs="Arial" w:eastAsia="Arial" w:hAnsi="Arial"/>
          <w:rtl/>
        </w:rPr>
        <w:t xml:space="preserve">إطلاق الحسابات الاجتماعية وبدء تقويم المحتوى.</w:t>
      </w:r>
    </w:p>
    <w:p>
      <w:r>
        <w:br w:type="page"/>
      </w:r>
    </w:p>
    <w:p>
      <w:pPr>
        <w:pStyle w:val="Heading1"/>
        <w:bidi/>
        <w:jc w:val="start"/>
      </w:pPr>
      <w:r>
        <w:rPr>
          <w:rFonts w:ascii="Arial" w:cs="Arial" w:eastAsia="Arial" w:hAnsi="Arial"/>
          <w:b/>
          <w:bCs/>
          <w:color w:val="0E2254"/>
          <w:sz w:val="32"/>
          <w:szCs w:val="32"/>
          <w:rtl/>
        </w:rPr>
        <w:t xml:space="preserve">13. الملاحق</w:t>
      </w:r>
    </w:p>
    <w:p>
      <w:pPr>
        <w:pStyle w:val="ListParagraph"/>
        <w:numPr>
          <w:ilvl w:val="0"/>
          <w:numId w:val="2"/>
        </w:numPr>
        <w:bidi/>
        <w:spacing w:after="70" w:line="290"/>
      </w:pPr>
      <w:r>
        <w:rPr>
          <w:rFonts w:ascii="Arial" w:cs="Arial" w:eastAsia="Arial" w:hAnsi="Arial"/>
          <w:rtl/>
        </w:rPr>
        <w:t xml:space="preserve">الملحق أ: خطة المحتوى التسويقي التفصيلية (3 أشهر) — ملف منفصل.</w:t>
      </w:r>
    </w:p>
    <w:p>
      <w:pPr>
        <w:pStyle w:val="ListParagraph"/>
        <w:numPr>
          <w:ilvl w:val="0"/>
          <w:numId w:val="2"/>
        </w:numPr>
        <w:bidi/>
        <w:spacing w:after="70" w:line="290"/>
      </w:pPr>
      <w:r>
        <w:rPr>
          <w:rFonts w:ascii="Arial" w:cs="Arial" w:eastAsia="Arial" w:hAnsi="Arial"/>
          <w:rtl/>
        </w:rPr>
        <w:t xml:space="preserve">الملحق ب: العرض التقديمي للبراندات — ملف منفصل.</w:t>
      </w:r>
    </w:p>
    <w:p>
      <w:pPr>
        <w:pStyle w:val="ListParagraph"/>
        <w:numPr>
          <w:ilvl w:val="0"/>
          <w:numId w:val="2"/>
        </w:numPr>
        <w:bidi/>
        <w:spacing w:after="70" w:line="290"/>
      </w:pPr>
      <w:r>
        <w:rPr>
          <w:rFonts w:ascii="Arial" w:cs="Arial" w:eastAsia="Arial" w:hAnsi="Arial"/>
          <w:rtl/>
        </w:rPr>
        <w:t xml:space="preserve">الملحق ج: التصاميم والهوية البصرية (اللوجو، المنشورات، الأغلفة).</w:t>
      </w:r>
    </w:p>
    <w:p>
      <w:pPr>
        <w:pStyle w:val="ListParagraph"/>
        <w:numPr>
          <w:ilvl w:val="0"/>
          <w:numId w:val="2"/>
        </w:numPr>
        <w:bidi/>
        <w:spacing w:after="70" w:line="290"/>
      </w:pPr>
      <w:r>
        <w:rPr>
          <w:rFonts w:ascii="Arial" w:cs="Arial" w:eastAsia="Arial" w:hAnsi="Arial"/>
          <w:rtl/>
        </w:rPr>
        <w:t xml:space="preserve">الملحق د: البنية التقنية وقاعدة البيانات (مخطط الجداول).</w:t>
      </w:r>
    </w:p>
    <w:p>
      <w:pPr>
        <w:pStyle w:val="ListParagraph"/>
        <w:numPr>
          <w:ilvl w:val="0"/>
          <w:numId w:val="2"/>
        </w:numPr>
        <w:bidi/>
        <w:spacing w:after="70" w:line="290"/>
      </w:pPr>
      <w:r>
        <w:rPr>
          <w:rFonts w:ascii="Arial" w:cs="Arial" w:eastAsia="Arial" w:hAnsi="Arial"/>
          <w:rtl/>
        </w:rPr>
        <w:t xml:space="preserve">الملحق هـ: النموذج المالي التفصيلي (Excel) — يُعدّ لجولة الاستثمار.</w:t>
      </w:r>
    </w:p>
    <w:p>
      <w:pPr>
        <w:spacing w:after="10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8860B" w:sz="4"/>
              <w:left w:val="single" w:color="B8860B" w:sz="4"/>
              <w:bottom w:val="single" w:color="B8860B" w:sz="4"/>
              <w:right w:val="single" w:color="B8860B" w:sz="4"/>
            </w:tcBorders>
            <w:shd w:fill="FFF6E5"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تنويه</w:t>
            </w:r>
          </w:p>
          <w:p>
            <w:pPr>
              <w:bidi/>
              <w:spacing w:after="50" w:line="280"/>
            </w:pPr>
            <w:r>
              <w:rPr>
                <w:rFonts w:ascii="Arial" w:cs="Arial" w:eastAsia="Arial" w:hAnsi="Arial"/>
                <w:sz w:val="20"/>
                <w:szCs w:val="20"/>
                <w:rtl/>
              </w:rPr>
              <w:t xml:space="preserve">هذه الدراسة استرشادية لأغراض التقييم الأولي. الأرقام المالية تقديرية وتعتمد على فرضيات معلنة، ولا تُعدّ ضماناً للنتائج. يوصى باستكمالها بدراسة سوق ميدانية ونموذج مالي تفصيلي واستشارة قانونية ومحاسبية معتمدة قبل اتخاذ قرار الاستثمار.</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tl/>
      </w:rPr>
      <w:t xml:space="preserve">صفحة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color w:val="AAAAAA"/>
        <w:sz w:val="14"/>
        <w:szCs w:val="14"/>
        <w:rtl/>
      </w:rPr>
      <w:t xml:space="preserve">  —  سرّي</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b/>
        <w:bCs/>
        <w:color w:val="0E2254"/>
        <w:sz w:val="18"/>
        <w:szCs w:val="18"/>
      </w:rPr>
      <w:t xml:space="preserve">WIN</w:t>
    </w:r>
    <w:r>
      <w:rPr>
        <w:rFonts w:ascii="Arial" w:cs="Arial" w:eastAsia="Arial" w:hAnsi="Arial"/>
        <w:b/>
        <w:bCs/>
        <w:color w:val="1B8A4A"/>
        <w:sz w:val="20"/>
        <w:szCs w:val="20"/>
        <w:rtl/>
      </w:rPr>
      <w:t xml:space="preserve">و</w:t>
    </w:r>
    <w:r>
      <w:rPr>
        <w:rFonts w:ascii="Arial" w:cs="Arial" w:eastAsia="Arial" w:hAnsi="Arial"/>
        <w:b/>
        <w:bCs/>
        <w:color w:val="0E2254"/>
        <w:sz w:val="18"/>
        <w:szCs w:val="18"/>
      </w:rPr>
      <w:t xml:space="preserve">WIN</w:t>
    </w:r>
    <w:r>
      <w:rPr>
        <w:rFonts w:ascii="Arial" w:cs="Arial" w:eastAsia="Arial" w:hAnsi="Arial"/>
        <w:color w:val="888888"/>
        <w:sz w:val="16"/>
        <w:szCs w:val="16"/>
        <w:rtl/>
      </w:rPr>
      <w:t xml:space="preserve">  —  دراسة الجدوى</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60"/>
      <w:outlineLvl w:val="0"/>
    </w:pPr>
    <w:rPr>
      <w:rFonts w:ascii="Arial" w:cs="Arial" w:eastAsia="Arial" w:hAnsi="Arial"/>
      <w:b/>
      <w:bCs/>
      <w:color w:val="0E2254"/>
      <w:sz w:val="32"/>
      <w:szCs w:val="32"/>
    </w:rPr>
  </w:style>
  <w:style w:type="paragraph" w:styleId="Heading2">
    <w:name w:val="Heading 2"/>
    <w:basedOn w:val="Normal"/>
    <w:next w:val="Normal"/>
    <w:qFormat/>
    <w:pPr>
      <w:spacing w:after="120" w:before="180"/>
      <w:outlineLvl w:val="1"/>
    </w:pPr>
    <w:rPr>
      <w:rFonts w:ascii="Arial" w:cs="Arial" w:eastAsia="Arial" w:hAnsi="Arial"/>
      <w:b/>
      <w:bCs/>
      <w:color w:val="1B8A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2026-07-12T10:10:27.087Z</dcterms:created>
  <dcterms:modified xsi:type="dcterms:W3CDTF">2026-07-12T10:10:27.090Z</dcterms:modified>
</cp:coreProperties>
</file>

<file path=docProps/custom.xml><?xml version="1.0" encoding="utf-8"?>
<Properties xmlns="http://schemas.openxmlformats.org/officeDocument/2006/custom-properties" xmlns:vt="http://schemas.openxmlformats.org/officeDocument/2006/docPropsVTypes"/>
</file>