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4"/>
          <w:sz w:val="32"/>
          <w:szCs w:val="32"/>
        </w:rPr>
        <w:t xml:space="preserve">Adrenal Gland Segmentation — Progress Report</w:t>
      </w:r>
    </w:p>
    <w:p>
      <w:pPr>
        <w:pBdr>
          <w:bottom w:val="single" w:color="1F3A54" w:sz="6" w:space="6"/>
        </w:pBdr>
        <w:spacing w:after="40"/>
      </w:pPr>
      <w:r>
        <w:rPr>
          <w:rFonts w:ascii="Calibri" w:cs="Calibri" w:eastAsia="Calibri" w:hAnsi="Calibri"/>
          <w:color w:val="33566F"/>
          <w:sz w:val="22"/>
          <w:szCs w:val="22"/>
        </w:rPr>
        <w:t xml:space="preserve">Stage B, the Stage A ablation, and what the evidence now supports</w:t>
      </w:r>
    </w:p>
    <w:p>
      <w:pPr>
        <w:spacing w:after="150" w:before="60" w:line="276"/>
      </w:pPr>
      <w:r>
        <w:rPr>
          <w:rFonts w:ascii="Calibri" w:cs="Calibri" w:eastAsia="Calibri" w:hAnsi="Calibri"/>
          <w:color w:val="5A6B7A"/>
          <w:sz w:val="18"/>
          <w:szCs w:val="18"/>
        </w:rPr>
        <w:t xml:space="preserve">M. Fayemiwo  ·  31 August 2026  ·  AMOS22, CT only (200 training / 100 validation patients)</w:t>
      </w:r>
    </w:p>
    <w:p>
      <w:pPr>
        <w:pStyle w:val="Heading1"/>
        <w:spacing w:after="110" w:before="260"/>
      </w:pPr>
      <w:r>
        <w:rPr>
          <w:rFonts w:ascii="Calibri" w:cs="Calibri" w:eastAsia="Calibri" w:hAnsi="Calibri"/>
          <w:b/>
          <w:bCs/>
          <w:color w:val="1F3A54"/>
          <w:sz w:val="26"/>
          <w:szCs w:val="26"/>
        </w:rPr>
        <w:t xml:space="preserve">1.  Where this stands</w:t>
      </w:r>
    </w:p>
    <w:p>
      <w:pPr>
        <w:spacing w:after="100" w:before="0" w:line="276"/>
      </w:pPr>
      <w:r>
        <w:rPr>
          <w:rFonts w:ascii="Calibri" w:cs="Calibri" w:eastAsia="Calibri" w:hAnsi="Calibri"/>
          <w:sz w:val="21"/>
          <w:szCs w:val="21"/>
        </w:rPr>
        <w:t xml:space="preserve">The project set out to beat a published 2025 adrenal segmentation pipeline by putting a sequence-aware spiking neural network in front of a 2.5D segmenter. Both stages are now built, trained and measured. The segmenter works but does not yet match the prior work; the gate works well; and the spiking premise the project was organised around has been falsified three separate ways.</w:t>
      </w:r>
    </w:p>
    <w:p>
      <w:pPr>
        <w:pStyle w:val="ListParagraph"/>
        <w:numPr>
          <w:ilvl w:val="0"/>
          <w:numId w:val="1"/>
        </w:numPr>
        <w:spacing w:after="60" w:line="276"/>
      </w:pPr>
      <w:r>
        <w:rPr>
          <w:rFonts w:ascii="Calibri" w:cs="Calibri" w:eastAsia="Calibri" w:hAnsi="Calibri"/>
          <w:b/>
          <w:bCs/>
          <w:sz w:val="21"/>
          <w:szCs w:val="21"/>
        </w:rPr>
        <w:t xml:space="preserve">Stage B (segmenter). </w:t>
      </w:r>
      <w:r>
        <w:rPr>
          <w:rFonts w:ascii="Calibri" w:cs="Calibri" w:eastAsia="Calibri" w:hAnsi="Calibri"/>
          <w:sz w:val="21"/>
          <w:szCs w:val="21"/>
        </w:rPr>
        <w:t xml:space="preserve">Mean per-case Dice 0.748 left, 0.747 right. Below the 2025 pipeline, and by more than we first thought — see Section 4.</w:t>
      </w:r>
    </w:p>
    <w:p>
      <w:pPr>
        <w:pStyle w:val="ListParagraph"/>
        <w:numPr>
          <w:ilvl w:val="0"/>
          <w:numId w:val="1"/>
        </w:numPr>
        <w:spacing w:after="60" w:line="276"/>
      </w:pPr>
      <w:r>
        <w:rPr>
          <w:rFonts w:ascii="Calibri" w:cs="Calibri" w:eastAsia="Calibri" w:hAnsi="Calibri"/>
          <w:b/>
          <w:bCs/>
          <w:sz w:val="21"/>
          <w:szCs w:val="21"/>
        </w:rPr>
        <w:t xml:space="preserve">Stage A (gate). </w:t>
      </w:r>
      <w:r>
        <w:rPr>
          <w:rFonts w:ascii="Calibri" w:cs="Calibri" w:eastAsia="Calibri" w:hAnsi="Calibri"/>
          <w:sz w:val="21"/>
          <w:szCs w:val="21"/>
        </w:rPr>
        <w:t xml:space="preserve">The best gate removes 63% of slices while retaining 99% of gland-bearing ones. This is the clearest positive result of the work.</w:t>
      </w:r>
    </w:p>
    <w:p>
      <w:pPr>
        <w:pStyle w:val="ListParagraph"/>
        <w:numPr>
          <w:ilvl w:val="0"/>
          <w:numId w:val="1"/>
        </w:numPr>
        <w:spacing w:after="60" w:line="276"/>
      </w:pPr>
      <w:r>
        <w:rPr>
          <w:rFonts w:ascii="Calibri" w:cs="Calibri" w:eastAsia="Calibri" w:hAnsi="Calibri"/>
          <w:b/>
          <w:bCs/>
          <w:sz w:val="21"/>
          <w:szCs w:val="21"/>
        </w:rPr>
        <w:t xml:space="preserve">The spiking gate loses to its own baseline. </w:t>
      </w:r>
      <w:r>
        <w:rPr>
          <w:rFonts w:ascii="Calibri" w:cs="Calibri" w:eastAsia="Calibri" w:hAnsi="Calibri"/>
          <w:sz w:val="21"/>
          <w:szCs w:val="21"/>
        </w:rPr>
        <w:t xml:space="preserve">After nine tuning configurations each and parameter counts matched within 2%, the CNN-LSTM reaches 0.8827 PR-AUC and the spiking gate 0.8407.</w:t>
      </w:r>
    </w:p>
    <w:p>
      <w:pPr>
        <w:pStyle w:val="ListParagraph"/>
        <w:numPr>
          <w:ilvl w:val="0"/>
          <w:numId w:val="1"/>
        </w:numPr>
        <w:spacing w:after="60" w:line="276"/>
      </w:pPr>
      <w:r>
        <w:rPr>
          <w:rFonts w:ascii="Calibri" w:cs="Calibri" w:eastAsia="Calibri" w:hAnsi="Calibri"/>
          <w:b/>
          <w:bCs/>
          <w:sz w:val="21"/>
          <w:szCs w:val="21"/>
        </w:rPr>
        <w:t xml:space="preserve">The sequence encoding contributes nothing. </w:t>
      </w:r>
      <w:r>
        <w:rPr>
          <w:rFonts w:ascii="Calibri" w:cs="Calibri" w:eastAsia="Calibri" w:hAnsi="Calibri"/>
          <w:sz w:val="21"/>
          <w:szCs w:val="21"/>
        </w:rPr>
        <w:t xml:space="preserve">Falsified at k=5, again at k=9, and a third time by an order-discarding readout on the baseline costing 0.004. A synthetic control rules out the architecture being incapable.</w:t>
      </w:r>
    </w:p>
    <w:p>
      <w:pPr>
        <w:pStyle w:val="ListParagraph"/>
        <w:numPr>
          <w:ilvl w:val="0"/>
          <w:numId w:val="1"/>
        </w:numPr>
        <w:spacing w:after="60" w:line="276"/>
      </w:pPr>
      <w:r>
        <w:rPr>
          <w:rFonts w:ascii="Calibri" w:cs="Calibri" w:eastAsia="Calibri" w:hAnsi="Calibri"/>
          <w:b/>
          <w:bCs/>
          <w:sz w:val="21"/>
          <w:szCs w:val="21"/>
        </w:rPr>
        <w:t xml:space="preserve">Two findings survive independent of all that. </w:t>
      </w:r>
      <w:r>
        <w:rPr>
          <w:rFonts w:ascii="Calibri" w:cs="Calibri" w:eastAsia="Calibri" w:hAnsi="Calibri"/>
          <w:sz w:val="21"/>
          <w:szCs w:val="21"/>
        </w:rPr>
        <w:t xml:space="preserve">A quantified explanation of why post-processing helps 2D pipelines and not this one, and a clear dependence of segmentation quality on gland size.</w:t>
      </w:r>
    </w:p>
    <w:p>
      <w:pPr>
        <w:pStyle w:val="Heading1"/>
        <w:spacing w:after="110" w:before="260"/>
      </w:pPr>
      <w:r>
        <w:rPr>
          <w:rFonts w:ascii="Calibri" w:cs="Calibri" w:eastAsia="Calibri" w:hAnsi="Calibri"/>
          <w:b/>
          <w:bCs/>
          <w:color w:val="1F3A54"/>
          <w:sz w:val="26"/>
          <w:szCs w:val="26"/>
        </w:rPr>
        <w:t xml:space="preserve">2.  Stage B: getting a segmenter that trains at all</w:t>
      </w:r>
    </w:p>
    <w:p>
      <w:pPr>
        <w:spacing w:after="100" w:before="0" w:line="276"/>
      </w:pPr>
      <w:r>
        <w:rPr>
          <w:rFonts w:ascii="Calibri" w:cs="Calibri" w:eastAsia="Calibri" w:hAnsi="Calibri"/>
          <w:sz w:val="21"/>
          <w:szCs w:val="21"/>
        </w:rPr>
        <w:t xml:space="preserve">The first three attempts failed, and the failures were informative enough to be worth recording.</w:t>
      </w:r>
    </w:p>
    <w:p>
      <w:pPr>
        <w:spacing w:after="100" w:before="0" w:line="276"/>
      </w:pPr>
      <w:r>
        <w:rPr>
          <w:rFonts w:ascii="Calibri" w:cs="Calibri" w:eastAsia="Calibri" w:hAnsi="Calibri"/>
          <w:sz w:val="21"/>
          <w:szCs w:val="21"/>
        </w:rPr>
        <w:t xml:space="preserve">Runs 1 and 3 collapsed to all-zero predictions within a few epochs. The cause was the loss. With left and right adrenal as separate output channels, many slices contain one gland but not the other, leaving that channel's target completely empty — and on an empty target, per-sample Dice is near 1.0 for any non-zero prediction and falls only as the prediction goes to zero. Roughly half of all (sample, channel) pairs were therefore emitting a gradient that said “predict nothing”, and the network duly found that solution. Pooling the Dice numerator and denominator across the batch removes the pathology: an empty channel then only adds to the denominator while other slices in the batch supply the intersection.</w:t>
      </w:r>
    </w:p>
    <w:p>
      <w:pPr>
        <w:spacing w:after="100" w:before="0" w:line="276"/>
      </w:pPr>
      <w:r>
        <w:rPr>
          <w:rFonts w:ascii="Calibri" w:cs="Calibri" w:eastAsia="Calibri" w:hAnsi="Calibri"/>
          <w:sz w:val="21"/>
          <w:szCs w:val="21"/>
        </w:rPr>
        <w:t xml:space="preserve">Run 4's failure tail turned out to be modality contamination. AMOS22 Task 2 mixes CT and MRI, and HU windowing makes MRI unusable — MRI scored 0.529/0.469 against CT's 0.754/0.752. All subsequent work is CT only.</w:t>
      </w:r>
    </w:p>
    <w:p>
      <w:pPr>
        <w:spacing w:after="100" w:before="0" w:line="276"/>
      </w:pPr>
      <w:r>
        <w:rPr>
          <w:rFonts w:ascii="Calibri" w:cs="Calibri" w:eastAsia="Calibri" w:hAnsi="Calibri"/>
          <w:sz w:val="21"/>
          <w:szCs w:val="21"/>
        </w:rPr>
        <w:t xml:space="preserve">Two measurement errors were corrected in the same period: an early evaluation reported pooled aggregate Dice rather than the mean per-case Dice that papers report, and the operating-threshold sweep had its optimum sitting on the floor of its own search range until the range was extended down to 0.01. Neither changed the model; both changed the number.</w:t>
      </w:r>
    </w:p>
    <w:p>
      <w:pPr>
        <w:pStyle w:val="Heading1"/>
        <w:spacing w:after="110" w:before="260"/>
      </w:pPr>
      <w:r>
        <w:rPr>
          <w:rFonts w:ascii="Calibri" w:cs="Calibri" w:eastAsia="Calibri" w:hAnsi="Calibri"/>
          <w:b/>
          <w:bCs/>
          <w:color w:val="1F3A54"/>
          <w:sz w:val="26"/>
          <w:szCs w:val="26"/>
        </w:rPr>
        <w:t xml:space="preserve">3.  Stage B: the result, and where the deficit lives</w:t>
      </w:r>
    </w:p>
    <w:p>
      <w:pPr>
        <w:spacing w:after="100" w:before="0" w:line="276"/>
      </w:pPr>
      <w:r>
        <w:rPr>
          <w:rFonts w:ascii="Calibri" w:cs="Calibri" w:eastAsia="Calibri" w:hAnsi="Calibri"/>
          <w:sz w:val="21"/>
          <w:szCs w:val="21"/>
        </w:rPr>
        <w:t xml:space="preserve">Run 5 reaches mean per-case Dice of 0.748 left and 0.747 right over 100 validation patients. The median is 0.784, so a small tail carries the deficit: 6 of 200 gland instances score below 0.5. Repeating an evaluation of the same checkpoint at the same threshold gave raw right-gland means of 0.7527 and 0.7450, which sets a run-to-run noise floor of about 0.008 — differences smaller than that are not treated as improvements anywhere in this report.</w:t>
      </w:r>
    </w:p>
    <w:p>
      <w:pPr>
        <w:spacing w:after="100" w:before="0" w:line="276"/>
      </w:pPr>
      <w:r>
        <w:rPr>
          <w:rFonts w:ascii="Calibri" w:cs="Calibri" w:eastAsia="Calibri" w:hAnsi="Calibri"/>
          <w:sz w:val="21"/>
          <w:szCs w:val="21"/>
        </w:rPr>
        <w:t xml:space="preserve">A diagnostic script was built to explain those failing cases rather than tune around them. It ranks the failures, maps each gland's geometry through the preprocessing, runs the checkpoint on the case, and separates the candidate explanations. Four hypotheses were tested; all four were rejected.</w:t>
      </w:r>
    </w:p>
    <w:tbl>
      <w:tblPr>
        <w:tblW w:type="dxa" w:w="9026"/>
        <w:tblBorders>
          <w:top w:val="single" w:color="B7C4D0" w:sz="2"/>
          <w:left w:val="single" w:color="B7C4D0" w:sz="2"/>
          <w:bottom w:val="single" w:color="B7C4D0" w:sz="2"/>
          <w:right w:val="single" w:color="B7C4D0" w:sz="2"/>
          <w:insideH w:val="single" w:color="D4DDE5" w:sz="1"/>
          <w:insideV w:val="single" w:color="D4DDE5" w:sz="1"/>
        </w:tblBorders>
      </w:tblPr>
      <w:tblGrid>
        <w:gridCol w:w="2450"/>
        <w:gridCol w:w="4100"/>
        <w:gridCol w:w="2476"/>
      </w:tblGrid>
      <w:tr>
        <w:trPr>
          <w:tblHeader/>
        </w:trPr>
        <w:tc>
          <w:tcPr>
            <w:tcW w:type="dxa" w:w="2450"/>
            <w:shd w:fill="E8EDF2"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Hypothesis</w:t>
            </w:r>
          </w:p>
        </w:tc>
        <w:tc>
          <w:tcPr>
            <w:tcW w:type="dxa" w:w="4100"/>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Test</w:t>
            </w:r>
          </w:p>
        </w:tc>
        <w:tc>
          <w:tcPr>
            <w:tcW w:type="dxa" w:w="2476"/>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Verdict</w:t>
            </w:r>
          </w:p>
        </w:tc>
      </w:tr>
      <w:tr>
        <w:trPr>
          <w:cantSplit/>
        </w:trPr>
        <w:tc>
          <w:tcPr>
            <w:tcW w:type="dxa" w:w="2450"/>
            <w:tcMar>
              <w:top w:type="dxa" w:w="70"/>
              <w:left w:type="dxa" w:w="110"/>
              <w:bottom w:type="dxa" w:w="70"/>
              <w:right w:type="dxa" w:w="110"/>
            </w:tcMar>
          </w:tcPr>
          <w:p>
            <w:pPr>
              <w:spacing w:after="0" w:line="250"/>
            </w:pPr>
            <w:r>
              <w:rPr>
                <w:rFonts w:ascii="Calibri" w:cs="Calibri" w:eastAsia="Calibri" w:hAnsi="Calibri"/>
                <w:sz w:val="19"/>
                <w:szCs w:val="19"/>
              </w:rPr>
              <w:t xml:space="preserve">Gland cropped out of the field of view</w:t>
            </w:r>
          </w:p>
        </w:tc>
        <w:tc>
          <w:tcPr>
            <w:tcW w:type="dxa" w:w="41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Native bounding box mapped through the same resample and 384 px crop</w:t>
            </w:r>
          </w:p>
        </w:tc>
        <w:tc>
          <w:tcPr>
            <w:tcW w:type="dxa" w:w="2476"/>
            <w:tcMar>
              <w:top w:type="dxa" w:w="70"/>
              <w:left w:type="dxa" w:w="110"/>
              <w:bottom w:type="dxa" w:w="70"/>
              <w:right w:type="dxa" w:w="110"/>
            </w:tcMar>
          </w:tcPr>
          <w:p>
            <w:pPr>
              <w:spacing w:after="0" w:line="250"/>
              <w:jc w:val="center"/>
            </w:pPr>
            <w:r>
              <w:rPr>
                <w:rFonts w:ascii="Calibri" w:cs="Calibri" w:eastAsia="Calibri" w:hAnsi="Calibri"/>
                <w:sz w:val="19"/>
                <w:szCs w:val="19"/>
              </w:rPr>
              <w:t xml:space="preserve">Rejected — all inside, 95–102% of voxels retained</w:t>
            </w:r>
          </w:p>
        </w:tc>
      </w:tr>
      <w:tr>
        <w:trPr>
          <w:cantSplit/>
        </w:trPr>
        <w:tc>
          <w:tcPr>
            <w:tcW w:type="dxa" w:w="2450"/>
            <w:shd w:fill="F6F8FA"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Left/right channel confusion</w:t>
            </w:r>
          </w:p>
        </w:tc>
        <w:tc>
          <w:tcPr>
            <w:tcW w:type="dxa" w:w="410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Each prediction scored against the opposite gland's truth</w:t>
            </w:r>
          </w:p>
        </w:tc>
        <w:tc>
          <w:tcPr>
            <w:tcW w:type="dxa" w:w="2476"/>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Rejected — 0.000 in every case</w:t>
            </w:r>
          </w:p>
        </w:tc>
      </w:tr>
      <w:tr>
        <w:trPr>
          <w:cantSplit/>
        </w:trPr>
        <w:tc>
          <w:tcPr>
            <w:tcW w:type="dxa" w:w="2450"/>
            <w:tcMar>
              <w:top w:type="dxa" w:w="70"/>
              <w:left w:type="dxa" w:w="110"/>
              <w:bottom w:type="dxa" w:w="70"/>
              <w:right w:type="dxa" w:w="110"/>
            </w:tcMar>
          </w:tcPr>
          <w:p>
            <w:pPr>
              <w:spacing w:after="0" w:line="250"/>
            </w:pPr>
            <w:r>
              <w:rPr>
                <w:rFonts w:ascii="Calibri" w:cs="Calibri" w:eastAsia="Calibri" w:hAnsi="Calibri"/>
                <w:sz w:val="19"/>
                <w:szCs w:val="19"/>
              </w:rPr>
              <w:t xml:space="preserve">Poor threshold calibration</w:t>
            </w:r>
          </w:p>
        </w:tc>
        <w:tc>
          <w:tcPr>
            <w:tcW w:type="dxa" w:w="41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Per-case oracle threshold against one global threshold</w:t>
            </w:r>
          </w:p>
        </w:tc>
        <w:tc>
          <w:tcPr>
            <w:tcW w:type="dxa" w:w="2476"/>
            <w:tcMar>
              <w:top w:type="dxa" w:w="70"/>
              <w:left w:type="dxa" w:w="110"/>
              <w:bottom w:type="dxa" w:w="70"/>
              <w:right w:type="dxa" w:w="110"/>
            </w:tcMar>
          </w:tcPr>
          <w:p>
            <w:pPr>
              <w:spacing w:after="0" w:line="250"/>
              <w:jc w:val="center"/>
            </w:pPr>
            <w:r>
              <w:rPr>
                <w:rFonts w:ascii="Calibri" w:cs="Calibri" w:eastAsia="Calibri" w:hAnsi="Calibri"/>
                <w:sz w:val="19"/>
                <w:szCs w:val="19"/>
              </w:rPr>
              <w:t xml:space="preserve">Rejected — worth only +0.010 Dice</w:t>
            </w:r>
          </w:p>
        </w:tc>
      </w:tr>
      <w:tr>
        <w:trPr>
          <w:cantSplit/>
        </w:trPr>
        <w:tc>
          <w:tcPr>
            <w:tcW w:type="dxa" w:w="2450"/>
            <w:shd w:fill="F6F8FA"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Coarse slice thickness</w:t>
            </w:r>
          </w:p>
        </w:tc>
        <w:tc>
          <w:tcPr>
            <w:tcW w:type="dxa" w:w="410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Dice bucketed by native z-spacing</w:t>
            </w:r>
          </w:p>
        </w:tc>
        <w:tc>
          <w:tcPr>
            <w:tcW w:type="dxa" w:w="2476"/>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Rejected, and inverted — ≥ 5 mm scores 0.757, 2–3 mm scores 0.727</w:t>
            </w:r>
          </w:p>
        </w:tc>
      </w:tr>
    </w:tbl>
    <w:p>
      <w:pPr>
        <w:spacing w:after="160" w:before="60"/>
      </w:pPr>
      <w:r>
        <w:rPr>
          <w:rFonts w:ascii="Calibri" w:cs="Calibri" w:eastAsia="Calibri" w:hAnsi="Calibri"/>
          <w:i/>
          <w:iCs/>
          <w:color w:val="5A6B7A"/>
          <w:sz w:val="17"/>
          <w:szCs w:val="17"/>
        </w:rPr>
        <w:t xml:space="preserve">Table 1. Four candidate explanations for the failure tail, all eliminated. The slice-thickness result was the reverse of the hypothesis, and cancelled a planned finer-z-spacing run before it was launched.</w:t>
      </w:r>
    </w:p>
    <w:p>
      <w:pPr>
        <w:spacing w:after="100" w:before="0" w:line="276"/>
      </w:pPr>
      <w:r>
        <w:rPr>
          <w:rFonts w:ascii="Calibri" w:cs="Calibri" w:eastAsia="Calibri" w:hAnsi="Calibri"/>
          <w:sz w:val="21"/>
          <w:szCs w:val="21"/>
        </w:rPr>
        <w:t xml:space="preserve">One signal survived, and it is unambiguous.</w:t>
      </w:r>
    </w:p>
    <w:tbl>
      <w:tblPr>
        <w:tblW w:type="dxa" w:w="9026"/>
        <w:tblBorders>
          <w:top w:val="single" w:color="B7C4D0" w:sz="2"/>
          <w:left w:val="single" w:color="B7C4D0" w:sz="2"/>
          <w:bottom w:val="single" w:color="B7C4D0" w:sz="2"/>
          <w:right w:val="single" w:color="B7C4D0" w:sz="2"/>
          <w:insideH w:val="single" w:color="D4DDE5" w:sz="1"/>
          <w:insideV w:val="single" w:color="D4DDE5" w:sz="1"/>
        </w:tblBorders>
      </w:tblPr>
      <w:tblGrid>
        <w:gridCol w:w="2800"/>
        <w:gridCol w:w="1300"/>
        <w:gridCol w:w="1900"/>
        <w:gridCol w:w="3026"/>
      </w:tblGrid>
      <w:tr>
        <w:trPr>
          <w:tblHeader/>
        </w:trPr>
        <w:tc>
          <w:tcPr>
            <w:tcW w:type="dxa" w:w="2800"/>
            <w:shd w:fill="E8EDF2"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Gland volume</w:t>
            </w:r>
          </w:p>
        </w:tc>
        <w:tc>
          <w:tcPr>
            <w:tcW w:type="dxa" w:w="1300"/>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n</w:t>
            </w:r>
          </w:p>
        </w:tc>
        <w:tc>
          <w:tcPr>
            <w:tcW w:type="dxa" w:w="1900"/>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Mean Dice</w:t>
            </w:r>
          </w:p>
        </w:tc>
        <w:tc>
          <w:tcPr>
            <w:tcW w:type="dxa" w:w="3026"/>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Median</w:t>
            </w:r>
          </w:p>
        </w:tc>
      </w:tr>
      <w:tr>
        <w:trPr>
          <w:cantSplit/>
        </w:trPr>
        <w:tc>
          <w:tcPr>
            <w:tcW w:type="dxa" w:w="2800"/>
            <w:tcMar>
              <w:top w:type="dxa" w:w="70"/>
              <w:left w:type="dxa" w:w="110"/>
              <w:bottom w:type="dxa" w:w="70"/>
              <w:right w:type="dxa" w:w="110"/>
            </w:tcMar>
          </w:tcPr>
          <w:p>
            <w:pPr>
              <w:spacing w:after="0" w:line="250"/>
            </w:pPr>
            <w:r>
              <w:rPr>
                <w:rFonts w:ascii="Calibri" w:cs="Calibri" w:eastAsia="Calibri" w:hAnsi="Calibri"/>
                <w:sz w:val="19"/>
                <w:szCs w:val="19"/>
              </w:rPr>
              <w:t xml:space="preserve">&lt; 2 630 mm³</w:t>
            </w:r>
          </w:p>
        </w:tc>
        <w:tc>
          <w:tcPr>
            <w:tcW w:type="dxa" w:w="13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49</w:t>
            </w:r>
          </w:p>
        </w:tc>
        <w:tc>
          <w:tcPr>
            <w:tcW w:type="dxa" w:w="19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0.676</w:t>
            </w:r>
          </w:p>
        </w:tc>
        <w:tc>
          <w:tcPr>
            <w:tcW w:type="dxa" w:w="3026"/>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0.721</w:t>
            </w:r>
          </w:p>
        </w:tc>
      </w:tr>
      <w:tr>
        <w:trPr>
          <w:cantSplit/>
        </w:trPr>
        <w:tc>
          <w:tcPr>
            <w:tcW w:type="dxa" w:w="2800"/>
            <w:shd w:fill="F6F8FA"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2 630 – 3 295 mm³</w:t>
            </w:r>
          </w:p>
        </w:tc>
        <w:tc>
          <w:tcPr>
            <w:tcW w:type="dxa" w:w="130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50</w:t>
            </w:r>
          </w:p>
        </w:tc>
        <w:tc>
          <w:tcPr>
            <w:tcW w:type="dxa" w:w="190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0.755</w:t>
            </w:r>
          </w:p>
        </w:tc>
        <w:tc>
          <w:tcPr>
            <w:tcW w:type="dxa" w:w="3026"/>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0.772</w:t>
            </w:r>
          </w:p>
        </w:tc>
      </w:tr>
      <w:tr>
        <w:trPr>
          <w:cantSplit/>
        </w:trPr>
        <w:tc>
          <w:tcPr>
            <w:tcW w:type="dxa" w:w="2800"/>
            <w:tcMar>
              <w:top w:type="dxa" w:w="70"/>
              <w:left w:type="dxa" w:w="110"/>
              <w:bottom w:type="dxa" w:w="70"/>
              <w:right w:type="dxa" w:w="110"/>
            </w:tcMar>
          </w:tcPr>
          <w:p>
            <w:pPr>
              <w:spacing w:after="0" w:line="250"/>
            </w:pPr>
            <w:r>
              <w:rPr>
                <w:rFonts w:ascii="Calibri" w:cs="Calibri" w:eastAsia="Calibri" w:hAnsi="Calibri"/>
                <w:sz w:val="19"/>
                <w:szCs w:val="19"/>
              </w:rPr>
              <w:t xml:space="preserve">3 295 – 4 150 mm³</w:t>
            </w:r>
          </w:p>
        </w:tc>
        <w:tc>
          <w:tcPr>
            <w:tcW w:type="dxa" w:w="13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50</w:t>
            </w:r>
          </w:p>
        </w:tc>
        <w:tc>
          <w:tcPr>
            <w:tcW w:type="dxa" w:w="19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0.776</w:t>
            </w:r>
          </w:p>
        </w:tc>
        <w:tc>
          <w:tcPr>
            <w:tcW w:type="dxa" w:w="3026"/>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0.799</w:t>
            </w:r>
          </w:p>
        </w:tc>
      </w:tr>
      <w:tr>
        <w:trPr>
          <w:cantSplit/>
        </w:trPr>
        <w:tc>
          <w:tcPr>
            <w:tcW w:type="dxa" w:w="2800"/>
            <w:shd w:fill="F6F8FA"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&gt; 4 150 mm³</w:t>
            </w:r>
          </w:p>
        </w:tc>
        <w:tc>
          <w:tcPr>
            <w:tcW w:type="dxa" w:w="130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51</w:t>
            </w:r>
          </w:p>
        </w:tc>
        <w:tc>
          <w:tcPr>
            <w:tcW w:type="dxa" w:w="190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0.773</w:t>
            </w:r>
          </w:p>
        </w:tc>
        <w:tc>
          <w:tcPr>
            <w:tcW w:type="dxa" w:w="3026"/>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0.801</w:t>
            </w:r>
          </w:p>
        </w:tc>
      </w:tr>
    </w:tbl>
    <w:p>
      <w:pPr>
        <w:spacing w:after="160" w:before="60"/>
      </w:pPr>
      <w:r>
        <w:rPr>
          <w:rFonts w:ascii="Calibri" w:cs="Calibri" w:eastAsia="Calibri" w:hAnsi="Calibri"/>
          <w:i/>
          <w:iCs/>
          <w:color w:val="5A6B7A"/>
          <w:sz w:val="17"/>
          <w:szCs w:val="17"/>
        </w:rPr>
        <w:t xml:space="preserve">Table 2. The top three quartiles are flat; the smallest sits 0.10 below and contains every catastrophic failure. Lifting it to the second quartile's level would put the overall mean at 0.765.</w:t>
      </w:r>
    </w:p>
    <w:p>
      <w:pPr>
        <w:pStyle w:val="Heading1"/>
        <w:spacing w:after="110" w:before="260"/>
      </w:pPr>
      <w:r>
        <w:rPr>
          <w:rFonts w:ascii="Calibri" w:cs="Calibri" w:eastAsia="Calibri" w:hAnsi="Calibri"/>
          <w:b/>
          <w:bCs/>
          <w:color w:val="1F3A54"/>
          <w:sz w:val="26"/>
          <w:szCs w:val="26"/>
        </w:rPr>
        <w:t xml:space="preserve">4.  Settling the comparison with the 2025 pipeline</w:t>
      </w:r>
    </w:p>
    <w:p>
      <w:pPr>
        <w:spacing w:after="100" w:before="0" w:line="276"/>
      </w:pPr>
      <w:r>
        <w:rPr>
          <w:rFonts w:ascii="Calibri" w:cs="Calibri" w:eastAsia="Calibri" w:hAnsi="Calibri"/>
          <w:sz w:val="21"/>
          <w:szCs w:val="21"/>
        </w:rPr>
        <w:t xml:space="preserve">A gap of this size only means something if the two numbers measure the same thing, so the 2025 paper was read carefully. The answer removes any escape route: the dataset is the same (AMOS), the split is comparable (200 train / 60 validation / 40 test against our 200 / 100), and the metric is identical — the paper states that Dice was calculated for each whole CT scan per patient rather than on individual slices, with testing on complete volumes including gland-free slices. The comparison is valid, and 0.748 really is below.</w:t>
      </w:r>
    </w:p>
    <w:p>
      <w:pPr>
        <w:spacing w:after="100" w:before="0" w:line="276"/>
      </w:pPr>
      <w:r>
        <w:rPr>
          <w:rFonts w:ascii="Calibri" w:cs="Calibri" w:eastAsia="Calibri" w:hAnsi="Calibri"/>
          <w:sz w:val="21"/>
          <w:szCs w:val="21"/>
        </w:rPr>
        <w:t xml:space="preserve">It is also further below than previously assumed. The 0.82 / 0.75 figures carried through earlier reporting are the VGG16 row of that paper's Table 2, one of six architectures. The best is TransUNet.</w:t>
      </w:r>
    </w:p>
    <w:tbl>
      <w:tblPr>
        <w:tblW w:type="dxa" w:w="9026"/>
        <w:tblBorders>
          <w:top w:val="single" w:color="B7C4D0" w:sz="2"/>
          <w:left w:val="single" w:color="B7C4D0" w:sz="2"/>
          <w:bottom w:val="single" w:color="B7C4D0" w:sz="2"/>
          <w:right w:val="single" w:color="B7C4D0" w:sz="2"/>
          <w:insideH w:val="single" w:color="D4DDE5" w:sz="1"/>
          <w:insideV w:val="single" w:color="D4DDE5" w:sz="1"/>
        </w:tblBorders>
      </w:tblPr>
      <w:tblGrid>
        <w:gridCol w:w="2900"/>
        <w:gridCol w:w="1550"/>
        <w:gridCol w:w="1550"/>
        <w:gridCol w:w="1550"/>
        <w:gridCol w:w="1476"/>
      </w:tblGrid>
      <w:tr>
        <w:trPr>
          <w:tblHeader/>
        </w:trPr>
        <w:tc>
          <w:tcPr>
            <w:tcW w:type="dxa" w:w="2900"/>
            <w:shd w:fill="E8EDF2"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
            </w:r>
          </w:p>
        </w:tc>
        <w:tc>
          <w:tcPr>
            <w:tcW w:type="dxa" w:w="1550"/>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L.A.G raw</w:t>
            </w:r>
          </w:p>
        </w:tc>
        <w:tc>
          <w:tcPr>
            <w:tcW w:type="dxa" w:w="1550"/>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L.A.G post</w:t>
            </w:r>
          </w:p>
        </w:tc>
        <w:tc>
          <w:tcPr>
            <w:tcW w:type="dxa" w:w="1550"/>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R.A.G raw</w:t>
            </w:r>
          </w:p>
        </w:tc>
        <w:tc>
          <w:tcPr>
            <w:tcW w:type="dxa" w:w="1476"/>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R.A.G post</w:t>
            </w:r>
          </w:p>
        </w:tc>
      </w:tr>
      <w:tr>
        <w:trPr>
          <w:cantSplit/>
        </w:trPr>
        <w:tc>
          <w:tcPr>
            <w:tcW w:type="dxa" w:w="2900"/>
            <w:tcMar>
              <w:top w:type="dxa" w:w="70"/>
              <w:left w:type="dxa" w:w="110"/>
              <w:bottom w:type="dxa" w:w="70"/>
              <w:right w:type="dxa" w:w="110"/>
            </w:tcMar>
          </w:tcPr>
          <w:p>
            <w:pPr>
              <w:spacing w:after="0" w:line="250"/>
            </w:pPr>
            <w:r>
              <w:rPr>
                <w:rFonts w:ascii="Calibri" w:cs="Calibri" w:eastAsia="Calibri" w:hAnsi="Calibri"/>
                <w:sz w:val="19"/>
                <w:szCs w:val="19"/>
              </w:rPr>
              <w:t xml:space="preserve">This work (run5)</w:t>
            </w:r>
          </w:p>
        </w:tc>
        <w:tc>
          <w:tcPr>
            <w:tcW w:type="dxa" w:w="155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0.746</w:t>
            </w:r>
          </w:p>
        </w:tc>
        <w:tc>
          <w:tcPr>
            <w:tcW w:type="dxa" w:w="155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0.748</w:t>
            </w:r>
          </w:p>
        </w:tc>
        <w:tc>
          <w:tcPr>
            <w:tcW w:type="dxa" w:w="155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0.745</w:t>
            </w:r>
          </w:p>
        </w:tc>
        <w:tc>
          <w:tcPr>
            <w:tcW w:type="dxa" w:w="1476"/>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0.747</w:t>
            </w:r>
          </w:p>
        </w:tc>
      </w:tr>
      <w:tr>
        <w:trPr>
          <w:cantSplit/>
        </w:trPr>
        <w:tc>
          <w:tcPr>
            <w:tcW w:type="dxa" w:w="2900"/>
            <w:shd w:fill="F6F8FA"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2025 paper, VGG16</w:t>
            </w:r>
          </w:p>
        </w:tc>
        <w:tc>
          <w:tcPr>
            <w:tcW w:type="dxa" w:w="155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0.820</w:t>
            </w:r>
          </w:p>
        </w:tc>
        <w:tc>
          <w:tcPr>
            <w:tcW w:type="dxa" w:w="155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0.910</w:t>
            </w:r>
          </w:p>
        </w:tc>
        <w:tc>
          <w:tcPr>
            <w:tcW w:type="dxa" w:w="155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0.750</w:t>
            </w:r>
          </w:p>
        </w:tc>
        <w:tc>
          <w:tcPr>
            <w:tcW w:type="dxa" w:w="1476"/>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0.900</w:t>
            </w:r>
          </w:p>
        </w:tc>
      </w:tr>
      <w:tr>
        <w:trPr>
          <w:cantSplit/>
        </w:trPr>
        <w:tc>
          <w:tcPr>
            <w:tcW w:type="dxa" w:w="2900"/>
            <w:tcMar>
              <w:top w:type="dxa" w:w="70"/>
              <w:left w:type="dxa" w:w="110"/>
              <w:bottom w:type="dxa" w:w="70"/>
              <w:right w:type="dxa" w:w="110"/>
            </w:tcMar>
          </w:tcPr>
          <w:p>
            <w:pPr>
              <w:spacing w:after="0" w:line="250"/>
            </w:pPr>
            <w:r>
              <w:rPr>
                <w:rFonts w:ascii="Calibri" w:cs="Calibri" w:eastAsia="Calibri" w:hAnsi="Calibri"/>
                <w:sz w:val="19"/>
                <w:szCs w:val="19"/>
              </w:rPr>
              <w:t xml:space="preserve">2025 paper, nnU-Net (2D)</w:t>
            </w:r>
          </w:p>
        </w:tc>
        <w:tc>
          <w:tcPr>
            <w:tcW w:type="dxa" w:w="155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0.850</w:t>
            </w:r>
          </w:p>
        </w:tc>
        <w:tc>
          <w:tcPr>
            <w:tcW w:type="dxa" w:w="155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0.920</w:t>
            </w:r>
          </w:p>
        </w:tc>
        <w:tc>
          <w:tcPr>
            <w:tcW w:type="dxa" w:w="155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0.820</w:t>
            </w:r>
          </w:p>
        </w:tc>
        <w:tc>
          <w:tcPr>
            <w:tcW w:type="dxa" w:w="1476"/>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0.910</w:t>
            </w:r>
          </w:p>
        </w:tc>
      </w:tr>
      <w:tr>
        <w:trPr>
          <w:cantSplit/>
        </w:trPr>
        <w:tc>
          <w:tcPr>
            <w:tcW w:type="dxa" w:w="2900"/>
            <w:shd w:fill="F6F8FA"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2025 paper, TransUNet</w:t>
            </w:r>
          </w:p>
        </w:tc>
        <w:tc>
          <w:tcPr>
            <w:tcW w:type="dxa" w:w="155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0.880</w:t>
            </w:r>
          </w:p>
        </w:tc>
        <w:tc>
          <w:tcPr>
            <w:tcW w:type="dxa" w:w="155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0.920</w:t>
            </w:r>
          </w:p>
        </w:tc>
        <w:tc>
          <w:tcPr>
            <w:tcW w:type="dxa" w:w="155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0.830</w:t>
            </w:r>
          </w:p>
        </w:tc>
        <w:tc>
          <w:tcPr>
            <w:tcW w:type="dxa" w:w="1476"/>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0.930</w:t>
            </w:r>
          </w:p>
        </w:tc>
      </w:tr>
    </w:tbl>
    <w:p>
      <w:pPr>
        <w:spacing w:after="160" w:before="60"/>
      </w:pPr>
      <w:r>
        <w:rPr>
          <w:rFonts w:ascii="Calibri" w:cs="Calibri" w:eastAsia="Calibri" w:hAnsi="Calibri"/>
          <w:i/>
          <w:iCs/>
          <w:color w:val="5A6B7A"/>
          <w:sz w:val="17"/>
          <w:szCs w:val="17"/>
        </w:rPr>
        <w:t xml:space="preserve">Table 3. Against the strongest prior model the deficit is 0.134 on the left gland and 0.085 on the right, not the 0.074 / 0.005 previously reported.</w:t>
      </w:r>
    </w:p>
    <w:p>
      <w:pPr>
        <w:spacing w:after="100" w:before="0" w:line="276"/>
      </w:pPr>
      <w:r>
        <w:rPr>
          <w:rFonts w:ascii="Calibri" w:cs="Calibri" w:eastAsia="Calibri" w:hAnsi="Calibri"/>
          <w:b/>
          <w:bCs/>
          <w:sz w:val="21"/>
          <w:szCs w:val="21"/>
        </w:rPr>
        <w:t xml:space="preserve">The same paper, however, supplies strong support for this project's clearest methodological finding. </w:t>
      </w:r>
      <w:r>
        <w:rPr>
          <w:rFonts w:ascii="Calibri" w:cs="Calibri" w:eastAsia="Calibri" w:hAnsi="Calibri"/>
          <w:sz w:val="21"/>
          <w:szCs w:val="21"/>
        </w:rPr>
        <w:t xml:space="preserve">All six of its architectures are 2D, and every one gains substantially from connected-component post-processing — between +0.04 and +0.26 across its twenty-four model-by-gland-by-dataset entries. Across those entries the gain correlates with raw Dice at r = −0.898: the worse the raw model, the more pruning buys, which is exactly what one expects if pruning is removing spurious disconnected fragments. Extrapolating that trend to our raw score of 0.746 predicts a gain of +0.130. We measure +0.002, on the same dataset, same organ and same metric, with 2.2–2.7 predicted components per gland and roughly one removable.</w:t>
      </w:r>
    </w:p>
    <w:p>
      <w:pPr>
        <w:spacing w:after="100" w:before="0" w:line="276"/>
      </w:pPr>
      <w:r>
        <w:rPr>
          <w:rFonts w:ascii="Calibri" w:cs="Calibri" w:eastAsia="Calibri" w:hAnsi="Calibri"/>
          <w:sz w:val="21"/>
          <w:szCs w:val="21"/>
        </w:rPr>
        <w:t xml:space="preserve">The most economical explanation is that the reported benefit of post-processing in these pipelines is a symptom of inter-slice incoherence in per-slice 2D inference, which the 2.5D formulation does not produce. That reframes a widely reported “improvement” as the repair of a defect, and it is a finding in its own right.</w:t>
      </w:r>
    </w:p>
    <w:p>
      <w:pPr>
        <w:spacing w:after="100" w:before="0" w:line="276"/>
      </w:pPr>
      <w:r>
        <w:rPr>
          <w:rFonts w:ascii="Calibri" w:cs="Calibri" w:eastAsia="Calibri" w:hAnsi="Calibri"/>
          <w:sz w:val="21"/>
          <w:szCs w:val="21"/>
        </w:rPr>
        <w:t xml:space="preserve">Reading the paper also produced three concrete, testable differences that may account for part of the deficit: it trained on gland-containing slices only (1,749 of 26,069, augmented to 5,247) where we train at a 0.7 negative-to-positive ratio; it used a tight HU window of (10, 60) with CLAHE where we use (−135, 215) with none; and it averaged four test-time augmentations, which we have not yet run.</w:t>
      </w:r>
    </w:p>
    <w:p>
      <w:pPr>
        <w:pStyle w:val="Heading1"/>
        <w:spacing w:after="110" w:before="260"/>
      </w:pPr>
      <w:r>
        <w:rPr>
          <w:rFonts w:ascii="Calibri" w:cs="Calibri" w:eastAsia="Calibri" w:hAnsi="Calibri"/>
          <w:b/>
          <w:bCs/>
          <w:color w:val="1F3A54"/>
          <w:sz w:val="26"/>
          <w:szCs w:val="26"/>
        </w:rPr>
        <w:t xml:space="preserve">5.  Stage A: the claim that did not survive</w:t>
      </w:r>
    </w:p>
    <w:p>
      <w:pPr>
        <w:spacing w:after="100" w:before="0" w:line="276"/>
      </w:pPr>
      <w:r>
        <w:rPr>
          <w:rFonts w:ascii="Calibri" w:cs="Calibri" w:eastAsia="Calibri" w:hAnsi="Calibri"/>
          <w:sz w:val="21"/>
          <w:szCs w:val="21"/>
        </w:rPr>
        <w:t xml:space="preserve">Stage A decides which slices are worth segmenting. Until this month it had never been trained. A single entry point now covers three arms, differing by one flag each and identical in sampler, augmentation, schedule, seed, loss and metric — the claim being that the spiking gate wins given the same windows, which is only measurable if nothing else varies. Before any result could be interpreted, a parameter count revealed that the “matched-capacity” baseline carried 417,762 parameters against the spiking gate's 285,666. Reducing the LSTM's hidden width to 32 brings it to 281,826, within 2%. Every figure below uses the matched configuration.</w:t>
      </w:r>
    </w:p>
    <w:p>
      <w:pPr>
        <w:spacing w:after="100" w:before="0" w:line="276"/>
      </w:pPr>
      <w:r>
        <w:rPr>
          <w:rFonts w:ascii="Calibri" w:cs="Calibri" w:eastAsia="Calibri" w:hAnsi="Calibri"/>
          <w:sz w:val="21"/>
          <w:szCs w:val="21"/>
        </w:rPr>
        <w:t xml:space="preserve">The first result was that arm E (five consecutive slices as five time steps) scored 0.7607 against arm G (the centre slice repeated five times) at 0.7572 — a difference of 0.0035, when adjacent epochs within a single run swing by 0.05. The obvious suspicion was the readout: the classifier receives a spike count, an integer in 0 to 5, so the temporal trajectory looked as though it were being discarded at the last layer.</w:t>
      </w:r>
    </w:p>
    <w:p>
      <w:pPr>
        <w:spacing w:after="100" w:before="0" w:line="276"/>
      </w:pPr>
      <w:r>
        <w:rPr>
          <w:rFonts w:ascii="Calibri" w:cs="Calibri" w:eastAsia="Calibri" w:hAnsi="Calibri"/>
          <w:b/>
          <w:bCs/>
          <w:sz w:val="21"/>
          <w:szCs w:val="21"/>
        </w:rPr>
        <w:t xml:space="preserve">That diagnosis was wrong, and a control experiment caught it before any compute was spent on it. </w:t>
      </w:r>
      <w:r>
        <w:rPr>
          <w:rFonts w:ascii="Calibri" w:cs="Calibri" w:eastAsia="Calibri" w:hAnsi="Calibri"/>
          <w:sz w:val="21"/>
          <w:szCs w:val="21"/>
        </w:rPr>
        <w:t xml:space="preserve">A synthetic probe was built in which a blob translates through a stack of slices; half the windows descend, half ascend, and the ascending class is the descending class reversed — so both classes contain identical slices and only the order separates them. Arm E, exactly as run, scores 100%. So does every other configuration. The architecture represents slice order without difficulty, which means arm E ≈ arm G is a statement about the data rather than a defect: the ordering of adjacent slices carries little information about gland presence beyond the set of slices itself.</w:t>
      </w:r>
    </w:p>
    <w:p>
      <w:pPr>
        <w:spacing w:after="100" w:before="0" w:line="276"/>
      </w:pPr>
      <w:r>
        <w:rPr>
          <w:rFonts w:ascii="Calibri" w:cs="Calibri" w:eastAsia="Calibri" w:hAnsi="Calibri"/>
          <w:sz w:val="21"/>
          <w:szCs w:val="21"/>
        </w:rPr>
        <w:t xml:space="preserve">The spiking gate was then given nine configurations targeting generalisation, since it overfitted badly where the baseline did not. It improved substantially. For fairness the baseline was then given the same nine — otherwise a tuned model would have been compared against an untuned one, and the difference would have been one of effort rather than architecture.</w:t>
      </w:r>
    </w:p>
    <w:tbl>
      <w:tblPr>
        <w:tblW w:type="dxa" w:w="9026"/>
        <w:tblBorders>
          <w:top w:val="single" w:color="B7C4D0" w:sz="2"/>
          <w:left w:val="single" w:color="B7C4D0" w:sz="2"/>
          <w:bottom w:val="single" w:color="B7C4D0" w:sz="2"/>
          <w:right w:val="single" w:color="B7C4D0" w:sz="2"/>
          <w:insideH w:val="single" w:color="D4DDE5" w:sz="1"/>
          <w:insideV w:val="single" w:color="D4DDE5" w:sz="1"/>
        </w:tblBorders>
      </w:tblPr>
      <w:tblGrid>
        <w:gridCol w:w="2600"/>
        <w:gridCol w:w="1700"/>
        <w:gridCol w:w="1700"/>
        <w:gridCol w:w="1500"/>
        <w:gridCol w:w="1526"/>
      </w:tblGrid>
      <w:tr>
        <w:trPr>
          <w:tblHeader/>
        </w:trPr>
        <w:tc>
          <w:tcPr>
            <w:tcW w:type="dxa" w:w="2600"/>
            <w:shd w:fill="E8EDF2"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
            </w:r>
          </w:p>
        </w:tc>
        <w:tc>
          <w:tcPr>
            <w:tcW w:type="dxa" w:w="1700"/>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baseline</w:t>
            </w:r>
          </w:p>
        </w:tc>
        <w:tc>
          <w:tcPr>
            <w:tcW w:type="dxa" w:w="1700"/>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best of nine</w:t>
            </w:r>
          </w:p>
        </w:tc>
        <w:tc>
          <w:tcPr>
            <w:tcW w:type="dxa" w:w="1500"/>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tuning gain</w:t>
            </w:r>
          </w:p>
        </w:tc>
        <w:tc>
          <w:tcPr>
            <w:tcW w:type="dxa" w:w="1526"/>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slices removed</w:t>
            </w:r>
          </w:p>
        </w:tc>
      </w:tr>
      <w:tr>
        <w:trPr>
          <w:cantSplit/>
        </w:trPr>
        <w:tc>
          <w:tcPr>
            <w:tcW w:type="dxa" w:w="2600"/>
            <w:tcMar>
              <w:top w:type="dxa" w:w="70"/>
              <w:left w:type="dxa" w:w="110"/>
              <w:bottom w:type="dxa" w:w="70"/>
              <w:right w:type="dxa" w:w="110"/>
            </w:tcMar>
          </w:tcPr>
          <w:p>
            <w:pPr>
              <w:spacing w:after="0" w:line="250"/>
            </w:pPr>
            <w:r>
              <w:rPr>
                <w:rFonts w:ascii="Calibri" w:cs="Calibri" w:eastAsia="Calibri" w:hAnsi="Calibri"/>
                <w:sz w:val="19"/>
                <w:szCs w:val="19"/>
              </w:rPr>
              <w:t xml:space="preserve">Spiking gate</w:t>
            </w:r>
          </w:p>
        </w:tc>
        <w:tc>
          <w:tcPr>
            <w:tcW w:type="dxa" w:w="17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0.7607</w:t>
            </w:r>
          </w:p>
        </w:tc>
        <w:tc>
          <w:tcPr>
            <w:tcW w:type="dxa" w:w="17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0.8407</w:t>
            </w:r>
          </w:p>
        </w:tc>
        <w:tc>
          <w:tcPr>
            <w:tcW w:type="dxa" w:w="15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+0.0800</w:t>
            </w:r>
          </w:p>
        </w:tc>
        <w:tc>
          <w:tcPr>
            <w:tcW w:type="dxa" w:w="1526"/>
            <w:tcMar>
              <w:top w:type="dxa" w:w="70"/>
              <w:left w:type="dxa" w:w="110"/>
              <w:bottom w:type="dxa" w:w="70"/>
              <w:right w:type="dxa" w:w="110"/>
            </w:tcMar>
          </w:tcPr>
          <w:p>
            <w:pPr>
              <w:spacing w:after="0" w:line="250"/>
              <w:jc w:val="center"/>
            </w:pPr>
            <w:r>
              <w:rPr>
                <w:rFonts w:ascii="Calibri" w:cs="Calibri" w:eastAsia="Calibri" w:hAnsi="Calibri"/>
                <w:sz w:val="19"/>
                <w:szCs w:val="19"/>
              </w:rPr>
              <w:t xml:space="preserve">54.3%</w:t>
            </w:r>
          </w:p>
        </w:tc>
      </w:tr>
      <w:tr>
        <w:trPr>
          <w:cantSplit/>
        </w:trPr>
        <w:tc>
          <w:tcPr>
            <w:tcW w:type="dxa" w:w="2600"/>
            <w:shd w:fill="F6F8FA"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CNN-LSTM</w:t>
            </w:r>
          </w:p>
        </w:tc>
        <w:tc>
          <w:tcPr>
            <w:tcW w:type="dxa" w:w="170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0.8821</w:t>
            </w:r>
          </w:p>
        </w:tc>
        <w:tc>
          <w:tcPr>
            <w:tcW w:type="dxa" w:w="170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0.8827</w:t>
            </w:r>
          </w:p>
        </w:tc>
        <w:tc>
          <w:tcPr>
            <w:tcW w:type="dxa" w:w="150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+0.0006</w:t>
            </w:r>
          </w:p>
        </w:tc>
        <w:tc>
          <w:tcPr>
            <w:tcW w:type="dxa" w:w="1526"/>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62.8%</w:t>
            </w:r>
          </w:p>
        </w:tc>
      </w:tr>
    </w:tbl>
    <w:p>
      <w:pPr>
        <w:spacing w:after="160" w:before="60"/>
      </w:pPr>
      <w:r>
        <w:rPr>
          <w:rFonts w:ascii="Calibri" w:cs="Calibri" w:eastAsia="Calibri" w:hAnsi="Calibri"/>
          <w:i/>
          <w:iCs/>
          <w:color w:val="5A6B7A"/>
          <w:sz w:val="17"/>
          <w:szCs w:val="17"/>
        </w:rPr>
        <w:t xml:space="preserve">Table 4. PR-AUC, retention held at 99% throughout. Both figures are best-of-nine selected on validation data, so both are optimistic — but symmetrically.</w:t>
      </w:r>
    </w:p>
    <w:p>
      <w:pPr>
        <w:spacing w:after="100" w:before="0" w:line="276"/>
      </w:pPr>
      <w:r>
        <w:rPr>
          <w:rFonts w:ascii="Calibri" w:cs="Calibri" w:eastAsia="Calibri" w:hAnsi="Calibri"/>
          <w:sz w:val="21"/>
          <w:szCs w:val="21"/>
        </w:rPr>
        <w:t xml:space="preserve">Three things follow. The spiking gate loses by 0.042 PR-AUC and 8.5 percentage points of slice reduction after equal effort. The baseline was already at its ceiling — nine configurations bought it +0.0006 — while the spiking gate needed all nine to get within striking distance and still fell short. And normalisation is specifically a spiking problem: replacing BatchNorm with GroupNorm was worth +0.051 to the spiking gate and +0.0001 to the baseline, on identical data and code paths, which says the train/eval mismatch created by normalising once per time step damages LIF dynamics in a way it does not damage ReLU.</w:t>
      </w:r>
    </w:p>
    <w:p>
      <w:pPr>
        <w:spacing w:after="100" w:before="0" w:line="276"/>
      </w:pPr>
      <w:r>
        <w:rPr>
          <w:rFonts w:ascii="Calibri" w:cs="Calibri" w:eastAsia="Calibri" w:hAnsi="Calibri"/>
          <w:sz w:val="21"/>
          <w:szCs w:val="21"/>
        </w:rPr>
        <w:t xml:space="preserve">The sequence claim failed a third time here: averaging the baseline's outputs across time steps, which discards most ordering information, costs 0.004. Throwing order away is close to free.</w:t>
      </w:r>
    </w:p>
    <w:p>
      <w:pPr>
        <w:pStyle w:val="Heading1"/>
        <w:spacing w:after="110" w:before="260"/>
      </w:pPr>
      <w:r>
        <w:rPr>
          <w:rFonts w:ascii="Calibri" w:cs="Calibri" w:eastAsia="Calibri" w:hAnsi="Calibri"/>
          <w:b/>
          <w:bCs/>
          <w:color w:val="1F3A54"/>
          <w:sz w:val="26"/>
          <w:szCs w:val="26"/>
        </w:rPr>
        <w:t xml:space="preserve">6.  What worked and what failed</w:t>
      </w:r>
    </w:p>
    <w:p>
      <w:pPr>
        <w:pStyle w:val="Heading2"/>
        <w:spacing w:after="80" w:before="180"/>
      </w:pPr>
      <w:r>
        <w:rPr>
          <w:rFonts w:ascii="Calibri" w:cs="Calibri" w:eastAsia="Calibri" w:hAnsi="Calibri"/>
          <w:b/>
          <w:bCs/>
          <w:color w:val="33566F"/>
          <w:sz w:val="22"/>
          <w:szCs w:val="22"/>
        </w:rPr>
        <w:t xml:space="preserve">Worked</w:t>
      </w:r>
    </w:p>
    <w:p>
      <w:pPr>
        <w:pStyle w:val="ListParagraph"/>
        <w:numPr>
          <w:ilvl w:val="0"/>
          <w:numId w:val="1"/>
        </w:numPr>
        <w:spacing w:after="60" w:line="276"/>
      </w:pPr>
      <w:r>
        <w:rPr>
          <w:rFonts w:ascii="Calibri" w:cs="Calibri" w:eastAsia="Calibri" w:hAnsi="Calibri"/>
          <w:sz w:val="21"/>
          <w:szCs w:val="21"/>
        </w:rPr>
        <w:t xml:space="preserve">Building diagnostics before tuning. The failure-inspection tool killed four hypotheses in one run each; the capacity check caught a confound that would have invalidated the headline comparison; the order probe refuted a diagnosis before it cost a sweep.</w:t>
      </w:r>
    </w:p>
    <w:p>
      <w:pPr>
        <w:pStyle w:val="ListParagraph"/>
        <w:numPr>
          <w:ilvl w:val="0"/>
          <w:numId w:val="1"/>
        </w:numPr>
        <w:spacing w:after="60" w:line="276"/>
      </w:pPr>
      <w:r>
        <w:rPr>
          <w:rFonts w:ascii="Calibri" w:cs="Calibri" w:eastAsia="Calibri" w:hAnsi="Calibri"/>
          <w:sz w:val="21"/>
          <w:szCs w:val="21"/>
        </w:rPr>
        <w:t xml:space="preserve">Batch-pooled Dice, and restricting to CT. Between them these turned a model that collapsed into one that trains.</w:t>
      </w:r>
    </w:p>
    <w:p>
      <w:pPr>
        <w:pStyle w:val="ListParagraph"/>
        <w:numPr>
          <w:ilvl w:val="0"/>
          <w:numId w:val="1"/>
        </w:numPr>
        <w:spacing w:after="60" w:line="276"/>
      </w:pPr>
      <w:r>
        <w:rPr>
          <w:rFonts w:ascii="Calibri" w:cs="Calibri" w:eastAsia="Calibri" w:hAnsi="Calibri"/>
          <w:sz w:val="21"/>
          <w:szCs w:val="21"/>
        </w:rPr>
        <w:t xml:space="preserve">Holding the protocol fixed across arms, and matching both capacity and tuning budget. It is why the Stage A conclusion is defensible rather than arguable.</w:t>
      </w:r>
    </w:p>
    <w:p>
      <w:pPr>
        <w:pStyle w:val="ListParagraph"/>
        <w:numPr>
          <w:ilvl w:val="0"/>
          <w:numId w:val="1"/>
        </w:numPr>
        <w:spacing w:after="60" w:line="276"/>
      </w:pPr>
      <w:r>
        <w:rPr>
          <w:rFonts w:ascii="Calibri" w:cs="Calibri" w:eastAsia="Calibri" w:hAnsi="Calibri"/>
          <w:sz w:val="21"/>
          <w:szCs w:val="21"/>
        </w:rPr>
        <w:t xml:space="preserve">Mean per-case Dice and an extended threshold sweep — neither changed the model, both changed what we believed.</w:t>
      </w:r>
    </w:p>
    <w:p>
      <w:pPr>
        <w:pStyle w:val="Heading2"/>
        <w:spacing w:after="80" w:before="180"/>
      </w:pPr>
      <w:r>
        <w:rPr>
          <w:rFonts w:ascii="Calibri" w:cs="Calibri" w:eastAsia="Calibri" w:hAnsi="Calibri"/>
          <w:b/>
          <w:bCs/>
          <w:color w:val="33566F"/>
          <w:sz w:val="22"/>
          <w:szCs w:val="22"/>
        </w:rPr>
        <w:t xml:space="preserve">Failed</w:t>
      </w:r>
    </w:p>
    <w:p>
      <w:pPr>
        <w:pStyle w:val="ListParagraph"/>
        <w:numPr>
          <w:ilvl w:val="0"/>
          <w:numId w:val="1"/>
        </w:numPr>
        <w:spacing w:after="60" w:line="276"/>
      </w:pPr>
      <w:r>
        <w:rPr>
          <w:rFonts w:ascii="Calibri" w:cs="Calibri" w:eastAsia="Calibri" w:hAnsi="Calibri"/>
          <w:sz w:val="21"/>
          <w:szCs w:val="21"/>
        </w:rPr>
        <w:t xml:space="preserve">The spiking gate's central premise, on all three tests.</w:t>
      </w:r>
    </w:p>
    <w:p>
      <w:pPr>
        <w:pStyle w:val="ListParagraph"/>
        <w:numPr>
          <w:ilvl w:val="0"/>
          <w:numId w:val="1"/>
        </w:numPr>
        <w:spacing w:after="60" w:line="276"/>
      </w:pPr>
      <w:r>
        <w:rPr>
          <w:rFonts w:ascii="Calibri" w:cs="Calibri" w:eastAsia="Calibri" w:hAnsi="Calibri"/>
          <w:sz w:val="21"/>
          <w:szCs w:val="21"/>
        </w:rPr>
        <w:t xml:space="preserve">The readout diagnosis, refuted by the probe built to check it.</w:t>
      </w:r>
    </w:p>
    <w:p>
      <w:pPr>
        <w:pStyle w:val="ListParagraph"/>
        <w:numPr>
          <w:ilvl w:val="0"/>
          <w:numId w:val="1"/>
        </w:numPr>
        <w:spacing w:after="60" w:line="276"/>
      </w:pPr>
      <w:r>
        <w:rPr>
          <w:rFonts w:ascii="Calibri" w:cs="Calibri" w:eastAsia="Calibri" w:hAnsi="Calibri"/>
          <w:sz w:val="21"/>
          <w:szCs w:val="21"/>
        </w:rPr>
        <w:t xml:space="preserve">Calibration as an explanation for Stage B's tail: a per-case oracle threshold is worth +0.010, so the spread of per-case optima is real but inconsequential.</w:t>
      </w:r>
    </w:p>
    <w:p>
      <w:pPr>
        <w:pStyle w:val="ListParagraph"/>
        <w:numPr>
          <w:ilvl w:val="0"/>
          <w:numId w:val="1"/>
        </w:numPr>
        <w:spacing w:after="60" w:line="276"/>
      </w:pPr>
      <w:r>
        <w:rPr>
          <w:rFonts w:ascii="Calibri" w:cs="Calibri" w:eastAsia="Calibri" w:hAnsi="Calibri"/>
          <w:sz w:val="21"/>
          <w:szCs w:val="21"/>
        </w:rPr>
        <w:t xml:space="preserve">The finer-z-spacing hypothesis, cancelled on evidence before it ran: thick slices score better, most likely because a 5 mm annotation is a cruder object.</w:t>
      </w:r>
    </w:p>
    <w:p>
      <w:pPr>
        <w:pStyle w:val="ListParagraph"/>
        <w:numPr>
          <w:ilvl w:val="0"/>
          <w:numId w:val="1"/>
        </w:numPr>
        <w:spacing w:after="60" w:line="276"/>
      </w:pPr>
      <w:r>
        <w:rPr>
          <w:rFonts w:ascii="Calibri" w:cs="Calibri" w:eastAsia="Calibri" w:hAnsi="Calibri"/>
          <w:sz w:val="21"/>
          <w:szCs w:val="21"/>
        </w:rPr>
        <w:t xml:space="preserve">keep-largest-1 post-processing, which manufactured Dice scores of exactly 0.000 on cases the model had partly found.</w:t>
      </w:r>
    </w:p>
    <w:p>
      <w:pPr>
        <w:pStyle w:val="Heading1"/>
        <w:spacing w:after="110" w:before="260"/>
      </w:pPr>
      <w:r>
        <w:rPr>
          <w:rFonts w:ascii="Calibri" w:cs="Calibri" w:eastAsia="Calibri" w:hAnsi="Calibri"/>
          <w:b/>
          <w:bCs/>
          <w:color w:val="1F3A54"/>
          <w:sz w:val="26"/>
          <w:szCs w:val="26"/>
        </w:rPr>
        <w:t xml:space="preserve">7.  Next steps</w:t>
      </w:r>
    </w:p>
    <w:p>
      <w:pPr>
        <w:spacing w:after="100" w:before="0" w:line="276"/>
      </w:pPr>
      <w:r>
        <w:rPr>
          <w:rFonts w:ascii="Calibri" w:cs="Calibri" w:eastAsia="Calibri" w:hAnsi="Calibri"/>
          <w:sz w:val="21"/>
          <w:szCs w:val="21"/>
        </w:rPr>
        <w:t xml:space="preserve">In priority order, with what each one decides.</w:t>
      </w:r>
    </w:p>
    <w:tbl>
      <w:tblPr>
        <w:tblW w:type="dxa" w:w="9026"/>
        <w:tblBorders>
          <w:top w:val="single" w:color="B7C4D0" w:sz="2"/>
          <w:left w:val="single" w:color="B7C4D0" w:sz="2"/>
          <w:bottom w:val="single" w:color="B7C4D0" w:sz="2"/>
          <w:right w:val="single" w:color="B7C4D0" w:sz="2"/>
          <w:insideH w:val="single" w:color="D4DDE5" w:sz="1"/>
          <w:insideV w:val="single" w:color="D4DDE5" w:sz="1"/>
        </w:tblBorders>
      </w:tblPr>
      <w:tblGrid>
        <w:gridCol w:w="560"/>
        <w:gridCol w:w="3050"/>
        <w:gridCol w:w="1200"/>
        <w:gridCol w:w="4216"/>
      </w:tblGrid>
      <w:tr>
        <w:trPr>
          <w:tblHeader/>
        </w:trPr>
        <w:tc>
          <w:tcPr>
            <w:tcW w:type="dxa" w:w="560"/>
            <w:shd w:fill="E8EDF2"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w:t>
            </w:r>
          </w:p>
        </w:tc>
        <w:tc>
          <w:tcPr>
            <w:tcW w:type="dxa" w:w="3050"/>
            <w:shd w:fill="E8EDF2" w:color="auto" w:val="clear"/>
            <w:tcMar>
              <w:top w:type="dxa" w:w="70"/>
              <w:left w:type="dxa" w:w="110"/>
              <w:bottom w:type="dxa" w:w="70"/>
              <w:right w:type="dxa" w:w="110"/>
            </w:tcMar>
          </w:tcPr>
          <w:p>
            <w:pPr>
              <w:spacing w:after="0" w:line="250"/>
            </w:pPr>
            <w:r>
              <w:rPr>
                <w:rFonts w:ascii="Calibri" w:cs="Calibri" w:eastAsia="Calibri" w:hAnsi="Calibri"/>
                <w:b/>
                <w:bCs/>
                <w:sz w:val="19"/>
                <w:szCs w:val="19"/>
              </w:rPr>
              <w:t xml:space="preserve">Experiment</w:t>
            </w:r>
          </w:p>
        </w:tc>
        <w:tc>
          <w:tcPr>
            <w:tcW w:type="dxa" w:w="1200"/>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Cost</w:t>
            </w:r>
          </w:p>
        </w:tc>
        <w:tc>
          <w:tcPr>
            <w:tcW w:type="dxa" w:w="4216"/>
            <w:shd w:fill="E8EDF2" w:color="auto" w:val="clear"/>
            <w:tcMar>
              <w:top w:type="dxa" w:w="70"/>
              <w:left w:type="dxa" w:w="110"/>
              <w:bottom w:type="dxa" w:w="70"/>
              <w:right w:type="dxa" w:w="110"/>
            </w:tcMar>
          </w:tcPr>
          <w:p>
            <w:pPr>
              <w:spacing w:after="0" w:line="250"/>
              <w:jc w:val="center"/>
            </w:pPr>
            <w:r>
              <w:rPr>
                <w:rFonts w:ascii="Calibri" w:cs="Calibri" w:eastAsia="Calibri" w:hAnsi="Calibri"/>
                <w:b/>
                <w:bCs/>
                <w:sz w:val="19"/>
                <w:szCs w:val="19"/>
              </w:rPr>
              <w:t xml:space="preserve">What it settles</w:t>
            </w:r>
          </w:p>
        </w:tc>
      </w:tr>
      <w:tr>
        <w:trPr>
          <w:cantSplit/>
        </w:trPr>
        <w:tc>
          <w:tcPr>
            <w:tcW w:type="dxa" w:w="560"/>
            <w:tcMar>
              <w:top w:type="dxa" w:w="70"/>
              <w:left w:type="dxa" w:w="110"/>
              <w:bottom w:type="dxa" w:w="70"/>
              <w:right w:type="dxa" w:w="110"/>
            </w:tcMar>
          </w:tcPr>
          <w:p>
            <w:pPr>
              <w:spacing w:after="0" w:line="250"/>
            </w:pPr>
            <w:r>
              <w:rPr>
                <w:rFonts w:ascii="Calibri" w:cs="Calibri" w:eastAsia="Calibri" w:hAnsi="Calibri"/>
                <w:sz w:val="19"/>
                <w:szCs w:val="19"/>
              </w:rPr>
              <w:t xml:space="preserve">1</w:t>
            </w:r>
          </w:p>
        </w:tc>
        <w:tc>
          <w:tcPr>
            <w:tcW w:type="dxa" w:w="3050"/>
            <w:tcMar>
              <w:top w:type="dxa" w:w="70"/>
              <w:left w:type="dxa" w:w="110"/>
              <w:bottom w:type="dxa" w:w="70"/>
              <w:right w:type="dxa" w:w="110"/>
            </w:tcMar>
          </w:tcPr>
          <w:p>
            <w:pPr>
              <w:spacing w:after="0" w:line="250"/>
            </w:pPr>
            <w:r>
              <w:rPr>
                <w:rFonts w:ascii="Calibri" w:cs="Calibri" w:eastAsia="Calibri" w:hAnsi="Calibri"/>
                <w:sz w:val="19"/>
                <w:szCs w:val="19"/>
              </w:rPr>
              <w:t xml:space="preserve">Five seeds for gate_snn, gate_cnnlstm, snn_combined, lstm_combined</w:t>
            </w:r>
          </w:p>
        </w:tc>
        <w:tc>
          <w:tcPr>
            <w:tcW w:type="dxa" w:w="12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~4 h</w:t>
            </w:r>
          </w:p>
        </w:tc>
        <w:tc>
          <w:tcPr>
            <w:tcW w:type="dxa" w:w="4216"/>
            <w:tcMar>
              <w:top w:type="dxa" w:w="70"/>
              <w:left w:type="dxa" w:w="110"/>
              <w:bottom w:type="dxa" w:w="70"/>
              <w:right w:type="dxa" w:w="110"/>
            </w:tcMar>
          </w:tcPr>
          <w:p>
            <w:pPr>
              <w:spacing w:after="0" w:line="250"/>
              <w:jc w:val="center"/>
            </w:pPr>
            <w:r>
              <w:rPr>
                <w:rFonts w:ascii="Calibri" w:cs="Calibri" w:eastAsia="Calibri" w:hAnsi="Calibri"/>
                <w:sz w:val="19"/>
                <w:szCs w:val="19"/>
              </w:rPr>
              <w:t xml:space="preserve">Everything in Section 5 rests on n=1. Turns an indication into a result with error bars.</w:t>
            </w:r>
          </w:p>
        </w:tc>
      </w:tr>
      <w:tr>
        <w:trPr>
          <w:cantSplit/>
        </w:trPr>
        <w:tc>
          <w:tcPr>
            <w:tcW w:type="dxa" w:w="560"/>
            <w:shd w:fill="F6F8FA"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2</w:t>
            </w:r>
          </w:p>
        </w:tc>
        <w:tc>
          <w:tcPr>
            <w:tcW w:type="dxa" w:w="3050"/>
            <w:shd w:fill="F6F8FA"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Stage B with --negative-ratio 0 (gland-bearing slices only)</w:t>
            </w:r>
          </w:p>
        </w:tc>
        <w:tc>
          <w:tcPr>
            <w:tcW w:type="dxa" w:w="120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~2 h</w:t>
            </w:r>
          </w:p>
        </w:tc>
        <w:tc>
          <w:tcPr>
            <w:tcW w:type="dxa" w:w="4216"/>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The largest protocol difference from the 2025 pipeline, which trained on positives only.</w:t>
            </w:r>
          </w:p>
        </w:tc>
      </w:tr>
      <w:tr>
        <w:trPr>
          <w:cantSplit/>
        </w:trPr>
        <w:tc>
          <w:tcPr>
            <w:tcW w:type="dxa" w:w="560"/>
            <w:tcMar>
              <w:top w:type="dxa" w:w="70"/>
              <w:left w:type="dxa" w:w="110"/>
              <w:bottom w:type="dxa" w:w="70"/>
              <w:right w:type="dxa" w:w="110"/>
            </w:tcMar>
          </w:tcPr>
          <w:p>
            <w:pPr>
              <w:spacing w:after="0" w:line="250"/>
            </w:pPr>
            <w:r>
              <w:rPr>
                <w:rFonts w:ascii="Calibri" w:cs="Calibri" w:eastAsia="Calibri" w:hAnsi="Calibri"/>
                <w:sz w:val="19"/>
                <w:szCs w:val="19"/>
              </w:rPr>
              <w:t xml:space="preserve">3</w:t>
            </w:r>
          </w:p>
        </w:tc>
        <w:tc>
          <w:tcPr>
            <w:tcW w:type="dxa" w:w="3050"/>
            <w:tcMar>
              <w:top w:type="dxa" w:w="70"/>
              <w:left w:type="dxa" w:w="110"/>
              <w:bottom w:type="dxa" w:w="70"/>
              <w:right w:type="dxa" w:w="110"/>
            </w:tcMar>
          </w:tcPr>
          <w:p>
            <w:pPr>
              <w:spacing w:after="0" w:line="250"/>
            </w:pPr>
            <w:r>
              <w:rPr>
                <w:rFonts w:ascii="Calibri" w:cs="Calibri" w:eastAsia="Calibri" w:hAnsi="Calibri"/>
                <w:sz w:val="19"/>
                <w:szCs w:val="19"/>
              </w:rPr>
              <w:t xml:space="preserve">Stage B with HU window (10, 60) and CLAHE</w:t>
            </w:r>
          </w:p>
        </w:tc>
        <w:tc>
          <w:tcPr>
            <w:tcW w:type="dxa" w:w="12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~2 h</w:t>
            </w:r>
          </w:p>
        </w:tc>
        <w:tc>
          <w:tcPr>
            <w:tcW w:type="dxa" w:w="4216"/>
            <w:tcMar>
              <w:top w:type="dxa" w:w="70"/>
              <w:left w:type="dxa" w:w="110"/>
              <w:bottom w:type="dxa" w:w="70"/>
              <w:right w:type="dxa" w:w="110"/>
            </w:tcMar>
          </w:tcPr>
          <w:p>
            <w:pPr>
              <w:spacing w:after="0" w:line="250"/>
              <w:jc w:val="center"/>
            </w:pPr>
            <w:r>
              <w:rPr>
                <w:rFonts w:ascii="Calibri" w:cs="Calibri" w:eastAsia="Calibri" w:hAnsi="Calibri"/>
                <w:sz w:val="19"/>
                <w:szCs w:val="19"/>
              </w:rPr>
              <w:t xml:space="preserve">The second protocol difference: tight soft-tissue windowing versus ours.</w:t>
            </w:r>
          </w:p>
        </w:tc>
      </w:tr>
      <w:tr>
        <w:trPr>
          <w:cantSplit/>
        </w:trPr>
        <w:tc>
          <w:tcPr>
            <w:tcW w:type="dxa" w:w="560"/>
            <w:shd w:fill="F6F8FA"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4</w:t>
            </w:r>
          </w:p>
        </w:tc>
        <w:tc>
          <w:tcPr>
            <w:tcW w:type="dxa" w:w="3050"/>
            <w:shd w:fill="F6F8FA"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TTA sweep on run5 (rot / flip-with-swap / both)</w:t>
            </w:r>
          </w:p>
        </w:tc>
        <w:tc>
          <w:tcPr>
            <w:tcW w:type="dxa" w:w="120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~1 h</w:t>
            </w:r>
          </w:p>
        </w:tc>
        <w:tc>
          <w:tcPr>
            <w:tcW w:type="dxa" w:w="4216"/>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The third. Already wired; never run.</w:t>
            </w:r>
          </w:p>
        </w:tc>
      </w:tr>
      <w:tr>
        <w:trPr>
          <w:cantSplit/>
        </w:trPr>
        <w:tc>
          <w:tcPr>
            <w:tcW w:type="dxa" w:w="560"/>
            <w:tcMar>
              <w:top w:type="dxa" w:w="70"/>
              <w:left w:type="dxa" w:w="110"/>
              <w:bottom w:type="dxa" w:w="70"/>
              <w:right w:type="dxa" w:w="110"/>
            </w:tcMar>
          </w:tcPr>
          <w:p>
            <w:pPr>
              <w:spacing w:after="0" w:line="250"/>
            </w:pPr>
            <w:r>
              <w:rPr>
                <w:rFonts w:ascii="Calibri" w:cs="Calibri" w:eastAsia="Calibri" w:hAnsi="Calibri"/>
                <w:sz w:val="19"/>
                <w:szCs w:val="19"/>
              </w:rPr>
              <w:t xml:space="preserve">5</w:t>
            </w:r>
          </w:p>
        </w:tc>
        <w:tc>
          <w:tcPr>
            <w:tcW w:type="dxa" w:w="3050"/>
            <w:tcMar>
              <w:top w:type="dxa" w:w="70"/>
              <w:left w:type="dxa" w:w="110"/>
              <w:bottom w:type="dxa" w:w="70"/>
              <w:right w:type="dxa" w:w="110"/>
            </w:tcMar>
          </w:tcPr>
          <w:p>
            <w:pPr>
              <w:spacing w:after="0" w:line="250"/>
            </w:pPr>
            <w:r>
              <w:rPr>
                <w:rFonts w:ascii="Calibri" w:cs="Calibri" w:eastAsia="Calibri" w:hAnsi="Calibri"/>
                <w:sz w:val="19"/>
                <w:szCs w:val="19"/>
              </w:rPr>
              <w:t xml:space="preserve">nnU-Net 3D full-res on AMOS adrenals</w:t>
            </w:r>
          </w:p>
        </w:tc>
        <w:tc>
          <w:tcPr>
            <w:tcW w:type="dxa" w:w="12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~1 day</w:t>
            </w:r>
          </w:p>
        </w:tc>
        <w:tc>
          <w:tcPr>
            <w:tcW w:type="dxa" w:w="4216"/>
            <w:tcMar>
              <w:top w:type="dxa" w:w="70"/>
              <w:left w:type="dxa" w:w="110"/>
              <w:bottom w:type="dxa" w:w="70"/>
              <w:right w:type="dxa" w:w="110"/>
            </w:tcMar>
          </w:tcPr>
          <w:p>
            <w:pPr>
              <w:spacing w:after="0" w:line="250"/>
              <w:jc w:val="center"/>
            </w:pPr>
            <w:r>
              <w:rPr>
                <w:rFonts w:ascii="Calibri" w:cs="Calibri" w:eastAsia="Calibri" w:hAnsi="Calibri"/>
                <w:sz w:val="19"/>
                <w:szCs w:val="19"/>
              </w:rPr>
              <w:t xml:space="preserve">The anchor every reviewer asks for. 2D scored 0.85 / 0.82 in the 2025 paper; 3D is unmeasured.</w:t>
            </w:r>
          </w:p>
        </w:tc>
      </w:tr>
      <w:tr>
        <w:trPr>
          <w:cantSplit/>
        </w:trPr>
        <w:tc>
          <w:tcPr>
            <w:tcW w:type="dxa" w:w="560"/>
            <w:shd w:fill="F6F8FA"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6</w:t>
            </w:r>
          </w:p>
        </w:tc>
        <w:tc>
          <w:tcPr>
            <w:tcW w:type="dxa" w:w="3050"/>
            <w:shd w:fill="F6F8FA" w:color="auto" w:val="clear"/>
            <w:tcMar>
              <w:top w:type="dxa" w:w="70"/>
              <w:left w:type="dxa" w:w="110"/>
              <w:bottom w:type="dxa" w:w="70"/>
              <w:right w:type="dxa" w:w="110"/>
            </w:tcMar>
          </w:tcPr>
          <w:p>
            <w:pPr>
              <w:spacing w:after="0" w:line="250"/>
            </w:pPr>
            <w:r>
              <w:rPr>
                <w:rFonts w:ascii="Calibri" w:cs="Calibri" w:eastAsia="Calibri" w:hAnsi="Calibri"/>
                <w:sz w:val="19"/>
                <w:szCs w:val="19"/>
              </w:rPr>
              <w:t xml:space="preserve">In-plane ROI cascade for Stage B</w:t>
            </w:r>
          </w:p>
        </w:tc>
        <w:tc>
          <w:tcPr>
            <w:tcW w:type="dxa" w:w="1200"/>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build + ~1 day</w:t>
            </w:r>
          </w:p>
        </w:tc>
        <w:tc>
          <w:tcPr>
            <w:tcW w:type="dxa" w:w="4216"/>
            <w:shd w:fill="F6F8FA" w:color="auto" w:val="clear"/>
            <w:tcMar>
              <w:top w:type="dxa" w:w="70"/>
              <w:left w:type="dxa" w:w="110"/>
              <w:bottom w:type="dxa" w:w="70"/>
              <w:right w:type="dxa" w:w="110"/>
            </w:tcMar>
          </w:tcPr>
          <w:p>
            <w:pPr>
              <w:spacing w:after="0" w:line="250"/>
              <w:jc w:val="center"/>
            </w:pPr>
            <w:r>
              <w:rPr>
                <w:rFonts w:ascii="Calibri" w:cs="Calibri" w:eastAsia="Calibri" w:hAnsi="Calibri"/>
                <w:sz w:val="19"/>
                <w:szCs w:val="19"/>
              </w:rPr>
              <w:t xml:space="preserve">The only lever with direct evidence: the smallest quartile is 0.10 below the rest, and cropping raises resolution there.</w:t>
            </w:r>
          </w:p>
        </w:tc>
      </w:tr>
      <w:tr>
        <w:trPr>
          <w:cantSplit/>
        </w:trPr>
        <w:tc>
          <w:tcPr>
            <w:tcW w:type="dxa" w:w="560"/>
            <w:tcMar>
              <w:top w:type="dxa" w:w="70"/>
              <w:left w:type="dxa" w:w="110"/>
              <w:bottom w:type="dxa" w:w="70"/>
              <w:right w:type="dxa" w:w="110"/>
            </w:tcMar>
          </w:tcPr>
          <w:p>
            <w:pPr>
              <w:spacing w:after="0" w:line="250"/>
            </w:pPr>
            <w:r>
              <w:rPr>
                <w:rFonts w:ascii="Calibri" w:cs="Calibri" w:eastAsia="Calibri" w:hAnsi="Calibri"/>
                <w:sz w:val="19"/>
                <w:szCs w:val="19"/>
              </w:rPr>
              <w:t xml:space="preserve">7</w:t>
            </w:r>
          </w:p>
        </w:tc>
        <w:tc>
          <w:tcPr>
            <w:tcW w:type="dxa" w:w="3050"/>
            <w:tcMar>
              <w:top w:type="dxa" w:w="70"/>
              <w:left w:type="dxa" w:w="110"/>
              <w:bottom w:type="dxa" w:w="70"/>
              <w:right w:type="dxa" w:w="110"/>
            </w:tcMar>
          </w:tcPr>
          <w:p>
            <w:pPr>
              <w:spacing w:after="0" w:line="250"/>
            </w:pPr>
            <w:r>
              <w:rPr>
                <w:rFonts w:ascii="Calibri" w:cs="Calibri" w:eastAsia="Calibri" w:hAnsi="Calibri"/>
                <w:sz w:val="19"/>
                <w:szCs w:val="19"/>
              </w:rPr>
              <w:t xml:space="preserve">External validation on TotalSegmentator and BTCV</w:t>
            </w:r>
          </w:p>
        </w:tc>
        <w:tc>
          <w:tcPr>
            <w:tcW w:type="dxa" w:w="1200"/>
            <w:tcMar>
              <w:top w:type="dxa" w:w="70"/>
              <w:left w:type="dxa" w:w="110"/>
              <w:bottom w:type="dxa" w:w="70"/>
              <w:right w:type="dxa" w:w="110"/>
            </w:tcMar>
          </w:tcPr>
          <w:p>
            <w:pPr>
              <w:spacing w:after="0" w:line="250"/>
              <w:jc w:val="center"/>
            </w:pPr>
            <w:r>
              <w:rPr>
                <w:rFonts w:ascii="Calibri" w:cs="Calibri" w:eastAsia="Calibri" w:hAnsi="Calibri"/>
                <w:sz w:val="19"/>
                <w:szCs w:val="19"/>
              </w:rPr>
              <w:t xml:space="preserve">~1 week</w:t>
            </w:r>
          </w:p>
        </w:tc>
        <w:tc>
          <w:tcPr>
            <w:tcW w:type="dxa" w:w="4216"/>
            <w:tcMar>
              <w:top w:type="dxa" w:w="70"/>
              <w:left w:type="dxa" w:w="110"/>
              <w:bottom w:type="dxa" w:w="70"/>
              <w:right w:type="dxa" w:w="110"/>
            </w:tcMar>
          </w:tcPr>
          <w:p>
            <w:pPr>
              <w:spacing w:after="0" w:line="250"/>
              <w:jc w:val="center"/>
            </w:pPr>
            <w:r>
              <w:rPr>
                <w:rFonts w:ascii="Calibri" w:cs="Calibri" w:eastAsia="Calibri" w:hAnsi="Calibri"/>
                <w:sz w:val="19"/>
                <w:szCs w:val="19"/>
              </w:rPr>
              <w:t xml:space="preserve">Single-dataset results will not reach a strong venue. Both carry left/right adrenal labels.</w:t>
            </w:r>
          </w:p>
        </w:tc>
      </w:tr>
    </w:tbl>
    <w:p>
      <w:pPr>
        <w:spacing w:after="160" w:before="60"/>
      </w:pPr>
      <w:r>
        <w:rPr>
          <w:rFonts w:ascii="Calibri" w:cs="Calibri" w:eastAsia="Calibri" w:hAnsi="Calibri"/>
          <w:i/>
          <w:iCs/>
          <w:color w:val="5A6B7A"/>
          <w:sz w:val="17"/>
          <w:szCs w:val="17"/>
        </w:rPr>
        <w:t xml:space="preserve">Table 5. Items 1–4 are cheap and change what we believe; 5–7 are what a submission requires.</w:t>
      </w:r>
    </w:p>
    <w:p>
      <w:pPr>
        <w:pStyle w:val="Heading1"/>
        <w:spacing w:after="110" w:before="260"/>
      </w:pPr>
      <w:r>
        <w:rPr>
          <w:rFonts w:ascii="Calibri" w:cs="Calibri" w:eastAsia="Calibri" w:hAnsi="Calibri"/>
          <w:b/>
          <w:bCs/>
          <w:color w:val="1F3A54"/>
          <w:sz w:val="26"/>
          <w:szCs w:val="26"/>
        </w:rPr>
        <w:t xml:space="preserve">8.  A note on framing</w:t>
      </w:r>
    </w:p>
    <w:p>
      <w:pPr>
        <w:spacing w:after="100" w:before="0" w:line="276"/>
      </w:pPr>
      <w:r>
        <w:rPr>
          <w:rFonts w:ascii="Calibri" w:cs="Calibri" w:eastAsia="Calibri" w:hAnsi="Calibri"/>
          <w:b/>
          <w:bCs/>
          <w:sz w:val="21"/>
          <w:szCs w:val="21"/>
        </w:rPr>
        <w:t xml:space="preserve"/>
      </w:r>
      <w:r>
        <w:rPr>
          <w:rFonts w:ascii="Calibri" w:cs="Calibri" w:eastAsia="Calibri" w:hAnsi="Calibri"/>
          <w:sz w:val="21"/>
          <w:szCs w:val="21"/>
        </w:rPr>
        <w:t xml:space="preserve">The falsification criterion for the spiking gate was written into the repository before the experiment ran, and it fired. Three contributions survive it, and none of them depends on the SNN winning: a capacity-matched, tuning-matched negative result with a synthetic control — rarer than it should be in that literature; the quantified explanation of the post-processing artefact; and the gland-size dependence with the cascade it motivates. The honest paper is built on those.</w:t>
      </w:r>
    </w:p>
    <w:sectPr>
      <w:pgSz w:w="11906" w:h="16838" w:orient="portrait"/>
      <w:pgMar w:top="1080" w:right="1420" w:bottom="1080" w:left="14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Adrenal Gland Segmentation — Progress Report</dc:title>
  <dc:creator>M. Fayemiwo</dc:creator>
  <cp:lastModifiedBy>Un-named</cp:lastModifiedBy>
  <cp:revision>1</cp:revision>
  <dcterms:created xsi:type="dcterms:W3CDTF">2026-08-31T11:05:44.883Z</dcterms:created>
  <dcterms:modified xsi:type="dcterms:W3CDTF">2026-08-31T11:05:44.883Z</dcterms:modified>
</cp:coreProperties>
</file>

<file path=docProps/custom.xml><?xml version="1.0" encoding="utf-8"?>
<Properties xmlns="http://schemas.openxmlformats.org/officeDocument/2006/custom-properties" xmlns:vt="http://schemas.openxmlformats.org/officeDocument/2006/docPropsVTypes"/>
</file>