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A Sequence-Aware Spiking Slice Gate for Sensitivity-Controlled Left and Right Adrenal Gland Segmentation</w:t>
      </w:r>
    </w:p>
    <w:p>
      <w:pPr>
        <w:spacing w:after="400"/>
        <w:jc w:val="center"/>
      </w:pPr>
      <w:r>
        <w:rPr>
          <w:i/>
          <w:iCs/>
          <w:sz w:val="26"/>
          <w:szCs w:val="26"/>
        </w:rPr>
        <w:t xml:space="preserve">A Hybrid Spiking-Neural-Network / 2.5D-U-Net Cascade for Full-Volume CT Segmentation</w:t>
      </w:r>
    </w:p>
    <w:p>
      <w:pPr>
        <w:spacing w:after="60"/>
        <w:jc w:val="center"/>
      </w:pPr>
      <w:r>
        <w:rPr>
          <w:sz w:val="22"/>
          <w:szCs w:val="22"/>
        </w:rPr>
        <w:t xml:space="preserve">Draft methodology document — v1.3 (per-gland two-channel output; baseline targets and architecture rationale added)</w:t>
      </w:r>
    </w:p>
    <w:p>
      <w:pPr>
        <w:spacing w:after="60"/>
        <w:jc w:val="center"/>
      </w:pPr>
      <w:r>
        <w:rPr>
          <w:sz w:val="22"/>
          <w:szCs w:val="22"/>
        </w:rPr>
        <w:t xml:space="preserve">Prepared for: M. Fayemiwo, Trillectra AI</w:t>
      </w:r>
    </w:p>
    <w:p>
      <w:pPr>
        <w:spacing w:after="600"/>
        <w:jc w:val="center"/>
      </w:pPr>
      <w:r>
        <w:rPr>
          <w:color w:val="555555"/>
          <w:sz w:val="22"/>
          <w:szCs w:val="22"/>
        </w:rPr>
        <w:t xml:space="preserve">Status: proposed methodology and runnable code scaffold, pending patient-cohort results</w:t>
      </w:r>
    </w:p>
    <w:p>
      <w:r>
        <w:br w:type="page"/>
      </w:r>
    </w:p>
    <w:p>
      <w:pPr>
        <w:pStyle w:val="Heading1"/>
        <w:spacing w:after="160" w:before="320"/>
      </w:pPr>
      <w:r>
        <w:t xml:space="preserve">Abstract</w:t>
      </w:r>
    </w:p>
    <w:p>
      <w:pPr>
        <w:spacing w:after="160"/>
        <w:jc w:val="both"/>
      </w:pPr>
      <w:r>
        <w:t xml:space="preserve">Two-stage “classify-then-segment” cascades for small, anatomically variable organs are an established pattern in CT segmentation, and a spiking neural network (SNN) substituted for a conventional CNN classifier is not, by itself, a sufficient contribution for a strong journal. This document proposes a more defensible framing: a sensitivity-controlled slice-selection gate whose SNN component is used for a property conventional classifiers do not have — modelling a sequence of anatomically ordered CT slices as discrete spiking time steps, rather than repeating one static image across time. The gate feeds an uncertainty-aware adaptive slice buffer, which in turn restricts a 2.5D U-Net segmenter (extending a previously published 2D U-Net + test-time augmentation + connected-component pipeline) to only the slice range plausibly containing adrenal gland tissue. The central empirical claim — that the spiking, sequence-aware gate earns its complexity — is only credible if it is compared against a matched-capacity CNN-LSTM gate on sensitivity-first metrics, not merely against a plain CNN on simulated energy proxies; that comparison is built into the experimental design as a mandatory ablation arm, not an optional one. This document specifies the full method, the accompanying open-source implementation (tested against synthetic data), the ablation and statistical validation plan, and the positioning against comparable published work. Reported results are left as placeholders pending training on a patient cohort.</w:t>
      </w:r>
    </w:p>
    <w:p>
      <w:pPr>
        <w:pStyle w:val="Heading1"/>
        <w:spacing w:after="160" w:before="320"/>
      </w:pPr>
      <w:r>
        <w:t xml:space="preserve">1. Introduction and Motivation</w:t>
      </w:r>
    </w:p>
    <w:p>
      <w:pPr>
        <w:spacing w:after="160"/>
        <w:jc w:val="both"/>
      </w:pPr>
      <w:r>
        <w:t xml:space="preserve">Left and right adrenal gland segmentation from abdominal CT is difficult because the gland is small, its shape varies substantially between patients, and it sits adjacent to organs — kidney, liver, spleen, pancreas — with similar CT intensity characteristics. A prior pipeline (2D U-Net with a choice of VGG16, ResNet34, or InceptionV3 encoder backbones, combined with test-time augmentation and connected-component post-processing to discard small disconnected false-positive fragments) was published by the authors and evaluated on the AMOS dataset, with the InceptionV3 backbone achieving a 38% improvement in Dice similarity coefficient for the left adrenal gland and 11% for the right, alongside a substantial reduction in false-positive detections (Fayemiwo et al., 2025). In absolute terms that pipeline reached a mean per-case Dice of 0.82 (left) and 0.75 (right) before post-processing, rising to 0.91 and 0.90 after test-time augmentation and connected-component pruning. Those four numbers are the benchmark this work must beat, and the size of the post-processing gain - +0.09 on the left and +0.15 on the right - is itself informative: it says a large share of the raw segmenter's error was spurious disconnected components rather than boundary inaccuracy, which is precisely the failure mode a slice gate is intended to prevent upstream rather than repair downstream.</w:t>
      </w:r>
    </w:p>
    <w:p>
      <w:pPr>
        <w:spacing w:after="160"/>
        <w:jc w:val="both"/>
      </w:pPr>
      <w:r>
        <w:t xml:space="preserve">That pipeline's remaining failure mode is structural rather than architectural: a 2D segmenter run independently on every slice of a full CT volume will occasionally produce a plausible-looking but incorrect mask on a slice that contains no adrenal tissue at all — typically a slice through a neighbouring organ with locally similar texture. Post-hoc connected-component pruning removes small fragments but cannot reliably distinguish a small true positive from a small false positive on an irrelevant slice. The logical fix is to prevent the segmenter from ever running on such a slice in the first place, which requires a slice classifier (a “gate”) upstream of segmentation.</w:t>
      </w:r>
    </w:p>
    <w:p>
      <w:pPr>
        <w:spacing w:after="160"/>
        <w:jc w:val="both"/>
      </w:pPr>
      <w:r>
        <w:t xml:space="preserve">This is where the present proposal must be positioned carefully. Two-stage localisation-then-segmentation architectures for small organs already exist in the literature — for example a cascaded localisation network followed by a boundary-attention “Small-organNet” specifically for adrenal gland CT segmentation (Xu et al., 2021). A gate is therefore not a new idea; what would be new is (a) how the gate is built and (b) what it is shown to buy beyond what a conventional gate already provides. This document adopts spiking neural networks for the gate, but frames the SNN choice around a specific, checkable claim: that presenting a window of consecutive craniocaudal CT slices as discrete SNN time steps — rather than the common but scientifically thin practice of repeating one static image across time steps — gives the network's leaky-integrate-and-fire membrane dynamics a genuine anatomical signal to integrate. Section 6 makes explicit what would falsify this claim and how the experimental design tests for it rather than assumes it.</w:t>
      </w:r>
    </w:p>
    <w:p>
      <w:pPr>
        <w:pStyle w:val="Heading1"/>
        <w:spacing w:after="160" w:before="320"/>
      </w:pPr>
      <w:r>
        <w:t xml:space="preserve">2. Related Work</w:t>
      </w:r>
    </w:p>
    <w:p>
      <w:pPr>
        <w:pStyle w:val="Heading2"/>
        <w:spacing w:after="120" w:before="240"/>
      </w:pPr>
      <w:r>
        <w:t xml:space="preserve">2.1 Cascade and localisation-then-segmentation architectures</w:t>
      </w:r>
    </w:p>
    <w:p>
      <w:pPr>
        <w:spacing w:after="160"/>
        <w:jc w:val="both"/>
      </w:pPr>
      <w:r>
        <w:t xml:space="preserve">Xu et al. (2021, Computers in Biology and Medicine) propose a two-stage framework for adrenal gland CT segmentation: a localisation network first identifies candidate regions, reducing class imbalance and computational cost, and a second network (“Small-organNet”, trained with a boundary-attention focal loss) refines the organ boundary within the localised region. The authors report improved segmentation accuracy with fewer trainable parameters and lower compute than single-stage baselines, evaluated on a cohort from West China Hospital of Sichuan University. This establishes that the coarse-to-fine / localise-then-segment pattern for the adrenal gland specifically is prior art, and that “add a gate before segmentation” cannot be the paper's primary contribution claim.</w:t>
      </w:r>
    </w:p>
    <w:p>
      <w:pPr>
        <w:pStyle w:val="Heading2"/>
        <w:spacing w:after="120" w:before="240"/>
      </w:pPr>
      <w:r>
        <w:t xml:space="preserve">2.2 Slice-level classification gates in CT segmentation</w:t>
      </w:r>
    </w:p>
    <w:p>
      <w:pPr>
        <w:spacing w:after="160"/>
        <w:jc w:val="both"/>
      </w:pPr>
      <w:r>
        <w:t xml:space="preserve">Slice-classification gating — training a classifier to flag which axial slices of a CT volume are worth segmenting, then restricting a segmentation network to those slices — has precedent in other organ/lesion segmentation tasks as a false-positive reduction strategy. We had intended to cite a specific prior implementation of this pattern (PMID 33029634); automated literature lookup was unavailable while drafting this document (PubMed, Semantic Scholar and Europe PMC all rejected or rate-limited programmatic access in the session used to prepare this draft), so that citation could not be independently confirmed before this version was written. Treat the general pattern as established and this specific reference as provisional — confirm it (or substitute a verified alternative) before this section is finalised for submission.</w:t>
      </w:r>
    </w:p>
    <w:p>
      <w:pPr>
        <w:pStyle w:val="Heading2"/>
        <w:spacing w:after="120" w:before="240"/>
      </w:pPr>
      <w:r>
        <w:t xml:space="preserve">2.3 Spiking neural networks: training and efficiency claims</w:t>
      </w:r>
    </w:p>
    <w:p>
      <w:pPr>
        <w:spacing w:after="160"/>
        <w:jc w:val="both"/>
      </w:pPr>
      <w:r>
        <w:t xml:space="preserve">Two facts from the SNN literature bear directly on how this proposal should be evaluated. First, spiking networks are non-differentiable at the spike event, and are trained in practice either via surrogate-gradient backpropagation through a smoothed spike function, or via ANN-to-SNN conversion (training a conventional network, then converting its ReLU activations into a rate-coded spiking equivalent). Both are mature, well-established training strategies; surrogate-gradient training in particular is used throughout this project's spiking gate implementation (Section 3.2). Second, and more important for the novelty argument in Section 6, a 2024 review of SNN architectures and efficiency (Frontiers in Neuroscience, 10.3389/fnins.2024.1383844) documents that many published energy-efficiency claims for SNNs rest on counting addition operations while ignoring other real costs such as data movement, and that the event-driven, low-power advantage SNNs are theoretically capable of is only reliably realised on neuromorphic hardware or dedicated simulators — not on conventional GPUs, which is how SNN research (including the implementation in this repository) is typically trained and run. This review also notes that only a minority of neuromorphic chips currently have software-package support, which is a practical barrier to validating energy claims empirically. This proposal therefore treats any energy/latency advantage of the SNN gate as a secondary, clearly caveated result (Section 5.4), not as the basis for the paper's central claim.</w:t>
      </w:r>
    </w:p>
    <w:p>
      <w:pPr>
        <w:pStyle w:val="Heading2"/>
        <w:spacing w:after="120" w:before="240"/>
      </w:pPr>
      <w:r>
        <w:t xml:space="preserve">2.4 Note on literature verification</w:t>
      </w:r>
    </w:p>
    <w:p>
      <w:pPr>
        <w:spacing w:after="160"/>
        <w:jc w:val="both"/>
      </w:pPr>
      <w:r>
        <w:t xml:space="preserve">This document was drafted in a session where live web search was unavailable and several academic-database fetches were rate-limited or blocked. Three sources above were independently confirmed by direct retrieval during drafting: Fayemiwo et al. (2025), Xu et al. (2021), and the Frontiers 2024 SNN efficiency review. The slice-classification-gating citation (§2.2) and any background claims about specific SNN training/conversion papers elsewhere in this document reflect the authors' general knowledge of the field and have not been re-verified against a live database in this session — before submission, every citation in the reference list should be checked against the actual source (DOI/PubMed lookup), not taken on the strength of this draft.</w:t>
      </w:r>
    </w:p>
    <w:p>
      <w:pPr>
        <w:pStyle w:val="Heading1"/>
        <w:spacing w:after="160" w:before="320"/>
      </w:pPr>
      <w:r>
        <w:t xml:space="preserve">3. Proposed Method</w:t>
      </w:r>
    </w:p>
    <w:p>
      <w:pPr>
        <w:spacing w:after="160"/>
        <w:jc w:val="both"/>
      </w:pPr>
      <w:r>
        <w:t xml:space="preserve">The pipeline has two trainable stages — a slice gate (Stage A) and a context-aware segmenter (Stage B) — connected by a deterministic, non-trainable buffering step, and wrapped by the post-processing already validated in the prior published pipeline. Figure 1 (described below; see the accompanying repository for the executable version) summarises the flow.</w:t>
      </w:r>
    </w:p>
    <w:p>
      <w:pPr>
        <w:pStyle w:val="Heading3"/>
        <w:spacing w:after="100" w:before="200"/>
      </w:pPr>
      <w:r>
        <w:t xml:space="preserve">Pipeline overview</w:t>
      </w:r>
    </w:p>
    <w:p>
      <w:pPr>
        <w:spacing w:after="60" w:before="12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24150"/>
                    </a:xfrm>
                    <a:prstGeom prst="rect">
                      <a:avLst/>
                    </a:prstGeom>
                  </pic:spPr>
                </pic:pic>
              </a:graphicData>
            </a:graphic>
          </wp:inline>
        </w:drawing>
      </w:r>
    </w:p>
    <w:p>
      <w:pPr>
        <w:spacing w:after="240" w:before="60"/>
        <w:jc w:val="center"/>
      </w:pPr>
      <w:r>
        <w:rPr>
          <w:i/>
          <w:iCs/>
          <w:sz w:val="20"/>
          <w:szCs w:val="20"/>
        </w:rPr>
        <w:t xml:space="preserve">Figure 1. End-to-end architecture. Implemented as AdrenalSegmentationPipeline in src/inference/pipeline.py; colour marks trainable (Stage A, Stage B) vs. deterministic components; the dashed box is the mandatory arm-D baseline, not a deployed component.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200"/>
        <w:gridCol w:w="826"/>
      </w:tblGrid>
      <w:tr>
        <w:trPr>
          <w:tblHeader/>
        </w:trPr>
        <w:tc>
          <w:tcPr>
            <w:tcW w:type="dxa" w:w="1800"/>
            <w:shd w:fill="D9E2F3" w:color="auto" w:val="clear"/>
            <w:tcMar>
              <w:top w:type="dxa" w:w="80"/>
              <w:left w:type="dxa" w:w="100"/>
              <w:bottom w:type="dxa" w:w="80"/>
              <w:right w:type="dxa" w:w="100"/>
            </w:tcMar>
          </w:tcPr>
          <w:p>
            <w:pPr>
              <w:jc w:val="left"/>
            </w:pPr>
            <w:r>
              <w:rPr>
                <w:b/>
                <w:bCs/>
                <w:sz w:val="20"/>
                <w:szCs w:val="20"/>
              </w:rPr>
              <w:t xml:space="preserve">Stage</w:t>
            </w:r>
          </w:p>
        </w:tc>
        <w:tc>
          <w:tcPr>
            <w:tcW w:type="dxa" w:w="3200"/>
            <w:shd w:fill="D9E2F3" w:color="auto" w:val="clear"/>
            <w:tcMar>
              <w:top w:type="dxa" w:w="80"/>
              <w:left w:type="dxa" w:w="100"/>
              <w:bottom w:type="dxa" w:w="80"/>
              <w:right w:type="dxa" w:w="100"/>
            </w:tcMar>
          </w:tcPr>
          <w:p>
            <w:pPr>
              <w:jc w:val="left"/>
            </w:pPr>
            <w:r>
              <w:rPr>
                <w:b/>
                <w:bCs/>
                <w:sz w:val="20"/>
                <w:szCs w:val="20"/>
              </w:rPr>
              <w:t xml:space="preserve">Input</w:t>
            </w:r>
          </w:p>
        </w:tc>
        <w:tc>
          <w:tcPr>
            <w:tcW w:type="dxa" w:w="3200"/>
            <w:shd w:fill="D9E2F3" w:color="auto" w:val="clear"/>
            <w:tcMar>
              <w:top w:type="dxa" w:w="80"/>
              <w:left w:type="dxa" w:w="100"/>
              <w:bottom w:type="dxa" w:w="80"/>
              <w:right w:type="dxa" w:w="100"/>
            </w:tcMar>
          </w:tcPr>
          <w:p>
            <w:pPr>
              <w:jc w:val="left"/>
            </w:pPr>
            <w:r>
              <w:rPr>
                <w:b/>
                <w:bCs/>
                <w:sz w:val="20"/>
                <w:szCs w:val="20"/>
              </w:rPr>
              <w:t xml:space="preserve">Output</w:t>
            </w:r>
          </w:p>
        </w:tc>
        <w:tc>
          <w:tcPr>
            <w:tcW w:type="dxa" w:w="826"/>
            <w:shd w:fill="D9E2F3" w:color="auto" w:val="clear"/>
            <w:tcMar>
              <w:top w:type="dxa" w:w="80"/>
              <w:left w:type="dxa" w:w="100"/>
              <w:bottom w:type="dxa" w:w="80"/>
              <w:right w:type="dxa" w:w="100"/>
            </w:tcMar>
          </w:tcPr>
          <w:p>
            <w:pPr>
              <w:jc w:val="left"/>
            </w:pPr>
            <w:r>
              <w:rPr>
                <w:b/>
                <w:bCs/>
                <w:sz w:val="20"/>
                <w:szCs w:val="20"/>
              </w:rPr>
              <w:t xml:space="preserve">Trainable?</w:t>
            </w:r>
          </w:p>
        </w:tc>
      </w:tr>
      <w:tr>
        <w:tc>
          <w:tcPr>
            <w:tcW w:type="dxa" w:w="1800"/>
            <w:tcMar>
              <w:top w:type="dxa" w:w="80"/>
              <w:left w:type="dxa" w:w="100"/>
              <w:bottom w:type="dxa" w:w="80"/>
              <w:right w:type="dxa" w:w="100"/>
            </w:tcMar>
          </w:tcPr>
          <w:p>
            <w:pPr>
              <w:jc w:val="left"/>
            </w:pPr>
            <w:r>
              <w:rPr>
                <w:b w:val="false"/>
                <w:bCs w:val="false"/>
                <w:sz w:val="20"/>
                <w:szCs w:val="20"/>
              </w:rPr>
              <w:t xml:space="preserve">0. Preprocessing</w:t>
            </w:r>
          </w:p>
        </w:tc>
        <w:tc>
          <w:tcPr>
            <w:tcW w:type="dxa" w:w="3200"/>
            <w:tcMar>
              <w:top w:type="dxa" w:w="80"/>
              <w:left w:type="dxa" w:w="100"/>
              <w:bottom w:type="dxa" w:w="80"/>
              <w:right w:type="dxa" w:w="100"/>
            </w:tcMar>
          </w:tcPr>
          <w:p>
            <w:pPr>
              <w:jc w:val="left"/>
            </w:pPr>
            <w:r>
              <w:rPr>
                <w:b w:val="false"/>
                <w:bCs w:val="false"/>
                <w:sz w:val="20"/>
                <w:szCs w:val="20"/>
              </w:rPr>
              <w:t xml:space="preserve">Raw CT volume (DICOM/NIfTI)</w:t>
            </w:r>
          </w:p>
        </w:tc>
        <w:tc>
          <w:tcPr>
            <w:tcW w:type="dxa" w:w="3200"/>
            <w:tcMar>
              <w:top w:type="dxa" w:w="80"/>
              <w:left w:type="dxa" w:w="100"/>
              <w:bottom w:type="dxa" w:w="80"/>
              <w:right w:type="dxa" w:w="100"/>
            </w:tcMar>
          </w:tcPr>
          <w:p>
            <w:pPr>
              <w:jc w:val="left"/>
            </w:pPr>
            <w:r>
              <w:rPr>
                <w:b w:val="false"/>
                <w:bCs w:val="false"/>
                <w:sz w:val="20"/>
                <w:szCs w:val="20"/>
              </w:rPr>
              <w:t xml:space="preserve">Resampled, HU-windowed, normalised volume</w:t>
            </w:r>
          </w:p>
        </w:tc>
        <w:tc>
          <w:tcPr>
            <w:tcW w:type="dxa" w:w="826"/>
            <w:tcMar>
              <w:top w:type="dxa" w:w="80"/>
              <w:left w:type="dxa" w:w="100"/>
              <w:bottom w:type="dxa" w:w="80"/>
              <w:right w:type="dxa" w:w="100"/>
            </w:tcMar>
          </w:tcPr>
          <w:p>
            <w:pPr>
              <w:jc w:val="left"/>
            </w:pPr>
            <w:r>
              <w:rPr>
                <w:b w:val="false"/>
                <w:bCs w:val="false"/>
                <w:sz w:val="20"/>
                <w:szCs w:val="20"/>
              </w:rPr>
              <w:t xml:space="preserve">No</w:t>
            </w:r>
          </w:p>
        </w:tc>
      </w:tr>
      <w:tr>
        <w:tc>
          <w:tcPr>
            <w:tcW w:type="dxa" w:w="1800"/>
            <w:tcMar>
              <w:top w:type="dxa" w:w="80"/>
              <w:left w:type="dxa" w:w="100"/>
              <w:bottom w:type="dxa" w:w="80"/>
              <w:right w:type="dxa" w:w="100"/>
            </w:tcMar>
          </w:tcPr>
          <w:p>
            <w:pPr>
              <w:jc w:val="left"/>
            </w:pPr>
            <w:r>
              <w:rPr>
                <w:b w:val="false"/>
                <w:bCs w:val="false"/>
                <w:sz w:val="20"/>
                <w:szCs w:val="20"/>
              </w:rPr>
              <w:t xml:space="preserve">A. Spiking slice gate</w:t>
            </w:r>
          </w:p>
        </w:tc>
        <w:tc>
          <w:tcPr>
            <w:tcW w:type="dxa" w:w="3200"/>
            <w:tcMar>
              <w:top w:type="dxa" w:w="80"/>
              <w:left w:type="dxa" w:w="100"/>
              <w:bottom w:type="dxa" w:w="80"/>
              <w:right w:type="dxa" w:w="100"/>
            </w:tcMar>
          </w:tcPr>
          <w:p>
            <w:pPr>
              <w:jc w:val="left"/>
            </w:pPr>
            <w:r>
              <w:rPr>
                <w:b w:val="false"/>
                <w:bCs w:val="false"/>
                <w:sz w:val="20"/>
                <w:szCs w:val="20"/>
              </w:rPr>
              <w:t xml:space="preserve">Window of k consecutive slices (craniocaudal order)</w:t>
            </w:r>
          </w:p>
        </w:tc>
        <w:tc>
          <w:tcPr>
            <w:tcW w:type="dxa" w:w="3200"/>
            <w:tcMar>
              <w:top w:type="dxa" w:w="80"/>
              <w:left w:type="dxa" w:w="100"/>
              <w:bottom w:type="dxa" w:w="80"/>
              <w:right w:type="dxa" w:w="100"/>
            </w:tcMar>
          </w:tcPr>
          <w:p>
            <w:pPr>
              <w:jc w:val="left"/>
            </w:pPr>
            <w:r>
              <w:rPr>
                <w:b w:val="false"/>
                <w:bCs w:val="false"/>
                <w:sz w:val="20"/>
                <w:szCs w:val="20"/>
              </w:rPr>
              <w:t xml:space="preserve">left_present / right_present probabilities per centre slice</w:t>
            </w:r>
          </w:p>
        </w:tc>
        <w:tc>
          <w:tcPr>
            <w:tcW w:type="dxa" w:w="826"/>
            <w:tcMar>
              <w:top w:type="dxa" w:w="80"/>
              <w:left w:type="dxa" w:w="100"/>
              <w:bottom w:type="dxa" w:w="80"/>
              <w:right w:type="dxa" w:w="100"/>
            </w:tcMar>
          </w:tcPr>
          <w:p>
            <w:pPr>
              <w:jc w:val="left"/>
            </w:pPr>
            <w:r>
              <w:rPr>
                <w:b w:val="false"/>
                <w:bCs w:val="false"/>
                <w:sz w:val="20"/>
                <w:szCs w:val="20"/>
              </w:rPr>
              <w:t xml:space="preserve">Yes</w:t>
            </w:r>
          </w:p>
        </w:tc>
      </w:tr>
      <w:tr>
        <w:tc>
          <w:tcPr>
            <w:tcW w:type="dxa" w:w="1800"/>
            <w:tcMar>
              <w:top w:type="dxa" w:w="80"/>
              <w:left w:type="dxa" w:w="100"/>
              <w:bottom w:type="dxa" w:w="80"/>
              <w:right w:type="dxa" w:w="100"/>
            </w:tcMar>
          </w:tcPr>
          <w:p>
            <w:pPr>
              <w:jc w:val="left"/>
            </w:pPr>
            <w:r>
              <w:rPr>
                <w:b w:val="false"/>
                <w:bCs w:val="false"/>
                <w:sz w:val="20"/>
                <w:szCs w:val="20"/>
              </w:rPr>
              <w:t xml:space="preserve">— Buffering</w:t>
            </w:r>
          </w:p>
        </w:tc>
        <w:tc>
          <w:tcPr>
            <w:tcW w:type="dxa" w:w="3200"/>
            <w:tcMar>
              <w:top w:type="dxa" w:w="80"/>
              <w:left w:type="dxa" w:w="100"/>
              <w:bottom w:type="dxa" w:w="80"/>
              <w:right w:type="dxa" w:w="100"/>
            </w:tcMar>
          </w:tcPr>
          <w:p>
            <w:pPr>
              <w:jc w:val="left"/>
            </w:pPr>
            <w:r>
              <w:rPr>
                <w:b w:val="false"/>
                <w:bCs w:val="false"/>
                <w:sz w:val="20"/>
                <w:szCs w:val="20"/>
              </w:rPr>
              <w:t xml:space="preserve">Per-slice gate probabilities for the full volume</w:t>
            </w:r>
          </w:p>
        </w:tc>
        <w:tc>
          <w:tcPr>
            <w:tcW w:type="dxa" w:w="3200"/>
            <w:tcMar>
              <w:top w:type="dxa" w:w="80"/>
              <w:left w:type="dxa" w:w="100"/>
              <w:bottom w:type="dxa" w:w="80"/>
              <w:right w:type="dxa" w:w="100"/>
            </w:tcMar>
          </w:tcPr>
          <w:p>
            <w:pPr>
              <w:jc w:val="left"/>
            </w:pPr>
            <w:r>
              <w:rPr>
                <w:b w:val="false"/>
                <w:bCs w:val="false"/>
                <w:sz w:val="20"/>
                <w:szCs w:val="20"/>
              </w:rPr>
              <w:t xml:space="preserve">Boolean slice-inclusion mask</w:t>
            </w:r>
          </w:p>
        </w:tc>
        <w:tc>
          <w:tcPr>
            <w:tcW w:type="dxa" w:w="826"/>
            <w:tcMar>
              <w:top w:type="dxa" w:w="80"/>
              <w:left w:type="dxa" w:w="100"/>
              <w:bottom w:type="dxa" w:w="80"/>
              <w:right w:type="dxa" w:w="100"/>
            </w:tcMar>
          </w:tcPr>
          <w:p>
            <w:pPr>
              <w:jc w:val="left"/>
            </w:pPr>
            <w:r>
              <w:rPr>
                <w:b w:val="false"/>
                <w:bCs w:val="false"/>
                <w:sz w:val="20"/>
                <w:szCs w:val="20"/>
              </w:rPr>
              <w:t xml:space="preserve">No (deterministic)</w:t>
            </w:r>
          </w:p>
        </w:tc>
      </w:tr>
      <w:tr>
        <w:tc>
          <w:tcPr>
            <w:tcW w:type="dxa" w:w="1800"/>
            <w:tcMar>
              <w:top w:type="dxa" w:w="80"/>
              <w:left w:type="dxa" w:w="100"/>
              <w:bottom w:type="dxa" w:w="80"/>
              <w:right w:type="dxa" w:w="100"/>
            </w:tcMar>
          </w:tcPr>
          <w:p>
            <w:pPr>
              <w:jc w:val="left"/>
            </w:pPr>
            <w:r>
              <w:rPr>
                <w:b w:val="false"/>
                <w:bCs w:val="false"/>
                <w:sz w:val="20"/>
                <w:szCs w:val="20"/>
              </w:rPr>
              <w:t xml:space="preserve">B. 2.5D segmenter</w:t>
            </w:r>
          </w:p>
        </w:tc>
        <w:tc>
          <w:tcPr>
            <w:tcW w:type="dxa" w:w="3200"/>
            <w:tcMar>
              <w:top w:type="dxa" w:w="80"/>
              <w:left w:type="dxa" w:w="100"/>
              <w:bottom w:type="dxa" w:w="80"/>
              <w:right w:type="dxa" w:w="100"/>
            </w:tcMar>
          </w:tcPr>
          <w:p>
            <w:pPr>
              <w:jc w:val="left"/>
            </w:pPr>
            <w:r>
              <w:rPr>
                <w:b w:val="false"/>
                <w:bCs w:val="false"/>
                <w:sz w:val="20"/>
                <w:szCs w:val="20"/>
              </w:rPr>
              <w:t xml:space="preserve">Included slices, each with k neighbouring slices stacked as channels</w:t>
            </w:r>
          </w:p>
        </w:tc>
        <w:tc>
          <w:tcPr>
            <w:tcW w:type="dxa" w:w="3200"/>
            <w:tcMar>
              <w:top w:type="dxa" w:w="80"/>
              <w:left w:type="dxa" w:w="100"/>
              <w:bottom w:type="dxa" w:w="80"/>
              <w:right w:type="dxa" w:w="100"/>
            </w:tcMar>
          </w:tcPr>
          <w:p>
            <w:pPr>
              <w:jc w:val="left"/>
            </w:pPr>
            <w:r>
              <w:rPr>
                <w:b w:val="false"/>
                <w:bCs w:val="false"/>
                <w:sz w:val="20"/>
                <w:szCs w:val="20"/>
              </w:rPr>
              <w:t xml:space="preserve">Two-channel mask per included slice: left gland, right gland</w:t>
            </w:r>
          </w:p>
        </w:tc>
        <w:tc>
          <w:tcPr>
            <w:tcW w:type="dxa" w:w="826"/>
            <w:tcMar>
              <w:top w:type="dxa" w:w="80"/>
              <w:left w:type="dxa" w:w="100"/>
              <w:bottom w:type="dxa" w:w="80"/>
              <w:right w:type="dxa" w:w="100"/>
            </w:tcMar>
          </w:tcPr>
          <w:p>
            <w:pPr>
              <w:jc w:val="left"/>
            </w:pPr>
            <w:r>
              <w:rPr>
                <w:b w:val="false"/>
                <w:bCs w:val="false"/>
                <w:sz w:val="20"/>
                <w:szCs w:val="20"/>
              </w:rPr>
              <w:t xml:space="preserve">Yes</w:t>
            </w:r>
          </w:p>
        </w:tc>
      </w:tr>
      <w:tr>
        <w:tc>
          <w:tcPr>
            <w:tcW w:type="dxa" w:w="1800"/>
            <w:tcMar>
              <w:top w:type="dxa" w:w="80"/>
              <w:left w:type="dxa" w:w="100"/>
              <w:bottom w:type="dxa" w:w="80"/>
              <w:right w:type="dxa" w:w="100"/>
            </w:tcMar>
          </w:tcPr>
          <w:p>
            <w:pPr>
              <w:jc w:val="left"/>
            </w:pPr>
            <w:r>
              <w:rPr>
                <w:b w:val="false"/>
                <w:bCs w:val="false"/>
                <w:sz w:val="20"/>
                <w:szCs w:val="20"/>
              </w:rPr>
              <w:t xml:space="preserve">Post-processing</w:t>
            </w:r>
          </w:p>
        </w:tc>
        <w:tc>
          <w:tcPr>
            <w:tcW w:type="dxa" w:w="3200"/>
            <w:tcMar>
              <w:top w:type="dxa" w:w="80"/>
              <w:left w:type="dxa" w:w="100"/>
              <w:bottom w:type="dxa" w:w="80"/>
              <w:right w:type="dxa" w:w="100"/>
            </w:tcMar>
          </w:tcPr>
          <w:p>
            <w:pPr>
              <w:jc w:val="left"/>
            </w:pPr>
            <w:r>
              <w:rPr>
                <w:b w:val="false"/>
                <w:bCs w:val="false"/>
                <w:sz w:val="20"/>
                <w:szCs w:val="20"/>
              </w:rPr>
              <w:t xml:space="preserve">Raw predicted masks</w:t>
            </w:r>
          </w:p>
        </w:tc>
        <w:tc>
          <w:tcPr>
            <w:tcW w:type="dxa" w:w="3200"/>
            <w:tcMar>
              <w:top w:type="dxa" w:w="80"/>
              <w:left w:type="dxa" w:w="100"/>
              <w:bottom w:type="dxa" w:w="80"/>
              <w:right w:type="dxa" w:w="100"/>
            </w:tcMar>
          </w:tcPr>
          <w:p>
            <w:pPr>
              <w:jc w:val="left"/>
            </w:pPr>
            <w:r>
              <w:rPr>
                <w:b w:val="false"/>
                <w:bCs w:val="false"/>
                <w:sz w:val="20"/>
                <w:szCs w:val="20"/>
              </w:rPr>
              <w:t xml:space="preserve">TTA-fused, connected-component-pruned final masks</w:t>
            </w:r>
          </w:p>
        </w:tc>
        <w:tc>
          <w:tcPr>
            <w:tcW w:type="dxa" w:w="826"/>
            <w:tcMar>
              <w:top w:type="dxa" w:w="80"/>
              <w:left w:type="dxa" w:w="100"/>
              <w:bottom w:type="dxa" w:w="80"/>
              <w:right w:type="dxa" w:w="100"/>
            </w:tcMar>
          </w:tcPr>
          <w:p>
            <w:pPr>
              <w:jc w:val="left"/>
            </w:pPr>
            <w:r>
              <w:rPr>
                <w:b w:val="false"/>
                <w:bCs w:val="false"/>
                <w:sz w:val="20"/>
                <w:szCs w:val="20"/>
              </w:rPr>
              <w:t xml:space="preserve">No</w:t>
            </w:r>
          </w:p>
        </w:tc>
      </w:tr>
    </w:tbl>
    <w:p>
      <w:pPr>
        <w:spacing w:after="240" w:before="60"/>
        <w:jc w:val="center"/>
      </w:pPr>
      <w:r>
        <w:rPr>
          <w:i/>
          <w:iCs/>
          <w:sz w:val="20"/>
          <w:szCs w:val="20"/>
        </w:rPr>
        <w:t xml:space="preserve">Table 1. Pipeline stage summary (tabular complement to Figure 1).</w:t>
      </w:r>
    </w:p>
    <w:p>
      <w:pPr>
        <w:pStyle w:val="Heading2"/>
        <w:spacing w:after="120" w:before="240"/>
      </w:pPr>
      <w:r>
        <w:t xml:space="preserve">3.1 Preprocessing</w:t>
      </w:r>
    </w:p>
    <w:p>
      <w:pPr>
        <w:spacing w:after="160"/>
        <w:jc w:val="both"/>
      </w:pPr>
      <w:r>
        <w:t xml:space="preserve">Volumes are resampled to a fixed target spacing, clipped to a soft-tissue Hounsfield-unit window (default [−135, 215] HU, covering the adrenal gland and its immediate neighbours), and normalised to zero mean / unit variance after windowing. The windowing and normalisation mirror the prior published pipeline so that Stage B's backbone comparisons remain apples-to-apples with that earlier work. Implemented in src/data/preprocessing.py and applied in scripts/train_adrenal_segmenter.py.</w:t>
      </w:r>
    </w:p>
    <w:p>
      <w:pPr>
        <w:spacing w:after="160"/>
        <w:jc w:val="both"/>
      </w:pPr>
      <w:r>
        <w:t xml:space="preserve">The resampling target is deliberately anisotropic (default 1.0 mm in-plane, 2.5 mm between slices) rather than isotropic. AMOS22 is acquired with fine in-plane resolution but coarse and, critically, variable slice thickness — cases at 1.25, 2 and 5 mm all occur in the same cohort. Left unresampled, a fixed k-slice window spans 6.25 mm for one patient and 25 mm for another, which is a direct confound for any model that treats the slice axis as a sequence: the same k time steps would represent four times as much anatomy for one patient as for another. Resampling the slice axis to a single value is what makes the window a fixed physical distance and therefore makes Stage A's temporal claim well posed at all. Isotropic resampling would additionally interpolate the slice axis up to the in-plane resolution, inventing detail that the acquisition never captured, at a substantial memory cost and with no benefit for a structure whose limbs are several millimetres thick. The in-plane value is chosen to preserve gland detail; the slice value should be set to the median slice thickness of the cohort actually used, following the convention that a resampling target be justified by the data rather than assumed. The 2.5 mm default here is provisional and must be replaced by that measured median, and the value stated, before any benchmark run is reported.</w:t>
      </w:r>
    </w:p>
    <w:p>
      <w:pPr>
        <w:pStyle w:val="Heading2"/>
        <w:spacing w:after="120" w:before="240"/>
      </w:pPr>
      <w:r>
        <w:t xml:space="preserve">3.2 Stage A: sequence-aware spiking slice gate</w:t>
      </w:r>
    </w:p>
    <w:p>
      <w:pPr>
        <w:spacing w:after="160"/>
        <w:jc w:val="both"/>
      </w:pPr>
      <w:r>
        <w:t xml:space="preserve">The gate receives a window of k consecutive axial slices (k ∈ {3, …, 7}, default 5) centred on a candidate slice, in true craniocaudal order. Each slice is presented to a spiking residual convolutional network as one discrete time step t = 1, …, k. At every time step, a shared convolutional stem and three residual blocks process the current slice; each block's leaky-integrate-and-fire (LIF) layer carries its membrane potential forward into the next time step, so evidence from slice t − 1 directly influences how slice t's convolutional response is interpreted. A final LIF read-out layer accumulates a spike-rate feature across all k time steps, which is passed through a shared dense layer and two linear heads producing left_present and right_present logits.</w:t>
      </w:r>
    </w:p>
    <w:p>
      <w:pPr>
        <w:spacing w:after="160"/>
        <w:jc w:val="both"/>
      </w:pPr>
      <w:r>
        <w:t xml:space="preserve">This design is deliberately different from the common SNN-for-image-classification recipe of feeding one static image for k identical time steps (rate/latency coding of a single frame). Doing that here would fail to justify the SNN's temporal machinery: the “time” axis would carry no information the network could not get from a single forward pass. By contrast, mapping k distinct, spatially adjacent slices onto k time steps gives the membrane-potential accumulation a concrete anatomical referent — the network is integrating evidence about whether the gland is present as it moves through the volume, which is closer to how a radiologist scrolls through a series. Ablation arm G (Section 4.2) isolates exactly this design choice by feeding the same architecture a repeated centre slice instead of the true neighbourhood, so the contribution of true sequential encoding is measured rather than assumed.</w:t>
      </w:r>
    </w:p>
    <w:p>
      <w:pPr>
        <w:spacing w:after="160"/>
        <w:jc w:val="both"/>
      </w:pPr>
      <w:r>
        <w:t xml:space="preserve">Training uses surrogate-gradient backpropagation (a smoothed sigmoid surrogate for the spike non-linearity, as implemented in snnTorch), a multi-head focal binary cross-entropy loss with optional per-head class weighting (useful if positive slices for one side are rarer than the other in a given cohort), and AdamW. Per the design review that motivated this project, the operating threshold is not the default 0.5: it is selected on the validation set as the highest threshold that still achieves sensitivity ≥ 0.98 (configurable), because a missed positive slice permanently removes true tissue from everything downstream, while a false positive only costs one wasted segmentation attempt. Sensitivity, specificity, NPV, F2, PR-AUC, and calibration (Brier score) are reported at that operating point rather than accuracy. Implemented in src/models/snn_gate.py and src/models/losses.py; threshold selection in src/evaluation/metrics.py.</w:t>
      </w:r>
    </w:p>
    <w:p>
      <w:pPr>
        <w:pStyle w:val="Heading2"/>
        <w:spacing w:after="120" w:before="240"/>
      </w:pPr>
      <w:r>
        <w:t xml:space="preserve">3.3 Uncertainty-driven adaptive slice buffering</w:t>
      </w:r>
    </w:p>
    <w:p>
      <w:pPr>
        <w:spacing w:after="160"/>
        <w:jc w:val="both"/>
      </w:pPr>
      <w:r>
        <w:t xml:space="preserve">A fixed safety margin (default: 4 slices above and below every contiguous positive run) protects against a hard cutoff at the gate's decision boundary causing incomplete organ coverage. This proposal adds an adaptive extension on top of that floor: for each boundary slice just outside the fixed margin, an uncertainty score (distance from the gate's decision threshold, normalised to [0, 1]) is computed; if that uncertainty exceeds a configurable level, the buffer keeps growing one slice at a time, up to a hard cap (default 6 additional slices per side). This lets the buffer adapt to how ambiguous each patient's gland boundary actually is, rather than applying one constant margin to every patient regardless of how confidently the gate resolves the boundary. Ablation arm F disables this extension (fixed buffer only) to isolate its contribution. Implemented in src/training/uncertainty_buffer.py.</w:t>
      </w:r>
    </w:p>
    <w:p>
      <w:pPr>
        <w:pStyle w:val="Heading2"/>
        <w:spacing w:after="120" w:before="240"/>
      </w:pPr>
      <w:r>
        <w:t xml:space="preserve">3.4 Stage B: hard-negative-aware 2.5D segmenter</w:t>
      </w:r>
    </w:p>
    <w:p>
      <w:pPr>
        <w:spacing w:after="160"/>
        <w:jc w:val="both"/>
      </w:pPr>
      <w:r>
        <w:t xml:space="preserve">Only slices included by the buffering step are segmented. Each is segmented in its 2.5D form: the k neighbouring slices are stacked as input channels to a 2D U-Net (encoder backbone swappable — InceptionV4 is the default, as the closest available encoder in segmentation-models-pytorch to the InceptionV3 backbone that performed best in the prior published pipeline). Per the design review, the segmenter is explicitly not trained only on positive slices: training batches are drawn from a controlled mixture of true-positive windows, boundary slices immediately above/below the gland, slices centred on neighbouring organs (kidney, liver, spleen, pancreas), and false positives harvested from the prior published pipeline's own errors, so the network is explicitly taught to output an empty mask on anatomically similar but incorrect structures rather than only ever seeing positive examples during training. The loss combines Dice (robust to the foreground/background imbalance typical of small-organ masks) with focal binary cross-entropy (penalises confident errors on the hard-negative slices more heavily). Implemented in src/models/unet25d.py, src/training/train_segmenter.py (HardNegativeMixDataset), and src/models/losses.py (DiceFocalLoss).</w:t>
      </w:r>
    </w:p>
    <w:p>
      <w:pPr>
        <w:pStyle w:val="Heading3"/>
        <w:spacing w:after="100" w:before="200"/>
      </w:pPr>
      <w:r>
        <w:t xml:space="preserve">Why 2.5D, and why a convolutional U-Net</w:t>
      </w:r>
    </w:p>
    <w:p>
      <w:pPr>
        <w:spacing w:after="160"/>
        <w:jc w:val="both"/>
      </w:pPr>
      <w:r>
        <w:t xml:space="preserve">The choice of a 2.5D convolutional U-Net for Stage B is a constraint of the cascade, not a default. Three considerations fix it. First, the gate admits or rejects individual slices; a fully 3D segmenter consumes volumetric patches and has no natural notion of an admitted slice, so the two stages would not compose. The 2.5D formulation - neighbouring slices stacked as input channels - is what allows a per-slice decision to feed a segmenter that still sees local three-dimensional context. Second, the data are strongly anisotropic (in-plane resolution below 1 mm against slice thickness of 1.25-5 mm), so isotropic 3D convolutions would mix voxels representing very different physical distances. Third, the prior published pipeline was 2D, and 2.5D is a controlled increment from it; moving to 3D would confound the architectural change with every other change under test.</w:t>
      </w:r>
    </w:p>
    <w:p>
      <w:pPr>
        <w:spacing w:after="160"/>
        <w:jc w:val="both"/>
      </w:pPr>
      <w:r>
        <w:t xml:space="preserve">On the backbone itself, the recent literature argues against reaching for a Transformer or state-space (Mamba) variant. A systematic re-evaluation of 3D segmentation architectures (Isensee et al., 2024) reports that convolutional U-Nets - including ResNet and ConvNeXt variants - remain the strongest configuration when compared under matched conditions, and that claims of Transformer or Mamba superiority frequently ‘fail to hold up when scrutinized for common validation shortcomings, such as the use of inadequate baselines, insufficient datasets, and neglected computational resources’. That analysis is directly relevant here: the architectures this project would otherwise be tempted to adopt (for example U-Mamba, 2024) are precisely those whose reported gains that work finds do not survive a properly tuned convolutional baseline. Rather than argue the point, the experimental design settles it empirically: arm H runs nnU-Net in its full-volume configuration as an external state-of-the-art anchor, so a reviewer asking why a stronger backbone was not used receives a measured answer rather than a justification.</w:t>
      </w:r>
    </w:p>
    <w:p>
      <w:pPr>
        <w:pStyle w:val="Heading2"/>
        <w:spacing w:after="120" w:before="240"/>
      </w:pPr>
      <w:r>
        <w:t xml:space="preserve">3.5 Post-processing</w:t>
      </w:r>
    </w:p>
    <w:p>
      <w:pPr>
        <w:spacing w:after="160"/>
        <w:jc w:val="both"/>
      </w:pPr>
      <w:r>
        <w:t xml:space="preserve">The prior published pipeline's test-time augmentation (horizontal flip, vertical flip, 90° rotation, averaged in the original orientation) and connected-component pruning (discarding fragments below a minimum voxel count, or retaining only the k largest components for a known k = 2 glands) are carried over unchanged, so any improvement measured in Section 4 is attributable to the gate and buffering, not to a different post-processing step. Implemented in src/postprocessing/tta.py and src/postprocessing/connected_components.py.</w:t>
      </w:r>
    </w:p>
    <w:p>
      <w:pPr>
        <w:pStyle w:val="Heading1"/>
        <w:spacing w:after="160" w:before="320"/>
      </w:pPr>
      <w:r>
        <w:t xml:space="preserve">4. Experimental Design</w:t>
      </w:r>
    </w:p>
    <w:p>
      <w:pPr>
        <w:pStyle w:val="Heading2"/>
        <w:spacing w:after="120" w:before="240"/>
      </w:pPr>
      <w:r>
        <w:t xml:space="preserve">4.1 Data and patient-level splitting</w:t>
      </w:r>
    </w:p>
    <w:p>
      <w:pPr>
        <w:spacing w:after="160"/>
        <w:jc w:val="both"/>
      </w:pPr>
      <w:r>
        <w:t xml:space="preserve">All cross-validation splitting is performed at the patient level, never the slice level: with a small cohort of CT scans, slices from one patient carry strongly correlated appearance and are not independent evidence, so slice-level random splitting would leak information between train, validation and test sets and inflate reported performance. The default protocol is patient-level five-fold cross-validation with bootstrap confidence intervals reported across patients (Section 4.4). Implemented in src/data/splits.py (patient_level_kfold, assert_no_patient_leakage).</w:t>
      </w:r>
    </w:p>
    <w:p>
      <w:pPr>
        <w:pStyle w:val="Heading2"/>
        <w:spacing w:after="120" w:before="240"/>
      </w:pPr>
      <w:r>
        <w:t xml:space="preserve">4.2 Ablation matrix</w:t>
      </w:r>
    </w:p>
    <w:p>
      <w:pPr>
        <w:spacing w:after="160"/>
        <w:jc w:val="both"/>
      </w:pPr>
      <w:r>
        <w:t xml:space="preserve">Eight arms are compared under identical preprocessing, patient-level folds, and post-processing. Arm D is listed as mandatory rather than optional: it is the comparison that determines whether the spiking gate's architecture, not merely its parameter count or training procedure, is responsible for any observed gain, and without it a reviewer can reasonably argue the SNN is unjustified regardless of how well arm E performs against a plain CNN.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626"/>
      </w:tblGrid>
      <w:tr>
        <w:trPr>
          <w:tblHeader/>
        </w:trPr>
        <w:tc>
          <w:tcPr>
            <w:tcW w:type="dxa" w:w="700"/>
            <w:shd w:fill="D9E2F3" w:color="auto" w:val="clear"/>
            <w:tcMar>
              <w:top w:type="dxa" w:w="80"/>
              <w:left w:type="dxa" w:w="100"/>
              <w:bottom w:type="dxa" w:w="80"/>
              <w:right w:type="dxa" w:w="100"/>
            </w:tcMar>
          </w:tcPr>
          <w:p>
            <w:pPr>
              <w:jc w:val="left"/>
            </w:pPr>
            <w:r>
              <w:rPr>
                <w:b/>
                <w:bCs/>
                <w:sz w:val="20"/>
                <w:szCs w:val="20"/>
              </w:rPr>
              <w:t xml:space="preserve">Arm</w:t>
            </w:r>
          </w:p>
        </w:tc>
        <w:tc>
          <w:tcPr>
            <w:tcW w:type="dxa" w:w="4700"/>
            <w:shd w:fill="D9E2F3" w:color="auto" w:val="clear"/>
            <w:tcMar>
              <w:top w:type="dxa" w:w="80"/>
              <w:left w:type="dxa" w:w="100"/>
              <w:bottom w:type="dxa" w:w="80"/>
              <w:right w:type="dxa" w:w="100"/>
            </w:tcMar>
          </w:tcPr>
          <w:p>
            <w:pPr>
              <w:jc w:val="left"/>
            </w:pPr>
            <w:r>
              <w:rPr>
                <w:b/>
                <w:bCs/>
                <w:sz w:val="20"/>
                <w:szCs w:val="20"/>
              </w:rPr>
              <w:t xml:space="preserve">Configuration</w:t>
            </w:r>
          </w:p>
        </w:tc>
        <w:tc>
          <w:tcPr>
            <w:tcW w:type="dxa" w:w="3626"/>
            <w:shd w:fill="D9E2F3" w:color="auto" w:val="clear"/>
            <w:tcMar>
              <w:top w:type="dxa" w:w="80"/>
              <w:left w:type="dxa" w:w="100"/>
              <w:bottom w:type="dxa" w:w="80"/>
              <w:right w:type="dxa" w:w="100"/>
            </w:tcMar>
          </w:tcPr>
          <w:p>
            <w:pPr>
              <w:jc w:val="left"/>
            </w:pPr>
            <w:r>
              <w:rPr>
                <w:b/>
                <w:bCs/>
                <w:sz w:val="20"/>
                <w:szCs w:val="20"/>
              </w:rPr>
              <w:t xml:space="preserve">Purpose</w:t>
            </w:r>
          </w:p>
        </w:tc>
      </w:tr>
      <w:tr>
        <w:tc>
          <w:tcPr>
            <w:tcW w:type="dxa" w:w="700"/>
            <w:tcMar>
              <w:top w:type="dxa" w:w="80"/>
              <w:left w:type="dxa" w:w="100"/>
              <w:bottom w:type="dxa" w:w="80"/>
              <w:right w:type="dxa" w:w="100"/>
            </w:tcMar>
          </w:tcPr>
          <w:p>
            <w:pPr>
              <w:jc w:val="left"/>
            </w:pPr>
            <w:r>
              <w:rPr>
                <w:b w:val="false"/>
                <w:bCs w:val="false"/>
                <w:sz w:val="20"/>
                <w:szCs w:val="20"/>
              </w:rPr>
              <w:t xml:space="preserve">A</w:t>
            </w:r>
          </w:p>
        </w:tc>
        <w:tc>
          <w:tcPr>
            <w:tcW w:type="dxa" w:w="4700"/>
            <w:tcMar>
              <w:top w:type="dxa" w:w="80"/>
              <w:left w:type="dxa" w:w="100"/>
              <w:bottom w:type="dxa" w:w="80"/>
              <w:right w:type="dxa" w:w="100"/>
            </w:tcMar>
          </w:tcPr>
          <w:p>
            <w:pPr>
              <w:jc w:val="left"/>
            </w:pPr>
            <w:r>
              <w:rPr>
                <w:b w:val="false"/>
                <w:bCs w:val="false"/>
                <w:sz w:val="20"/>
                <w:szCs w:val="20"/>
              </w:rPr>
              <w:t xml:space="preserve">Full-volume 2D U-Net, no gate</w:t>
            </w:r>
          </w:p>
        </w:tc>
        <w:tc>
          <w:tcPr>
            <w:tcW w:type="dxa" w:w="3626"/>
            <w:tcMar>
              <w:top w:type="dxa" w:w="80"/>
              <w:left w:type="dxa" w:w="100"/>
              <w:bottom w:type="dxa" w:w="80"/>
              <w:right w:type="dxa" w:w="100"/>
            </w:tcMar>
          </w:tcPr>
          <w:p>
            <w:pPr>
              <w:jc w:val="left"/>
            </w:pPr>
            <w:r>
              <w:rPr>
                <w:b w:val="false"/>
                <w:bCs w:val="false"/>
                <w:sz w:val="20"/>
                <w:szCs w:val="20"/>
              </w:rPr>
              <w:t xml:space="preserve">Weakest baseline; establishes the false-positive problem the gate is meant to solve</w:t>
            </w:r>
          </w:p>
        </w:tc>
      </w:tr>
      <w:tr>
        <w:tc>
          <w:tcPr>
            <w:tcW w:type="dxa" w:w="700"/>
            <w:tcMar>
              <w:top w:type="dxa" w:w="80"/>
              <w:left w:type="dxa" w:w="100"/>
              <w:bottom w:type="dxa" w:w="80"/>
              <w:right w:type="dxa" w:w="100"/>
            </w:tcMar>
          </w:tcPr>
          <w:p>
            <w:pPr>
              <w:jc w:val="left"/>
            </w:pPr>
            <w:r>
              <w:rPr>
                <w:b w:val="false"/>
                <w:bCs w:val="false"/>
                <w:sz w:val="20"/>
                <w:szCs w:val="20"/>
              </w:rPr>
              <w:t xml:space="preserve">B</w:t>
            </w:r>
          </w:p>
        </w:tc>
        <w:tc>
          <w:tcPr>
            <w:tcW w:type="dxa" w:w="4700"/>
            <w:tcMar>
              <w:top w:type="dxa" w:w="80"/>
              <w:left w:type="dxa" w:w="100"/>
              <w:bottom w:type="dxa" w:w="80"/>
              <w:right w:type="dxa" w:w="100"/>
            </w:tcMar>
          </w:tcPr>
          <w:p>
            <w:pPr>
              <w:jc w:val="left"/>
            </w:pPr>
            <w:r>
              <w:rPr>
                <w:b w:val="false"/>
                <w:bCs w:val="false"/>
                <w:sz w:val="20"/>
                <w:szCs w:val="20"/>
              </w:rPr>
              <w:t xml:space="preserve">Prior published pipeline: 2D U-Net + TTA + connected-component pruning</w:t>
            </w:r>
          </w:p>
        </w:tc>
        <w:tc>
          <w:tcPr>
            <w:tcW w:type="dxa" w:w="3626"/>
            <w:tcMar>
              <w:top w:type="dxa" w:w="80"/>
              <w:left w:type="dxa" w:w="100"/>
              <w:bottom w:type="dxa" w:w="80"/>
              <w:right w:type="dxa" w:w="100"/>
            </w:tcMar>
          </w:tcPr>
          <w:p>
            <w:pPr>
              <w:jc w:val="left"/>
            </w:pPr>
            <w:r>
              <w:rPr>
                <w:b w:val="false"/>
                <w:bCs w:val="false"/>
                <w:sz w:val="20"/>
                <w:szCs w:val="20"/>
              </w:rPr>
              <w:t xml:space="preserve">Strongest prior baseline from the authors' own published work</w:t>
            </w:r>
          </w:p>
        </w:tc>
      </w:tr>
      <w:tr>
        <w:tc>
          <w:tcPr>
            <w:tcW w:type="dxa" w:w="700"/>
            <w:tcMar>
              <w:top w:type="dxa" w:w="80"/>
              <w:left w:type="dxa" w:w="100"/>
              <w:bottom w:type="dxa" w:w="80"/>
              <w:right w:type="dxa" w:w="100"/>
            </w:tcMar>
          </w:tcPr>
          <w:p>
            <w:pPr>
              <w:jc w:val="left"/>
            </w:pPr>
            <w:r>
              <w:rPr>
                <w:b w:val="false"/>
                <w:bCs w:val="false"/>
                <w:sz w:val="20"/>
                <w:szCs w:val="20"/>
              </w:rPr>
              <w:t xml:space="preserve">C</w:t>
            </w:r>
          </w:p>
        </w:tc>
        <w:tc>
          <w:tcPr>
            <w:tcW w:type="dxa" w:w="4700"/>
            <w:tcMar>
              <w:top w:type="dxa" w:w="80"/>
              <w:left w:type="dxa" w:w="100"/>
              <w:bottom w:type="dxa" w:w="80"/>
              <w:right w:type="dxa" w:w="100"/>
            </w:tcMar>
          </w:tcPr>
          <w:p>
            <w:pPr>
              <w:jc w:val="left"/>
            </w:pPr>
            <w:r>
              <w:rPr>
                <w:b w:val="false"/>
                <w:bCs w:val="false"/>
                <w:sz w:val="20"/>
                <w:szCs w:val="20"/>
              </w:rPr>
              <w:t xml:space="preserve">Conventional single-slice ResNet18 classifier gate + 2.5D U-Net</w:t>
            </w:r>
          </w:p>
        </w:tc>
        <w:tc>
          <w:tcPr>
            <w:tcW w:type="dxa" w:w="3626"/>
            <w:tcMar>
              <w:top w:type="dxa" w:w="80"/>
              <w:left w:type="dxa" w:w="100"/>
              <w:bottom w:type="dxa" w:w="80"/>
              <w:right w:type="dxa" w:w="100"/>
            </w:tcMar>
          </w:tcPr>
          <w:p>
            <w:pPr>
              <w:jc w:val="left"/>
            </w:pPr>
            <w:r>
              <w:rPr>
                <w:b w:val="false"/>
                <w:bCs w:val="false"/>
                <w:sz w:val="20"/>
                <w:szCs w:val="20"/>
              </w:rPr>
              <w:t xml:space="preserve">Cheapest possible gate; establishes the floor a more complex gate must beat</w:t>
            </w:r>
          </w:p>
        </w:tc>
      </w:tr>
      <w:tr>
        <w:tc>
          <w:tcPr>
            <w:tcW w:type="dxa" w:w="700"/>
            <w:tcMar>
              <w:top w:type="dxa" w:w="80"/>
              <w:left w:type="dxa" w:w="100"/>
              <w:bottom w:type="dxa" w:w="80"/>
              <w:right w:type="dxa" w:w="100"/>
            </w:tcMar>
          </w:tcPr>
          <w:p>
            <w:pPr>
              <w:jc w:val="left"/>
            </w:pPr>
            <w:r>
              <w:rPr>
                <w:b w:val="false"/>
                <w:bCs w:val="false"/>
                <w:sz w:val="20"/>
                <w:szCs w:val="20"/>
              </w:rPr>
              <w:t xml:space="preserve">D</w:t>
            </w:r>
          </w:p>
        </w:tc>
        <w:tc>
          <w:tcPr>
            <w:tcW w:type="dxa" w:w="4700"/>
            <w:tcMar>
              <w:top w:type="dxa" w:w="80"/>
              <w:left w:type="dxa" w:w="100"/>
              <w:bottom w:type="dxa" w:w="80"/>
              <w:right w:type="dxa" w:w="100"/>
            </w:tcMar>
          </w:tcPr>
          <w:p>
            <w:pPr>
              <w:jc w:val="left"/>
            </w:pPr>
            <w:r>
              <w:rPr>
                <w:b w:val="false"/>
                <w:bCs w:val="false"/>
                <w:sz w:val="20"/>
                <w:szCs w:val="20"/>
              </w:rPr>
              <w:t xml:space="preserve">Matched-capacity CNN-LSTM gate (same slice window, comparable parameter count) + 2.5D U-Net</w:t>
            </w:r>
          </w:p>
        </w:tc>
        <w:tc>
          <w:tcPr>
            <w:tcW w:type="dxa" w:w="3626"/>
            <w:tcMar>
              <w:top w:type="dxa" w:w="80"/>
              <w:left w:type="dxa" w:w="100"/>
              <w:bottom w:type="dxa" w:w="80"/>
              <w:right w:type="dxa" w:w="100"/>
            </w:tcMar>
          </w:tcPr>
          <w:p>
            <w:pPr>
              <w:jc w:val="left"/>
            </w:pPr>
            <w:r>
              <w:rPr>
                <w:b w:val="false"/>
                <w:bCs w:val="false"/>
                <w:sz w:val="20"/>
                <w:szCs w:val="20"/>
              </w:rPr>
              <w:t xml:space="preserve">Mandatory: isolates whether spiking architecture, not just sequence modelling, matters</w:t>
            </w:r>
          </w:p>
        </w:tc>
      </w:tr>
      <w:tr>
        <w:tc>
          <w:tcPr>
            <w:tcW w:type="dxa" w:w="700"/>
            <w:tcMar>
              <w:top w:type="dxa" w:w="80"/>
              <w:left w:type="dxa" w:w="100"/>
              <w:bottom w:type="dxa" w:w="80"/>
              <w:right w:type="dxa" w:w="100"/>
            </w:tcMar>
          </w:tcPr>
          <w:p>
            <w:pPr>
              <w:jc w:val="left"/>
            </w:pPr>
            <w:r>
              <w:rPr>
                <w:b w:val="false"/>
                <w:bCs w:val="false"/>
                <w:sz w:val="20"/>
                <w:szCs w:val="20"/>
              </w:rPr>
              <w:t xml:space="preserve">E</w:t>
            </w:r>
          </w:p>
        </w:tc>
        <w:tc>
          <w:tcPr>
            <w:tcW w:type="dxa" w:w="4700"/>
            <w:tcMar>
              <w:top w:type="dxa" w:w="80"/>
              <w:left w:type="dxa" w:w="100"/>
              <w:bottom w:type="dxa" w:w="80"/>
              <w:right w:type="dxa" w:w="100"/>
            </w:tcMar>
          </w:tcPr>
          <w:p>
            <w:pPr>
              <w:jc w:val="left"/>
            </w:pPr>
            <w:r>
              <w:rPr>
                <w:b w:val="false"/>
                <w:bCs w:val="false"/>
                <w:sz w:val="20"/>
                <w:szCs w:val="20"/>
              </w:rPr>
              <w:t xml:space="preserve">Proposed: temporal-SNN gate + uncertainty buffer + 2.5D U-Net</w:t>
            </w:r>
          </w:p>
        </w:tc>
        <w:tc>
          <w:tcPr>
            <w:tcW w:type="dxa" w:w="3626"/>
            <w:tcMar>
              <w:top w:type="dxa" w:w="80"/>
              <w:left w:type="dxa" w:w="100"/>
              <w:bottom w:type="dxa" w:w="80"/>
              <w:right w:type="dxa" w:w="100"/>
            </w:tcMar>
          </w:tcPr>
          <w:p>
            <w:pPr>
              <w:jc w:val="left"/>
            </w:pPr>
            <w:r>
              <w:rPr>
                <w:b w:val="false"/>
                <w:bCs w:val="false"/>
                <w:sz w:val="20"/>
                <w:szCs w:val="20"/>
              </w:rPr>
              <w:t xml:space="preserve">Full proposed method</w:t>
            </w:r>
          </w:p>
        </w:tc>
      </w:tr>
      <w:tr>
        <w:tc>
          <w:tcPr>
            <w:tcW w:type="dxa" w:w="700"/>
            <w:tcMar>
              <w:top w:type="dxa" w:w="80"/>
              <w:left w:type="dxa" w:w="100"/>
              <w:bottom w:type="dxa" w:w="80"/>
              <w:right w:type="dxa" w:w="100"/>
            </w:tcMar>
          </w:tcPr>
          <w:p>
            <w:pPr>
              <w:jc w:val="left"/>
            </w:pPr>
            <w:r>
              <w:rPr>
                <w:b w:val="false"/>
                <w:bCs w:val="false"/>
                <w:sz w:val="20"/>
                <w:szCs w:val="20"/>
              </w:rPr>
              <w:t xml:space="preserve">F</w:t>
            </w:r>
          </w:p>
        </w:tc>
        <w:tc>
          <w:tcPr>
            <w:tcW w:type="dxa" w:w="4700"/>
            <w:tcMar>
              <w:top w:type="dxa" w:w="80"/>
              <w:left w:type="dxa" w:w="100"/>
              <w:bottom w:type="dxa" w:w="80"/>
              <w:right w:type="dxa" w:w="100"/>
            </w:tcMar>
          </w:tcPr>
          <w:p>
            <w:pPr>
              <w:jc w:val="left"/>
            </w:pPr>
            <w:r>
              <w:rPr>
                <w:b w:val="false"/>
                <w:bCs w:val="false"/>
                <w:sz w:val="20"/>
                <w:szCs w:val="20"/>
              </w:rPr>
              <w:t xml:space="preserve">E without uncertainty-based buffer expansion (fixed buffer only)</w:t>
            </w:r>
          </w:p>
        </w:tc>
        <w:tc>
          <w:tcPr>
            <w:tcW w:type="dxa" w:w="3626"/>
            <w:tcMar>
              <w:top w:type="dxa" w:w="80"/>
              <w:left w:type="dxa" w:w="100"/>
              <w:bottom w:type="dxa" w:w="80"/>
              <w:right w:type="dxa" w:w="100"/>
            </w:tcMar>
          </w:tcPr>
          <w:p>
            <w:pPr>
              <w:jc w:val="left"/>
            </w:pPr>
            <w:r>
              <w:rPr>
                <w:b w:val="false"/>
                <w:bCs w:val="false"/>
                <w:sz w:val="20"/>
                <w:szCs w:val="20"/>
              </w:rPr>
              <w:t xml:space="preserve">Isolates the buffering contribution</w:t>
            </w:r>
          </w:p>
        </w:tc>
      </w:tr>
      <w:tr>
        <w:tc>
          <w:tcPr>
            <w:tcW w:type="dxa" w:w="700"/>
            <w:tcMar>
              <w:top w:type="dxa" w:w="80"/>
              <w:left w:type="dxa" w:w="100"/>
              <w:bottom w:type="dxa" w:w="80"/>
              <w:right w:type="dxa" w:w="100"/>
            </w:tcMar>
          </w:tcPr>
          <w:p>
            <w:pPr>
              <w:jc w:val="left"/>
            </w:pPr>
            <w:r>
              <w:rPr>
                <w:b w:val="false"/>
                <w:bCs w:val="false"/>
                <w:sz w:val="20"/>
                <w:szCs w:val="20"/>
              </w:rPr>
              <w:t xml:space="preserve">G</w:t>
            </w:r>
          </w:p>
        </w:tc>
        <w:tc>
          <w:tcPr>
            <w:tcW w:type="dxa" w:w="4700"/>
            <w:tcMar>
              <w:top w:type="dxa" w:w="80"/>
              <w:left w:type="dxa" w:w="100"/>
              <w:bottom w:type="dxa" w:w="80"/>
              <w:right w:type="dxa" w:w="100"/>
            </w:tcMar>
          </w:tcPr>
          <w:p>
            <w:pPr>
              <w:jc w:val="left"/>
            </w:pPr>
            <w:r>
              <w:rPr>
                <w:b w:val="false"/>
                <w:bCs w:val="false"/>
                <w:sz w:val="20"/>
                <w:szCs w:val="20"/>
              </w:rPr>
              <w:t xml:space="preserve">E with the centre slice repeated k times instead of true neighbours</w:t>
            </w:r>
          </w:p>
        </w:tc>
        <w:tc>
          <w:tcPr>
            <w:tcW w:type="dxa" w:w="3626"/>
            <w:tcMar>
              <w:top w:type="dxa" w:w="80"/>
              <w:left w:type="dxa" w:w="100"/>
              <w:bottom w:type="dxa" w:w="80"/>
              <w:right w:type="dxa" w:w="100"/>
            </w:tcMar>
          </w:tcPr>
          <w:p>
            <w:pPr>
              <w:jc w:val="left"/>
            </w:pPr>
            <w:r>
              <w:rPr>
                <w:b w:val="false"/>
                <w:bCs w:val="false"/>
                <w:sz w:val="20"/>
                <w:szCs w:val="20"/>
              </w:rPr>
              <w:t xml:space="preserve">Isolates the sequence-encoding contribution</w:t>
            </w:r>
          </w:p>
        </w:tc>
      </w:tr>
      <w:tr>
        <w:tc>
          <w:tcPr>
            <w:tcW w:type="dxa" w:w="700"/>
            <w:tcMar>
              <w:top w:type="dxa" w:w="80"/>
              <w:left w:type="dxa" w:w="100"/>
              <w:bottom w:type="dxa" w:w="80"/>
              <w:right w:type="dxa" w:w="100"/>
            </w:tcMar>
          </w:tcPr>
          <w:p>
            <w:pPr>
              <w:jc w:val="left"/>
            </w:pPr>
            <w:r>
              <w:rPr>
                <w:b w:val="false"/>
                <w:bCs w:val="false"/>
                <w:sz w:val="20"/>
                <w:szCs w:val="20"/>
              </w:rPr>
              <w:t xml:space="preserve">H</w:t>
            </w:r>
          </w:p>
        </w:tc>
        <w:tc>
          <w:tcPr>
            <w:tcW w:type="dxa" w:w="4700"/>
            <w:tcMar>
              <w:top w:type="dxa" w:w="80"/>
              <w:left w:type="dxa" w:w="100"/>
              <w:bottom w:type="dxa" w:w="80"/>
              <w:right w:type="dxa" w:w="100"/>
            </w:tcMar>
          </w:tcPr>
          <w:p>
            <w:pPr>
              <w:jc w:val="left"/>
            </w:pPr>
            <w:r>
              <w:rPr>
                <w:b w:val="false"/>
                <w:bCs w:val="false"/>
                <w:sz w:val="20"/>
                <w:szCs w:val="20"/>
              </w:rPr>
              <w:t xml:space="preserve">nnU-Net 2D/3D full-volume configuration</w:t>
            </w:r>
          </w:p>
        </w:tc>
        <w:tc>
          <w:tcPr>
            <w:tcW w:type="dxa" w:w="3626"/>
            <w:tcMar>
              <w:top w:type="dxa" w:w="80"/>
              <w:left w:type="dxa" w:w="100"/>
              <w:bottom w:type="dxa" w:w="80"/>
              <w:right w:type="dxa" w:w="100"/>
            </w:tcMar>
          </w:tcPr>
          <w:p>
            <w:pPr>
              <w:jc w:val="left"/>
            </w:pPr>
            <w:r>
              <w:rPr>
                <w:b w:val="false"/>
                <w:bCs w:val="false"/>
                <w:sz w:val="20"/>
                <w:szCs w:val="20"/>
              </w:rPr>
              <w:t xml:space="preserve">External state-of-the-art anchor, independent of this project's own code</w:t>
            </w:r>
          </w:p>
        </w:tc>
      </w:tr>
    </w:tbl>
    <w:p>
      <w:pPr>
        <w:spacing w:after="240" w:before="60"/>
        <w:jc w:val="center"/>
      </w:pPr>
      <w:r>
        <w:rPr>
          <w:i/>
          <w:iCs/>
          <w:sz w:val="20"/>
          <w:szCs w:val="20"/>
        </w:rPr>
        <w:t xml:space="preserve">Table 2. Ablation matrix. Orchestrated by scripts/run_ablation.py.</w:t>
      </w:r>
    </w:p>
    <w:p>
      <w:pPr>
        <w:spacing w:after="160"/>
        <w:jc w:val="both"/>
      </w:pPr>
      <w:r>
        <w:t xml:space="preserve">The paper's central claim is defensible only if E outperforms D on sensitivity/NPV/F2/PR-AUC (Section 3.2's metrics) at a comparable or better full-volume false-positive rate (Section 4.3); if E instead only matches D and wins solely on simulated energy/latency, the honest conclusion is that the contribution is the sequence-aware gating idea in general (which a CNN-LSTM could also implement), not the spiking implementation specifically, and the paper should be reframed accordingly rather than the result downplayed.</w:t>
      </w:r>
    </w:p>
    <w:p>
      <w:pPr>
        <w:pStyle w:val="Heading2"/>
        <w:spacing w:after="120" w:before="240"/>
      </w:pPr>
      <w:r>
        <w:t xml:space="preserve">4.3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Mar>
              <w:top w:type="dxa" w:w="80"/>
              <w:left w:type="dxa" w:w="100"/>
              <w:bottom w:type="dxa" w:w="80"/>
              <w:right w:type="dxa" w:w="100"/>
            </w:tcMar>
          </w:tcPr>
          <w:p>
            <w:pPr>
              <w:jc w:val="left"/>
            </w:pPr>
            <w:r>
              <w:rPr>
                <w:b/>
                <w:bCs/>
                <w:sz w:val="20"/>
                <w:szCs w:val="20"/>
              </w:rPr>
              <w:t xml:space="preserve">Category</w:t>
            </w:r>
          </w:p>
        </w:tc>
        <w:tc>
          <w:tcPr>
            <w:tcW w:type="dxa" w:w="6426"/>
            <w:shd w:fill="D9E2F3" w:color="auto" w:val="clear"/>
            <w:tcMar>
              <w:top w:type="dxa" w:w="80"/>
              <w:left w:type="dxa" w:w="100"/>
              <w:bottom w:type="dxa" w:w="80"/>
              <w:right w:type="dxa" w:w="100"/>
            </w:tcMar>
          </w:tcPr>
          <w:p>
            <w:pPr>
              <w:jc w:val="left"/>
            </w:pPr>
            <w:r>
              <w:rPr>
                <w:b/>
                <w:bCs/>
                <w:sz w:val="20"/>
                <w:szCs w:val="20"/>
              </w:rPr>
              <w:t xml:space="preserve">Metrics</w:t>
            </w:r>
          </w:p>
        </w:tc>
      </w:tr>
      <w:tr>
        <w:tc>
          <w:tcPr>
            <w:tcW w:type="dxa" w:w="2600"/>
            <w:tcMar>
              <w:top w:type="dxa" w:w="80"/>
              <w:left w:type="dxa" w:w="100"/>
              <w:bottom w:type="dxa" w:w="80"/>
              <w:right w:type="dxa" w:w="100"/>
            </w:tcMar>
          </w:tcPr>
          <w:p>
            <w:pPr>
              <w:jc w:val="left"/>
            </w:pPr>
            <w:r>
              <w:rPr>
                <w:b w:val="false"/>
                <w:bCs w:val="false"/>
                <w:sz w:val="20"/>
                <w:szCs w:val="20"/>
              </w:rPr>
              <w:t xml:space="preserve">Segmentation overlap/boundary</w:t>
            </w:r>
          </w:p>
        </w:tc>
        <w:tc>
          <w:tcPr>
            <w:tcW w:type="dxa" w:w="6426"/>
            <w:tcMar>
              <w:top w:type="dxa" w:w="80"/>
              <w:left w:type="dxa" w:w="100"/>
              <w:bottom w:type="dxa" w:w="80"/>
              <w:right w:type="dxa" w:w="100"/>
            </w:tcMar>
          </w:tcPr>
          <w:p>
            <w:pPr>
              <w:jc w:val="left"/>
            </w:pPr>
            <w:r>
              <w:rPr>
                <w:b w:val="false"/>
                <w:bCs w:val="false"/>
                <w:sz w:val="20"/>
                <w:szCs w:val="20"/>
              </w:rPr>
              <w:t xml:space="preserve">Dice, IoU, 95th-percentile Hausdorff distance (HD95), normalised surface Dice (NSD), signed volume error - all reported per gland (left, right) and as MEAN PER-CASE values: each patient is scored, then scores are averaged</w:t>
            </w:r>
          </w:p>
        </w:tc>
      </w:tr>
      <w:tr>
        <w:tc>
          <w:tcPr>
            <w:tcW w:type="dxa" w:w="2600"/>
            <w:tcMar>
              <w:top w:type="dxa" w:w="80"/>
              <w:left w:type="dxa" w:w="100"/>
              <w:bottom w:type="dxa" w:w="80"/>
              <w:right w:type="dxa" w:w="100"/>
            </w:tcMar>
          </w:tcPr>
          <w:p>
            <w:pPr>
              <w:jc w:val="left"/>
            </w:pPr>
            <w:r>
              <w:rPr>
                <w:b w:val="false"/>
                <w:bCs w:val="false"/>
                <w:sz w:val="20"/>
                <w:szCs w:val="20"/>
              </w:rPr>
              <w:t xml:space="preserve">Gate discrimination</w:t>
            </w:r>
          </w:p>
        </w:tc>
        <w:tc>
          <w:tcPr>
            <w:tcW w:type="dxa" w:w="6426"/>
            <w:tcMar>
              <w:top w:type="dxa" w:w="80"/>
              <w:left w:type="dxa" w:w="100"/>
              <w:bottom w:type="dxa" w:w="80"/>
              <w:right w:type="dxa" w:w="100"/>
            </w:tcMar>
          </w:tcPr>
          <w:p>
            <w:pPr>
              <w:jc w:val="left"/>
            </w:pPr>
            <w:r>
              <w:rPr>
                <w:b w:val="false"/>
                <w:bCs w:val="false"/>
                <w:sz w:val="20"/>
                <w:szCs w:val="20"/>
              </w:rPr>
              <w:t xml:space="preserve">Sensitivity, specificity, NPV, F2-score, PR-AUC, Brier calibration score, at the sensitivity-selected operating threshold</w:t>
            </w:r>
          </w:p>
        </w:tc>
      </w:tr>
      <w:tr>
        <w:tc>
          <w:tcPr>
            <w:tcW w:type="dxa" w:w="2600"/>
            <w:tcMar>
              <w:top w:type="dxa" w:w="80"/>
              <w:left w:type="dxa" w:w="100"/>
              <w:bottom w:type="dxa" w:w="80"/>
              <w:right w:type="dxa" w:w="100"/>
            </w:tcMar>
          </w:tcPr>
          <w:p>
            <w:pPr>
              <w:jc w:val="left"/>
            </w:pPr>
            <w:r>
              <w:rPr>
                <w:b w:val="false"/>
                <w:bCs w:val="false"/>
                <w:sz w:val="20"/>
                <w:szCs w:val="20"/>
              </w:rPr>
              <w:t xml:space="preserve">Full-volume outcome</w:t>
            </w:r>
          </w:p>
        </w:tc>
        <w:tc>
          <w:tcPr>
            <w:tcW w:type="dxa" w:w="6426"/>
            <w:tcMar>
              <w:top w:type="dxa" w:w="80"/>
              <w:left w:type="dxa" w:w="100"/>
              <w:bottom w:type="dxa" w:w="80"/>
              <w:right w:type="dxa" w:w="100"/>
            </w:tcMar>
          </w:tcPr>
          <w:p>
            <w:pPr>
              <w:jc w:val="left"/>
            </w:pPr>
            <w:r>
              <w:rPr>
                <w:b w:val="false"/>
                <w:bCs w:val="false"/>
                <w:sz w:val="20"/>
                <w:szCs w:val="20"/>
              </w:rPr>
              <w:t xml:space="preserve">False-positive connected components per scan; empty-slice false-positive rate (fraction of ground-truth-empty slices on which the pipeline predicts a non-empty mask)</w:t>
            </w:r>
          </w:p>
        </w:tc>
      </w:tr>
      <w:tr>
        <w:tc>
          <w:tcPr>
            <w:tcW w:type="dxa" w:w="2600"/>
            <w:tcMar>
              <w:top w:type="dxa" w:w="80"/>
              <w:left w:type="dxa" w:w="100"/>
              <w:bottom w:type="dxa" w:w="80"/>
              <w:right w:type="dxa" w:w="100"/>
            </w:tcMar>
          </w:tcPr>
          <w:p>
            <w:pPr>
              <w:jc w:val="left"/>
            </w:pPr>
            <w:r>
              <w:rPr>
                <w:b w:val="false"/>
                <w:bCs w:val="false"/>
                <w:sz w:val="20"/>
                <w:szCs w:val="20"/>
              </w:rPr>
              <w:t xml:space="preserve">Efficiency (secondary, caveated)</w:t>
            </w:r>
          </w:p>
        </w:tc>
        <w:tc>
          <w:tcPr>
            <w:tcW w:type="dxa" w:w="6426"/>
            <w:tcMar>
              <w:top w:type="dxa" w:w="80"/>
              <w:left w:type="dxa" w:w="100"/>
              <w:bottom w:type="dxa" w:w="80"/>
              <w:right w:type="dxa" w:w="100"/>
            </w:tcMar>
          </w:tcPr>
          <w:p>
            <w:pPr>
              <w:jc w:val="left"/>
            </w:pPr>
            <w:r>
              <w:rPr>
                <w:b w:val="false"/>
                <w:bCs w:val="false"/>
                <w:sz w:val="20"/>
                <w:szCs w:val="20"/>
              </w:rPr>
              <w:t xml:space="preserve">Inference latency, spike count / activity, theoretical energy proxy — reported alongside, not in place of, the discrimination and overlap metrics, and explicitly framed as GPU-simulated rather than neuromorphic-hardware figures</w:t>
            </w:r>
          </w:p>
        </w:tc>
      </w:tr>
    </w:tbl>
    <w:p>
      <w:pPr>
        <w:spacing w:after="240" w:before="60"/>
        <w:jc w:val="center"/>
      </w:pPr>
      <w:r>
        <w:rPr>
          <w:i/>
          <w:iCs/>
          <w:sz w:val="20"/>
          <w:szCs w:val="20"/>
        </w:rPr>
        <w:t xml:space="preserve">Table 3. Evaluation metrics by category. Implemented in src/evaluation/metrics.py.</w:t>
      </w:r>
    </w:p>
    <w:p>
      <w:pPr>
        <w:spacing w:after="160"/>
        <w:jc w:val="both"/>
      </w:pPr>
      <w:r>
        <w:t xml:space="preserve">The empty-slice false-positive rate is the headline full-volume outcome metric: it is the direct, measurable version of the failure mode motivating this entire project, and most segmentation-only papers in this space do not report it, which is itself a small methodological contribution to how these systems should be evaluated.</w:t>
      </w:r>
    </w:p>
    <w:p>
      <w:pPr>
        <w:pStyle w:val="Heading2"/>
        <w:spacing w:after="120" w:before="240"/>
      </w:pPr>
      <w:r>
        <w:t xml:space="preserve">4.4 Statistical validation</w:t>
      </w:r>
    </w:p>
    <w:p>
      <w:pPr>
        <w:spacing w:after="160"/>
        <w:jc w:val="both"/>
      </w:pPr>
      <w:r>
        <w:t xml:space="preserve">Per-patient scores (e.g. mean Dice across that patient's scan, not per-slice scores) are bootstrap-resampled (2000 resamples) to report 95% confidence intervals per arm. Pairwise comparisons between the proposed arm (E) and every other arm use the Wilcoxon signed-rank test on matched per-patient scores, with Holm-Bonferroni correction applied across the full set of pairwise comparisons implied by the eight-arm matrix, to control the family-wise error rate rather than reporting seven uncorrected p-values. Implemented in src/evaluation/evaluate_pipeline.py (bootstrap_ci, wilcoxon_signed_rank, holm_bonferroni, compare_arms).</w:t>
      </w:r>
    </w:p>
    <w:p>
      <w:pPr>
        <w:pStyle w:val="Heading1"/>
        <w:spacing w:after="160" w:before="320"/>
      </w:pPr>
      <w:r>
        <w:t xml:space="preserve">5. Implementation</w:t>
      </w:r>
    </w:p>
    <w:p>
      <w:pPr>
        <w:spacing w:after="160"/>
        <w:jc w:val="both"/>
      </w:pPr>
      <w:r>
        <w:t xml:space="preserve">An open-source implementation accompanies this document at the repository below. It is a methodological scaffold: every component has been exercised with unit tests against synthetic tensors (17/17 passing at the time of writing) and the full eight-arm ablation harness has been smoke-tested end-to-end on synthetic patient volumes, but no patient data or trained weights are included. Three implementation bugs were caught and fixed by this testing process before delivery — a mutable-dataclass-default error, a NIfTI-orientation heuristic that silently transposed axes incorrectly on certain slice counts, and a gate/segmenter window-size coupling bug that would have broken the single-slice-classifier ablation arm (C) — which is itself a demonstration of why the test suite is included rather than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shd w:fill="D9E2F3" w:color="auto" w:val="clear"/>
            <w:tcMar>
              <w:top w:type="dxa" w:w="80"/>
              <w:left w:type="dxa" w:w="100"/>
              <w:bottom w:type="dxa" w:w="80"/>
              <w:right w:type="dxa" w:w="100"/>
            </w:tcMar>
          </w:tcPr>
          <w:p>
            <w:pPr>
              <w:jc w:val="left"/>
            </w:pPr>
            <w:r>
              <w:rPr>
                <w:b/>
                <w:bCs/>
                <w:sz w:val="20"/>
                <w:szCs w:val="20"/>
              </w:rPr>
              <w:t xml:space="preserve">Path</w:t>
            </w:r>
          </w:p>
        </w:tc>
        <w:tc>
          <w:tcPr>
            <w:tcW w:type="dxa" w:w="5726"/>
            <w:shd w:fill="D9E2F3" w:color="auto" w:val="clear"/>
            <w:tcMar>
              <w:top w:type="dxa" w:w="80"/>
              <w:left w:type="dxa" w:w="100"/>
              <w:bottom w:type="dxa" w:w="80"/>
              <w:right w:type="dxa" w:w="100"/>
            </w:tcMar>
          </w:tcPr>
          <w:p>
            <w:pPr>
              <w:jc w:val="left"/>
            </w:pPr>
            <w:r>
              <w:rPr>
                <w:b/>
                <w:bCs/>
                <w:sz w:val="20"/>
                <w:szCs w:val="20"/>
              </w:rPr>
              <w:t xml:space="preserve">Contents</w:t>
            </w:r>
          </w:p>
        </w:tc>
      </w:tr>
      <w:tr>
        <w:tc>
          <w:tcPr>
            <w:tcW w:type="dxa" w:w="3300"/>
            <w:tcMar>
              <w:top w:type="dxa" w:w="80"/>
              <w:left w:type="dxa" w:w="100"/>
              <w:bottom w:type="dxa" w:w="80"/>
              <w:right w:type="dxa" w:w="100"/>
            </w:tcMar>
          </w:tcPr>
          <w:p>
            <w:pPr>
              <w:jc w:val="left"/>
            </w:pPr>
            <w:r>
              <w:rPr>
                <w:b w:val="false"/>
                <w:bCs w:val="false"/>
                <w:sz w:val="20"/>
                <w:szCs w:val="20"/>
              </w:rPr>
              <w:t xml:space="preserve">src/data/</w:t>
            </w:r>
          </w:p>
        </w:tc>
        <w:tc>
          <w:tcPr>
            <w:tcW w:type="dxa" w:w="5726"/>
            <w:tcMar>
              <w:top w:type="dxa" w:w="80"/>
              <w:left w:type="dxa" w:w="100"/>
              <w:bottom w:type="dxa" w:w="80"/>
              <w:right w:type="dxa" w:w="100"/>
            </w:tcMar>
          </w:tcPr>
          <w:p>
            <w:pPr>
              <w:jc w:val="left"/>
            </w:pPr>
            <w:r>
              <w:rPr>
                <w:b w:val="false"/>
                <w:bCs w:val="false"/>
                <w:sz w:val="20"/>
                <w:szCs w:val="20"/>
              </w:rPr>
              <w:t xml:space="preserve">Patient-level k-fold splitting, HU windowing/normalisation, slice-window dataset</w:t>
            </w:r>
          </w:p>
        </w:tc>
      </w:tr>
      <w:tr>
        <w:tc>
          <w:tcPr>
            <w:tcW w:type="dxa" w:w="3300"/>
            <w:tcMar>
              <w:top w:type="dxa" w:w="80"/>
              <w:left w:type="dxa" w:w="100"/>
              <w:bottom w:type="dxa" w:w="80"/>
              <w:right w:type="dxa" w:w="100"/>
            </w:tcMar>
          </w:tcPr>
          <w:p>
            <w:pPr>
              <w:jc w:val="left"/>
            </w:pPr>
            <w:r>
              <w:rPr>
                <w:b w:val="false"/>
                <w:bCs w:val="false"/>
                <w:sz w:val="20"/>
                <w:szCs w:val="20"/>
              </w:rPr>
              <w:t xml:space="preserve">src/models/snn_gate.py</w:t>
            </w:r>
          </w:p>
        </w:tc>
        <w:tc>
          <w:tcPr>
            <w:tcW w:type="dxa" w:w="5726"/>
            <w:tcMar>
              <w:top w:type="dxa" w:w="80"/>
              <w:left w:type="dxa" w:w="100"/>
              <w:bottom w:type="dxa" w:w="80"/>
              <w:right w:type="dxa" w:w="100"/>
            </w:tcMar>
          </w:tcPr>
          <w:p>
            <w:pPr>
              <w:jc w:val="left"/>
            </w:pPr>
            <w:r>
              <w:rPr>
                <w:b w:val="false"/>
                <w:bCs w:val="false"/>
                <w:sz w:val="20"/>
                <w:szCs w:val="20"/>
              </w:rPr>
              <w:t xml:space="preserve">SpikingSliceGate — the sequence-aware spiking gate (Section 3.2)</w:t>
            </w:r>
          </w:p>
        </w:tc>
      </w:tr>
      <w:tr>
        <w:tc>
          <w:tcPr>
            <w:tcW w:type="dxa" w:w="3300"/>
            <w:tcMar>
              <w:top w:type="dxa" w:w="80"/>
              <w:left w:type="dxa" w:w="100"/>
              <w:bottom w:type="dxa" w:w="80"/>
              <w:right w:type="dxa" w:w="100"/>
            </w:tcMar>
          </w:tcPr>
          <w:p>
            <w:pPr>
              <w:jc w:val="left"/>
            </w:pPr>
            <w:r>
              <w:rPr>
                <w:b w:val="false"/>
                <w:bCs w:val="false"/>
                <w:sz w:val="20"/>
                <w:szCs w:val="20"/>
              </w:rPr>
              <w:t xml:space="preserve">src/models/cnn_lstm_gate.py</w:t>
            </w:r>
          </w:p>
        </w:tc>
        <w:tc>
          <w:tcPr>
            <w:tcW w:type="dxa" w:w="5726"/>
            <w:tcMar>
              <w:top w:type="dxa" w:w="80"/>
              <w:left w:type="dxa" w:w="100"/>
              <w:bottom w:type="dxa" w:w="80"/>
              <w:right w:type="dxa" w:w="100"/>
            </w:tcMar>
          </w:tcPr>
          <w:p>
            <w:pPr>
              <w:jc w:val="left"/>
            </w:pPr>
            <w:r>
              <w:rPr>
                <w:b w:val="false"/>
                <w:bCs w:val="false"/>
                <w:sz w:val="20"/>
                <w:szCs w:val="20"/>
              </w:rPr>
              <w:t xml:space="preserve">CNNLSTMSliceGate — the mandatory matched-capacity baseline (arm D)</w:t>
            </w:r>
          </w:p>
        </w:tc>
      </w:tr>
      <w:tr>
        <w:tc>
          <w:tcPr>
            <w:tcW w:type="dxa" w:w="3300"/>
            <w:tcMar>
              <w:top w:type="dxa" w:w="80"/>
              <w:left w:type="dxa" w:w="100"/>
              <w:bottom w:type="dxa" w:w="80"/>
              <w:right w:type="dxa" w:w="100"/>
            </w:tcMar>
          </w:tcPr>
          <w:p>
            <w:pPr>
              <w:jc w:val="left"/>
            </w:pPr>
            <w:r>
              <w:rPr>
                <w:b w:val="false"/>
                <w:bCs w:val="false"/>
                <w:sz w:val="20"/>
                <w:szCs w:val="20"/>
              </w:rPr>
              <w:t xml:space="preserve">src/models/unet25d.py</w:t>
            </w:r>
          </w:p>
        </w:tc>
        <w:tc>
          <w:tcPr>
            <w:tcW w:type="dxa" w:w="5726"/>
            <w:tcMar>
              <w:top w:type="dxa" w:w="80"/>
              <w:left w:type="dxa" w:w="100"/>
              <w:bottom w:type="dxa" w:w="80"/>
              <w:right w:type="dxa" w:w="100"/>
            </w:tcMar>
          </w:tcPr>
          <w:p>
            <w:pPr>
              <w:jc w:val="left"/>
            </w:pPr>
            <w:r>
              <w:rPr>
                <w:b w:val="false"/>
                <w:bCs w:val="false"/>
                <w:sz w:val="20"/>
                <w:szCs w:val="20"/>
              </w:rPr>
              <w:t xml:space="preserve">2.5D U-Net wrapper (segmentation-models-pytorch), swappable encoder</w:t>
            </w:r>
          </w:p>
        </w:tc>
      </w:tr>
      <w:tr>
        <w:tc>
          <w:tcPr>
            <w:tcW w:type="dxa" w:w="3300"/>
            <w:tcMar>
              <w:top w:type="dxa" w:w="80"/>
              <w:left w:type="dxa" w:w="100"/>
              <w:bottom w:type="dxa" w:w="80"/>
              <w:right w:type="dxa" w:w="100"/>
            </w:tcMar>
          </w:tcPr>
          <w:p>
            <w:pPr>
              <w:jc w:val="left"/>
            </w:pPr>
            <w:r>
              <w:rPr>
                <w:b w:val="false"/>
                <w:bCs w:val="false"/>
                <w:sz w:val="20"/>
                <w:szCs w:val="20"/>
              </w:rPr>
              <w:t xml:space="preserve">src/models/losses.py</w:t>
            </w:r>
          </w:p>
        </w:tc>
        <w:tc>
          <w:tcPr>
            <w:tcW w:type="dxa" w:w="5726"/>
            <w:tcMar>
              <w:top w:type="dxa" w:w="80"/>
              <w:left w:type="dxa" w:w="100"/>
              <w:bottom w:type="dxa" w:w="80"/>
              <w:right w:type="dxa" w:w="100"/>
            </w:tcMar>
          </w:tcPr>
          <w:p>
            <w:pPr>
              <w:jc w:val="left"/>
            </w:pPr>
            <w:r>
              <w:rPr>
                <w:b w:val="false"/>
                <w:bCs w:val="false"/>
                <w:sz w:val="20"/>
                <w:szCs w:val="20"/>
              </w:rPr>
              <w:t xml:space="preserve">Focal BCE (multi-head, class-weighted), Dice, combined Dice-focal</w:t>
            </w:r>
          </w:p>
        </w:tc>
      </w:tr>
      <w:tr>
        <w:tc>
          <w:tcPr>
            <w:tcW w:type="dxa" w:w="3300"/>
            <w:tcMar>
              <w:top w:type="dxa" w:w="80"/>
              <w:left w:type="dxa" w:w="100"/>
              <w:bottom w:type="dxa" w:w="80"/>
              <w:right w:type="dxa" w:w="100"/>
            </w:tcMar>
          </w:tcPr>
          <w:p>
            <w:pPr>
              <w:jc w:val="left"/>
            </w:pPr>
            <w:r>
              <w:rPr>
                <w:b w:val="false"/>
                <w:bCs w:val="false"/>
                <w:sz w:val="20"/>
                <w:szCs w:val="20"/>
              </w:rPr>
              <w:t xml:space="preserve">src/training/uncertainty_buffer.py</w:t>
            </w:r>
          </w:p>
        </w:tc>
        <w:tc>
          <w:tcPr>
            <w:tcW w:type="dxa" w:w="5726"/>
            <w:tcMar>
              <w:top w:type="dxa" w:w="80"/>
              <w:left w:type="dxa" w:w="100"/>
              <w:bottom w:type="dxa" w:w="80"/>
              <w:right w:type="dxa" w:w="100"/>
            </w:tcMar>
          </w:tcPr>
          <w:p>
            <w:pPr>
              <w:jc w:val="left"/>
            </w:pPr>
            <w:r>
              <w:rPr>
                <w:b w:val="false"/>
                <w:bCs w:val="false"/>
                <w:sz w:val="20"/>
                <w:szCs w:val="20"/>
              </w:rPr>
              <w:t xml:space="preserve">Adaptive slice buffering (Section 3.3)</w:t>
            </w:r>
          </w:p>
        </w:tc>
      </w:tr>
      <w:tr>
        <w:tc>
          <w:tcPr>
            <w:tcW w:type="dxa" w:w="3300"/>
            <w:tcMar>
              <w:top w:type="dxa" w:w="80"/>
              <w:left w:type="dxa" w:w="100"/>
              <w:bottom w:type="dxa" w:w="80"/>
              <w:right w:type="dxa" w:w="100"/>
            </w:tcMar>
          </w:tcPr>
          <w:p>
            <w:pPr>
              <w:jc w:val="left"/>
            </w:pPr>
            <w:r>
              <w:rPr>
                <w:b w:val="false"/>
                <w:bCs w:val="false"/>
                <w:sz w:val="20"/>
                <w:szCs w:val="20"/>
              </w:rPr>
              <w:t xml:space="preserve">src/training/train_gate.py, train_segmenter.py</w:t>
            </w:r>
          </w:p>
        </w:tc>
        <w:tc>
          <w:tcPr>
            <w:tcW w:type="dxa" w:w="5726"/>
            <w:tcMar>
              <w:top w:type="dxa" w:w="80"/>
              <w:left w:type="dxa" w:w="100"/>
              <w:bottom w:type="dxa" w:w="80"/>
              <w:right w:type="dxa" w:w="100"/>
            </w:tcMar>
          </w:tcPr>
          <w:p>
            <w:pPr>
              <w:jc w:val="left"/>
            </w:pPr>
            <w:r>
              <w:rPr>
                <w:b w:val="false"/>
                <w:bCs w:val="false"/>
                <w:sz w:val="20"/>
                <w:szCs w:val="20"/>
              </w:rPr>
              <w:t xml:space="preserve">Training loops; HardNegativeMixDataset for Stage B</w:t>
            </w:r>
          </w:p>
        </w:tc>
      </w:tr>
      <w:tr>
        <w:tc>
          <w:tcPr>
            <w:tcW w:type="dxa" w:w="3300"/>
            <w:tcMar>
              <w:top w:type="dxa" w:w="80"/>
              <w:left w:type="dxa" w:w="100"/>
              <w:bottom w:type="dxa" w:w="80"/>
              <w:right w:type="dxa" w:w="100"/>
            </w:tcMar>
          </w:tcPr>
          <w:p>
            <w:pPr>
              <w:jc w:val="left"/>
            </w:pPr>
            <w:r>
              <w:rPr>
                <w:b w:val="false"/>
                <w:bCs w:val="false"/>
                <w:sz w:val="20"/>
                <w:szCs w:val="20"/>
              </w:rPr>
              <w:t xml:space="preserve">src/postprocessing/</w:t>
            </w:r>
          </w:p>
        </w:tc>
        <w:tc>
          <w:tcPr>
            <w:tcW w:type="dxa" w:w="5726"/>
            <w:tcMar>
              <w:top w:type="dxa" w:w="80"/>
              <w:left w:type="dxa" w:w="100"/>
              <w:bottom w:type="dxa" w:w="80"/>
              <w:right w:type="dxa" w:w="100"/>
            </w:tcMar>
          </w:tcPr>
          <w:p>
            <w:pPr>
              <w:jc w:val="left"/>
            </w:pPr>
            <w:r>
              <w:rPr>
                <w:b w:val="false"/>
                <w:bCs w:val="false"/>
                <w:sz w:val="20"/>
                <w:szCs w:val="20"/>
              </w:rPr>
              <w:t xml:space="preserve">TTA and connected-component pruning, carried over from prior work</w:t>
            </w:r>
          </w:p>
        </w:tc>
      </w:tr>
      <w:tr>
        <w:tc>
          <w:tcPr>
            <w:tcW w:type="dxa" w:w="3300"/>
            <w:tcMar>
              <w:top w:type="dxa" w:w="80"/>
              <w:left w:type="dxa" w:w="100"/>
              <w:bottom w:type="dxa" w:w="80"/>
              <w:right w:type="dxa" w:w="100"/>
            </w:tcMar>
          </w:tcPr>
          <w:p>
            <w:pPr>
              <w:jc w:val="left"/>
            </w:pPr>
            <w:r>
              <w:rPr>
                <w:b w:val="false"/>
                <w:bCs w:val="false"/>
                <w:sz w:val="20"/>
                <w:szCs w:val="20"/>
              </w:rPr>
              <w:t xml:space="preserve">src/evaluation/</w:t>
            </w:r>
          </w:p>
        </w:tc>
        <w:tc>
          <w:tcPr>
            <w:tcW w:type="dxa" w:w="5726"/>
            <w:tcMar>
              <w:top w:type="dxa" w:w="80"/>
              <w:left w:type="dxa" w:w="100"/>
              <w:bottom w:type="dxa" w:w="80"/>
              <w:right w:type="dxa" w:w="100"/>
            </w:tcMar>
          </w:tcPr>
          <w:p>
            <w:pPr>
              <w:jc w:val="left"/>
            </w:pPr>
            <w:r>
              <w:rPr>
                <w:b w:val="false"/>
                <w:bCs w:val="false"/>
                <w:sz w:val="20"/>
                <w:szCs w:val="20"/>
              </w:rPr>
              <w:t xml:space="preserve">All metrics (Section 4.3) and statistical validation (Section 4.4)</w:t>
            </w:r>
          </w:p>
        </w:tc>
      </w:tr>
      <w:tr>
        <w:tc>
          <w:tcPr>
            <w:tcW w:type="dxa" w:w="3300"/>
            <w:tcMar>
              <w:top w:type="dxa" w:w="80"/>
              <w:left w:type="dxa" w:w="100"/>
              <w:bottom w:type="dxa" w:w="80"/>
              <w:right w:type="dxa" w:w="100"/>
            </w:tcMar>
          </w:tcPr>
          <w:p>
            <w:pPr>
              <w:jc w:val="left"/>
            </w:pPr>
            <w:r>
              <w:rPr>
                <w:b w:val="false"/>
                <w:bCs w:val="false"/>
                <w:sz w:val="20"/>
                <w:szCs w:val="20"/>
              </w:rPr>
              <w:t xml:space="preserve">src/inference/pipeline.py</w:t>
            </w:r>
          </w:p>
        </w:tc>
        <w:tc>
          <w:tcPr>
            <w:tcW w:type="dxa" w:w="5726"/>
            <w:tcMar>
              <w:top w:type="dxa" w:w="80"/>
              <w:left w:type="dxa" w:w="100"/>
              <w:bottom w:type="dxa" w:w="80"/>
              <w:right w:type="dxa" w:w="100"/>
            </w:tcMar>
          </w:tcPr>
          <w:p>
            <w:pPr>
              <w:jc w:val="left"/>
            </w:pPr>
            <w:r>
              <w:rPr>
                <w:b w:val="false"/>
                <w:bCs w:val="false"/>
                <w:sz w:val="20"/>
                <w:szCs w:val="20"/>
              </w:rPr>
              <w:t xml:space="preserve">AdrenalSegmentationPipeline — end-to-end gate → buffer → segment → post-process</w:t>
            </w:r>
          </w:p>
        </w:tc>
      </w:tr>
      <w:tr>
        <w:tc>
          <w:tcPr>
            <w:tcW w:type="dxa" w:w="3300"/>
            <w:tcMar>
              <w:top w:type="dxa" w:w="80"/>
              <w:left w:type="dxa" w:w="100"/>
              <w:bottom w:type="dxa" w:w="80"/>
              <w:right w:type="dxa" w:w="100"/>
            </w:tcMar>
          </w:tcPr>
          <w:p>
            <w:pPr>
              <w:jc w:val="left"/>
            </w:pPr>
            <w:r>
              <w:rPr>
                <w:b w:val="false"/>
                <w:bCs w:val="false"/>
                <w:sz w:val="20"/>
                <w:szCs w:val="20"/>
              </w:rPr>
              <w:t xml:space="preserve">scripts/train_adrenal_segmenter.py</w:t>
            </w:r>
          </w:p>
        </w:tc>
        <w:tc>
          <w:tcPr>
            <w:tcW w:type="dxa" w:w="5726"/>
            <w:tcMar>
              <w:top w:type="dxa" w:w="80"/>
              <w:left w:type="dxa" w:w="100"/>
              <w:bottom w:type="dxa" w:w="80"/>
              <w:right w:type="dxa" w:w="100"/>
            </w:tcMar>
          </w:tcPr>
          <w:p>
            <w:pPr>
              <w:jc w:val="left"/>
            </w:pPr>
            <w:r>
              <w:rPr>
                <w:b w:val="false"/>
                <w:bCs w:val="false"/>
                <w:sz w:val="20"/>
                <w:szCs w:val="20"/>
              </w:rPr>
              <w:t xml:space="preserve">Standalone Stage B training run: resampling, pretrained encoder, threshold sweep, early stopping, per-epoch logging</w:t>
            </w:r>
          </w:p>
        </w:tc>
      </w:tr>
      <w:tr>
        <w:tc>
          <w:tcPr>
            <w:tcW w:type="dxa" w:w="3300"/>
            <w:tcMar>
              <w:top w:type="dxa" w:w="80"/>
              <w:left w:type="dxa" w:w="100"/>
              <w:bottom w:type="dxa" w:w="80"/>
              <w:right w:type="dxa" w:w="100"/>
            </w:tcMar>
          </w:tcPr>
          <w:p>
            <w:pPr>
              <w:jc w:val="left"/>
            </w:pPr>
            <w:r>
              <w:rPr>
                <w:b w:val="false"/>
                <w:bCs w:val="false"/>
                <w:sz w:val="20"/>
                <w:szCs w:val="20"/>
              </w:rPr>
              <w:t xml:space="preserve">scripts/run_ablation.py</w:t>
            </w:r>
          </w:p>
        </w:tc>
        <w:tc>
          <w:tcPr>
            <w:tcW w:type="dxa" w:w="5726"/>
            <w:tcMar>
              <w:top w:type="dxa" w:w="80"/>
              <w:left w:type="dxa" w:w="100"/>
              <w:bottom w:type="dxa" w:w="80"/>
              <w:right w:type="dxa" w:w="100"/>
            </w:tcMar>
          </w:tcPr>
          <w:p>
            <w:pPr>
              <w:jc w:val="left"/>
            </w:pPr>
            <w:r>
              <w:rPr>
                <w:b w:val="false"/>
                <w:bCs w:val="false"/>
                <w:sz w:val="20"/>
                <w:szCs w:val="20"/>
              </w:rPr>
              <w:t xml:space="preserve">Orchestrates the eight-arm ablation matrix (Table 2)</w:t>
            </w:r>
          </w:p>
        </w:tc>
      </w:tr>
      <w:tr>
        <w:tc>
          <w:tcPr>
            <w:tcW w:type="dxa" w:w="3300"/>
            <w:tcMar>
              <w:top w:type="dxa" w:w="80"/>
              <w:left w:type="dxa" w:w="100"/>
              <w:bottom w:type="dxa" w:w="80"/>
              <w:right w:type="dxa" w:w="100"/>
            </w:tcMar>
          </w:tcPr>
          <w:p>
            <w:pPr>
              <w:jc w:val="left"/>
            </w:pPr>
            <w:r>
              <w:rPr>
                <w:b w:val="false"/>
                <w:bCs w:val="false"/>
                <w:sz w:val="20"/>
                <w:szCs w:val="20"/>
              </w:rPr>
              <w:t xml:space="preserve">tests/</w:t>
            </w:r>
          </w:p>
        </w:tc>
        <w:tc>
          <w:tcPr>
            <w:tcW w:type="dxa" w:w="5726"/>
            <w:tcMar>
              <w:top w:type="dxa" w:w="80"/>
              <w:left w:type="dxa" w:w="100"/>
              <w:bottom w:type="dxa" w:w="80"/>
              <w:right w:type="dxa" w:w="100"/>
            </w:tcMar>
          </w:tcPr>
          <w:p>
            <w:pPr>
              <w:jc w:val="left"/>
            </w:pPr>
            <w:r>
              <w:rPr>
                <w:b w:val="false"/>
                <w:bCs w:val="false"/>
                <w:sz w:val="20"/>
                <w:szCs w:val="20"/>
              </w:rPr>
              <w:t xml:space="preserve">Unit tests against synthetic tensors; no patient data required to run</w:t>
            </w:r>
          </w:p>
        </w:tc>
      </w:tr>
    </w:tbl>
    <w:p>
      <w:pPr>
        <w:spacing w:after="240" w:before="60"/>
        <w:jc w:val="center"/>
      </w:pPr>
      <w:r>
        <w:rPr>
          <w:i/>
          <w:iCs/>
          <w:sz w:val="20"/>
          <w:szCs w:val="20"/>
        </w:rPr>
        <w:t xml:space="preserve">Table 4. Repository layout.</w:t>
      </w:r>
    </w:p>
    <w:p>
      <w:pPr>
        <w:spacing w:after="160"/>
        <w:jc w:val="both"/>
      </w:pPr>
      <w:r>
        <w:t xml:space="preserve">Stage B training is run through scripts/train_adrenal_segmenter.py, which is deliberately separate from the exploratory notebook so that reported numbers come from one code path rather than from notebook state. It applies the resampling of Section 3.1, uses an ImageNet-pretrained encoder, caps training with a maximum epoch count and early stopping on validation Dice, and writes three artefacts per run: a per-epoch metrics table (CSV), an append-only log, and a rewritten status summary for monitoring a long run. Validation Dice is reported both at the conventional 0.5 cutoff and at the best of a swept threshold set, because a fixed 0.5 cutoff reads exactly zero until the network's outputs first cross it and therefore cannot distinguish a model that is learning slowly from one that is not learning at all — a distinction that matters when the positive class occupies well under one per cent of pixels. The operating threshold selected on validation is stored alongside the checkpoint so that inference uses the threshold the model was actually scored at.</w:t>
      </w:r>
    </w:p>
    <w:p>
      <w:pPr>
        <w:spacing w:after="160"/>
        <w:jc w:val="both"/>
      </w:pPr>
      <w:r>
        <w:t xml:space="preserve">Core dependencies: PyTorch, snnTorch (spiking layers and surrogate-gradient training), segmentation-models-pytorch (U-Net with swappable encoders), SciPy/scikit-image (connected components, surface distances), scikit-learn (PR-AUC, Brier score), nibabel/SimpleITK (NIfTI I/O and resampling). To run: pip install -r requirements.txt, then pytest tests/ -v to reproduce the passing test suite, then point scripts/run_ablation.py --data-root &lt;path&gt; at a prepared NIfTI cohort (see src/data/dataset.py for the expected &lt;patient_id&gt;/image.nii.gz + mask.nii.gz layout).</w:t>
      </w:r>
    </w:p>
    <w:p>
      <w:pPr>
        <w:pStyle w:val="Heading1"/>
        <w:spacing w:after="160" w:before="320"/>
      </w:pPr>
      <w:r>
        <w:t xml:space="preserve">6. Novelty Positioning and Target Journals</w:t>
      </w:r>
    </w:p>
    <w:p>
      <w:pPr>
        <w:pStyle w:val="Heading2"/>
        <w:spacing w:after="120" w:before="240"/>
      </w:pPr>
      <w:r>
        <w:t xml:space="preserve">6.1 What is and is not novel here</w:t>
      </w:r>
    </w:p>
    <w:p>
      <w:pPr>
        <w:spacing w:after="160"/>
        <w:jc w:val="both"/>
      </w:pPr>
      <w:r>
        <w:t xml:space="preserve">Not novel on their own: a two-stage classify-then-segment cascade for a small organ (prior art in §2.1); slice-level classification gating to reduce false positives (established pattern in §2.2); using an SNN as a drop-in classifier replacement for a CNN (not, by itself, scientifically motivated — §2.3).</w:t>
      </w:r>
    </w:p>
    <w:p>
      <w:pPr>
        <w:spacing w:after="160"/>
        <w:jc w:val="both"/>
      </w:pPr>
      <w:r>
        <w:t xml:space="preserve">Genuinely novel, contingent on the arm-D comparison in Table 2 confirming it: encoding a true craniocaudal slice sequence as SNN time steps rather than a repeated static frame, which gives the network's temporal integration a concrete anatomical meaning (Section 3.2); the uncertainty-driven adaptive buffering mechanism, which replaces a one-size-fits-all fixed margin with a per-patient, confidence-aware extension (Section 3.3); the requirement that the SNN's value be demonstrated against a matched-capacity conventional sequence model on sensitivity-first clinical metrics rather than assumed from architecture novelty or unverified energy claims (Section 4.2); and full-volume evaluation reporting the empty-slice false-positive rate as a primary outcome, which is a more clinically direct measurement of the problem being solved than segmentation overlap metrics computed only on cropped positive regions (Section 4.3).</w:t>
      </w:r>
    </w:p>
    <w:p>
      <w:pPr>
        <w:pStyle w:val="Heading2"/>
        <w:spacing w:after="120" w:before="240"/>
      </w:pPr>
      <w:r>
        <w:t xml:space="preserve">6.2 Target journals</w:t>
      </w:r>
    </w:p>
    <w:p>
      <w:pPr>
        <w:spacing w:after="160"/>
        <w:jc w:val="both"/>
      </w:pPr>
      <w:r>
        <w:t xml:space="preserve">IEEE Transactions on Medical Imaging and Medical Image Analysis are reachable but will expect the arm-D comparison to be decisive, plus either multi-centre validation or an explicit, well-argued justification for a single-cohort study at that venue's bar. Given a cohort scale likely to be an AMOS-derived subset plus a modest local retrospective collection, more attainable top-tier targets that have previously published closely comparable cascade/small-organ work are Computers in Biology and Medicine (where the prior cascade adrenal paper, Xu et al. 2021, appeared), Computerized Medical Imaging and Graphics, and the authors' own existing venue, Journal of Imaging Informatics in Medicine. Any of these three would find the sequence-aware spiking gate and the empty-slice false-positive framing to be a genuine advance on the published state of the art for this specific organ.</w:t>
      </w:r>
    </w:p>
    <w:p>
      <w:pPr>
        <w:pStyle w:val="Heading1"/>
        <w:spacing w:after="160" w:before="320"/>
      </w:pPr>
      <w:r>
        <w:t xml:space="preserve">7. Limitations and Risks</w:t>
      </w:r>
    </w:p>
    <w:p>
      <w:pPr>
        <w:pStyle w:val="ListParagraph"/>
        <w:numPr>
          <w:ilvl w:val="0"/>
          <w:numId w:val="1"/>
        </w:numPr>
        <w:spacing w:after="80"/>
      </w:pPr>
      <w:r>
        <w:t xml:space="preserve">Surrogate-gradient SNN training on a small medical-imaging cohort is prone to overfitting; ANN-to-SNN conversion from an ImageNet-pretrained ResNet18, followed by fine-tuning, should be evaluated as an alternative to training the spiking gate from scratch and reported as a design decision, not left implicit.</w:t>
      </w:r>
    </w:p>
    <w:p>
      <w:pPr>
        <w:pStyle w:val="ListParagraph"/>
        <w:numPr>
          <w:ilvl w:val="0"/>
          <w:numId w:val="1"/>
        </w:numPr>
        <w:spacing w:after="80"/>
      </w:pPr>
      <w:r>
        <w:t xml:space="preserve">If arm E does not beat arm D on sensitivity-first metrics, the paper's contribution shrinks to the sequence-aware gating idea in general, which a conventional recurrent model could also implement; the write-up must be prepared to report and reframe around that outcome rather than omit the comparison.</w:t>
      </w:r>
    </w:p>
    <w:p>
      <w:pPr>
        <w:pStyle w:val="ListParagraph"/>
        <w:numPr>
          <w:ilvl w:val="0"/>
          <w:numId w:val="1"/>
        </w:numPr>
        <w:spacing w:after="80"/>
      </w:pPr>
      <w:r>
        <w:t xml:space="preserve">Energy/latency claims for the SNN gate are only meaningful, per the literature in §2.3, if measured (or at minimum explicitly caveated as GPU-simulated) rather than assumed; presenting spike-count reduction alone as an efficiency result would not withstand review.</w:t>
      </w:r>
    </w:p>
    <w:p>
      <w:pPr>
        <w:pStyle w:val="ListParagraph"/>
        <w:numPr>
          <w:ilvl w:val="0"/>
          <w:numId w:val="1"/>
        </w:numPr>
        <w:spacing w:after="80"/>
      </w:pPr>
      <w:r>
        <w:t xml:space="preserve">The slice-classification-gating citation in §2.2 is unverified in this draft and must be confirmed or replaced before submission.</w:t>
      </w:r>
    </w:p>
    <w:p>
      <w:pPr>
        <w:pStyle w:val="ListParagraph"/>
        <w:numPr>
          <w:ilvl w:val="0"/>
          <w:numId w:val="1"/>
        </w:numPr>
        <w:spacing w:after="80"/>
      </w:pPr>
      <w:r>
        <w:t xml:space="preserve">This document's code has been validated only against synthetic data; behaviour on a real patient cohort (class balance, image artefacts, true anatomical variability) may surface issues the synthetic test suite cannot catch, and the pipeline should be re-validated against a small labelled subset before full-scale training.</w:t>
      </w:r>
    </w:p>
    <w:p>
      <w:pPr>
        <w:pStyle w:val="Heading1"/>
        <w:spacing w:after="160" w:before="320"/>
      </w:pPr>
      <w:r>
        <w:t xml:space="preserve">8. Planned Results (Placeholder)</w:t>
      </w:r>
    </w:p>
    <w:p>
      <w:pPr>
        <w:spacing w:after="160"/>
        <w:jc w:val="both"/>
      </w:pPr>
      <w:r>
        <w:t xml:space="preserve">The tables below mirror the structure the final paper's results section will use; populate them once each ablation arm has been trained and evaluated per Section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900"/>
        <w:gridCol w:w="700"/>
        <w:gridCol w:w="950"/>
        <w:gridCol w:w="800"/>
        <w:gridCol w:w="1276"/>
        <w:gridCol w:w="1200"/>
      </w:tblGrid>
      <w:tr>
        <w:trPr>
          <w:tblHeader/>
        </w:trPr>
        <w:tc>
          <w:tcPr>
            <w:tcW w:type="dxa" w:w="1200"/>
            <w:shd w:fill="D9E2F3" w:color="auto" w:val="clear"/>
            <w:tcMar>
              <w:top w:type="dxa" w:w="80"/>
              <w:left w:type="dxa" w:w="100"/>
              <w:bottom w:type="dxa" w:w="80"/>
              <w:right w:type="dxa" w:w="100"/>
            </w:tcMar>
          </w:tcPr>
          <w:p>
            <w:pPr>
              <w:jc w:val="left"/>
            </w:pPr>
            <w:r>
              <w:rPr>
                <w:b/>
                <w:bCs/>
                <w:sz w:val="20"/>
                <w:szCs w:val="20"/>
              </w:rPr>
              <w:t xml:space="preserve">Arm</w:t>
            </w:r>
          </w:p>
        </w:tc>
        <w:tc>
          <w:tcPr>
            <w:tcW w:type="dxa" w:w="1200"/>
            <w:shd w:fill="D9E2F3" w:color="auto" w:val="clear"/>
            <w:tcMar>
              <w:top w:type="dxa" w:w="80"/>
              <w:left w:type="dxa" w:w="100"/>
              <w:bottom w:type="dxa" w:w="80"/>
              <w:right w:type="dxa" w:w="100"/>
            </w:tcMar>
          </w:tcPr>
          <w:p>
            <w:pPr>
              <w:jc w:val="left"/>
            </w:pPr>
            <w:r>
              <w:rPr>
                <w:b/>
                <w:bCs/>
                <w:sz w:val="20"/>
                <w:szCs w:val="20"/>
              </w:rPr>
              <w:t xml:space="preserve">Dice (95% CI)</w:t>
            </w:r>
          </w:p>
        </w:tc>
        <w:tc>
          <w:tcPr>
            <w:tcW w:type="dxa" w:w="900"/>
            <w:shd w:fill="D9E2F3" w:color="auto" w:val="clear"/>
            <w:tcMar>
              <w:top w:type="dxa" w:w="80"/>
              <w:left w:type="dxa" w:w="100"/>
              <w:bottom w:type="dxa" w:w="80"/>
              <w:right w:type="dxa" w:w="100"/>
            </w:tcMar>
          </w:tcPr>
          <w:p>
            <w:pPr>
              <w:jc w:val="left"/>
            </w:pPr>
            <w:r>
              <w:rPr>
                <w:b/>
                <w:bCs/>
                <w:sz w:val="20"/>
                <w:szCs w:val="20"/>
              </w:rPr>
              <w:t xml:space="preserve">HD95 (mm)</w:t>
            </w:r>
          </w:p>
        </w:tc>
        <w:tc>
          <w:tcPr>
            <w:tcW w:type="dxa" w:w="700"/>
            <w:shd w:fill="D9E2F3" w:color="auto" w:val="clear"/>
            <w:tcMar>
              <w:top w:type="dxa" w:w="80"/>
              <w:left w:type="dxa" w:w="100"/>
              <w:bottom w:type="dxa" w:w="80"/>
              <w:right w:type="dxa" w:w="100"/>
            </w:tcMar>
          </w:tcPr>
          <w:p>
            <w:pPr>
              <w:jc w:val="left"/>
            </w:pPr>
            <w:r>
              <w:rPr>
                <w:b/>
                <w:bCs/>
                <w:sz w:val="20"/>
                <w:szCs w:val="20"/>
              </w:rPr>
              <w:t xml:space="preserve">NSD</w:t>
            </w:r>
          </w:p>
        </w:tc>
        <w:tc>
          <w:tcPr>
            <w:tcW w:type="dxa" w:w="950"/>
            <w:shd w:fill="D9E2F3" w:color="auto" w:val="clear"/>
            <w:tcMar>
              <w:top w:type="dxa" w:w="80"/>
              <w:left w:type="dxa" w:w="100"/>
              <w:bottom w:type="dxa" w:w="80"/>
              <w:right w:type="dxa" w:w="100"/>
            </w:tcMar>
          </w:tcPr>
          <w:p>
            <w:pPr>
              <w:jc w:val="left"/>
            </w:pPr>
            <w:r>
              <w:rPr>
                <w:b/>
                <w:bCs/>
                <w:sz w:val="20"/>
                <w:szCs w:val="20"/>
              </w:rPr>
              <w:t xml:space="preserve">Sensitivity</w:t>
            </w:r>
          </w:p>
        </w:tc>
        <w:tc>
          <w:tcPr>
            <w:tcW w:type="dxa" w:w="800"/>
            <w:shd w:fill="D9E2F3" w:color="auto" w:val="clear"/>
            <w:tcMar>
              <w:top w:type="dxa" w:w="80"/>
              <w:left w:type="dxa" w:w="100"/>
              <w:bottom w:type="dxa" w:w="80"/>
              <w:right w:type="dxa" w:w="100"/>
            </w:tcMar>
          </w:tcPr>
          <w:p>
            <w:pPr>
              <w:jc w:val="left"/>
            </w:pPr>
            <w:r>
              <w:rPr>
                <w:b/>
                <w:bCs/>
                <w:sz w:val="20"/>
                <w:szCs w:val="20"/>
              </w:rPr>
              <w:t xml:space="preserve">NPV</w:t>
            </w:r>
          </w:p>
        </w:tc>
        <w:tc>
          <w:tcPr>
            <w:tcW w:type="dxa" w:w="1276"/>
            <w:shd w:fill="D9E2F3" w:color="auto" w:val="clear"/>
            <w:tcMar>
              <w:top w:type="dxa" w:w="80"/>
              <w:left w:type="dxa" w:w="100"/>
              <w:bottom w:type="dxa" w:w="80"/>
              <w:right w:type="dxa" w:w="100"/>
            </w:tcMar>
          </w:tcPr>
          <w:p>
            <w:pPr>
              <w:jc w:val="left"/>
            </w:pPr>
            <w:r>
              <w:rPr>
                <w:b/>
                <w:bCs/>
                <w:sz w:val="20"/>
                <w:szCs w:val="20"/>
              </w:rPr>
              <w:t xml:space="preserve">Empty-slice FP rate</w:t>
            </w:r>
          </w:p>
        </w:tc>
        <w:tc>
          <w:tcPr>
            <w:tcW w:type="dxa" w:w="1200"/>
            <w:shd w:fill="D9E2F3" w:color="auto" w:val="clear"/>
            <w:tcMar>
              <w:top w:type="dxa" w:w="80"/>
              <w:left w:type="dxa" w:w="100"/>
              <w:bottom w:type="dxa" w:w="80"/>
              <w:right w:type="dxa" w:w="100"/>
            </w:tcMar>
          </w:tcPr>
          <w:p>
            <w:pPr>
              <w:jc w:val="left"/>
            </w:pPr>
            <w:r>
              <w:rPr>
                <w:b/>
                <w:bCs/>
                <w:sz w:val="20"/>
                <w:szCs w:val="20"/>
              </w:rPr>
              <w:t xml:space="preserve">FP components/scan</w:t>
            </w:r>
          </w:p>
        </w:tc>
      </w:tr>
      <w:tr>
        <w:tc>
          <w:tcPr>
            <w:tcW w:type="dxa" w:w="1200"/>
            <w:tcMar>
              <w:top w:type="dxa" w:w="80"/>
              <w:left w:type="dxa" w:w="100"/>
              <w:bottom w:type="dxa" w:w="80"/>
              <w:right w:type="dxa" w:w="100"/>
            </w:tcMar>
          </w:tcPr>
          <w:p>
            <w:pPr>
              <w:jc w:val="left"/>
            </w:pPr>
            <w:r>
              <w:rPr>
                <w:b w:val="false"/>
                <w:bCs w:val="false"/>
                <w:sz w:val="20"/>
                <w:szCs w:val="20"/>
              </w:rPr>
              <w:t xml:space="preserve">A</w:t>
            </w:r>
          </w:p>
        </w:tc>
        <w:tc>
          <w:tcPr>
            <w:tcW w:type="dxa" w:w="1200"/>
            <w:tcMar>
              <w:top w:type="dxa" w:w="80"/>
              <w:left w:type="dxa" w:w="100"/>
              <w:bottom w:type="dxa" w:w="80"/>
              <w:right w:type="dxa" w:w="100"/>
            </w:tcMar>
          </w:tcPr>
          <w:p>
            <w:pPr>
              <w:jc w:val="left"/>
            </w:pPr>
            <w:r>
              <w:rPr>
                <w:b w:val="false"/>
                <w:bCs w:val="false"/>
                <w:sz w:val="20"/>
                <w:szCs w:val="20"/>
              </w:rPr>
              <w:t xml:space="preserve"/>
            </w:r>
          </w:p>
        </w:tc>
        <w:tc>
          <w:tcPr>
            <w:tcW w:type="dxa" w:w="900"/>
            <w:tcMar>
              <w:top w:type="dxa" w:w="80"/>
              <w:left w:type="dxa" w:w="100"/>
              <w:bottom w:type="dxa" w:w="80"/>
              <w:right w:type="dxa" w:w="100"/>
            </w:tcMar>
          </w:tcPr>
          <w:p>
            <w:pPr>
              <w:jc w:val="left"/>
            </w:pPr>
            <w:r>
              <w:rPr>
                <w:b w:val="false"/>
                <w:bCs w:val="false"/>
                <w:sz w:val="20"/>
                <w:szCs w:val="20"/>
              </w:rPr>
              <w:t xml:space="preserve"/>
            </w:r>
          </w:p>
        </w:tc>
        <w:tc>
          <w:tcPr>
            <w:tcW w:type="dxa" w:w="700"/>
            <w:tcMar>
              <w:top w:type="dxa" w:w="80"/>
              <w:left w:type="dxa" w:w="100"/>
              <w:bottom w:type="dxa" w:w="80"/>
              <w:right w:type="dxa" w:w="100"/>
            </w:tcMar>
          </w:tcPr>
          <w:p>
            <w:pPr>
              <w:jc w:val="left"/>
            </w:pPr>
            <w:r>
              <w:rPr>
                <w:b w:val="false"/>
                <w:bCs w:val="false"/>
                <w:sz w:val="20"/>
                <w:szCs w:val="20"/>
              </w:rPr>
              <w:t xml:space="preserve"/>
            </w:r>
          </w:p>
        </w:tc>
        <w:tc>
          <w:tcPr>
            <w:tcW w:type="dxa" w:w="950"/>
            <w:tcMar>
              <w:top w:type="dxa" w:w="80"/>
              <w:left w:type="dxa" w:w="100"/>
              <w:bottom w:type="dxa" w:w="80"/>
              <w:right w:type="dxa" w:w="100"/>
            </w:tcMar>
          </w:tcPr>
          <w:p>
            <w:pPr>
              <w:jc w:val="left"/>
            </w:pPr>
            <w:r>
              <w:rPr>
                <w:b w:val="false"/>
                <w:bCs w:val="false"/>
                <w:sz w:val="20"/>
                <w:szCs w:val="20"/>
              </w:rPr>
              <w:t xml:space="preserve"/>
            </w:r>
          </w:p>
        </w:tc>
        <w:tc>
          <w:tcPr>
            <w:tcW w:type="dxa" w:w="800"/>
            <w:tcMar>
              <w:top w:type="dxa" w:w="80"/>
              <w:left w:type="dxa" w:w="100"/>
              <w:bottom w:type="dxa" w:w="80"/>
              <w:right w:type="dxa" w:w="100"/>
            </w:tcMar>
          </w:tcPr>
          <w:p>
            <w:pPr>
              <w:jc w:val="left"/>
            </w:pPr>
            <w:r>
              <w:rPr>
                <w:b w:val="false"/>
                <w:bCs w:val="false"/>
                <w:sz w:val="20"/>
                <w:szCs w:val="20"/>
              </w:rPr>
              <w:t xml:space="preserve"/>
            </w:r>
          </w:p>
        </w:tc>
        <w:tc>
          <w:tcPr>
            <w:tcW w:type="dxa" w:w="1276"/>
            <w:tcMar>
              <w:top w:type="dxa" w:w="80"/>
              <w:left w:type="dxa" w:w="100"/>
              <w:bottom w:type="dxa" w:w="80"/>
              <w:right w:type="dxa" w:w="100"/>
            </w:tcMar>
          </w:tcPr>
          <w:p>
            <w:pPr>
              <w:jc w:val="left"/>
            </w:pPr>
            <w:r>
              <w:rPr>
                <w:b w:val="false"/>
                <w:bCs w:val="false"/>
                <w:sz w:val="20"/>
                <w:szCs w:val="20"/>
              </w:rPr>
              <w:t xml:space="preserve"/>
            </w:r>
          </w:p>
        </w:tc>
        <w:tc>
          <w:tcPr>
            <w:tcW w:type="dxa" w:w="1200"/>
            <w:tcMar>
              <w:top w:type="dxa" w:w="80"/>
              <w:left w:type="dxa" w:w="100"/>
              <w:bottom w:type="dxa" w:w="80"/>
              <w:right w:type="dxa" w:w="100"/>
            </w:tcMar>
          </w:tcPr>
          <w:p>
            <w:pPr>
              <w:jc w:val="left"/>
            </w:pPr>
            <w:r>
              <w:rPr>
                <w:b w:val="false"/>
                <w:bCs w:val="false"/>
                <w:sz w:val="20"/>
                <w:szCs w:val="20"/>
              </w:rPr>
              <w:t xml:space="preserve"/>
            </w:r>
          </w:p>
        </w:tc>
      </w:tr>
      <w:tr>
        <w:tc>
          <w:tcPr>
            <w:tcW w:type="dxa" w:w="1200"/>
            <w:tcMar>
              <w:top w:type="dxa" w:w="80"/>
              <w:left w:type="dxa" w:w="100"/>
              <w:bottom w:type="dxa" w:w="80"/>
              <w:right w:type="dxa" w:w="100"/>
            </w:tcMar>
          </w:tcPr>
          <w:p>
            <w:pPr>
              <w:jc w:val="left"/>
            </w:pPr>
            <w:r>
              <w:rPr>
                <w:b w:val="false"/>
                <w:bCs w:val="false"/>
                <w:sz w:val="20"/>
                <w:szCs w:val="20"/>
              </w:rPr>
              <w:t xml:space="preserve">B</w:t>
            </w:r>
          </w:p>
        </w:tc>
        <w:tc>
          <w:tcPr>
            <w:tcW w:type="dxa" w:w="1200"/>
            <w:tcMar>
              <w:top w:type="dxa" w:w="80"/>
              <w:left w:type="dxa" w:w="100"/>
              <w:bottom w:type="dxa" w:w="80"/>
              <w:right w:type="dxa" w:w="100"/>
            </w:tcMar>
          </w:tcPr>
          <w:p>
            <w:pPr>
              <w:jc w:val="left"/>
            </w:pPr>
            <w:r>
              <w:rPr>
                <w:b w:val="false"/>
                <w:bCs w:val="false"/>
                <w:sz w:val="20"/>
                <w:szCs w:val="20"/>
              </w:rPr>
              <w:t xml:space="preserve"/>
            </w:r>
          </w:p>
        </w:tc>
        <w:tc>
          <w:tcPr>
            <w:tcW w:type="dxa" w:w="900"/>
            <w:tcMar>
              <w:top w:type="dxa" w:w="80"/>
              <w:left w:type="dxa" w:w="100"/>
              <w:bottom w:type="dxa" w:w="80"/>
              <w:right w:type="dxa" w:w="100"/>
            </w:tcMar>
          </w:tcPr>
          <w:p>
            <w:pPr>
              <w:jc w:val="left"/>
            </w:pPr>
            <w:r>
              <w:rPr>
                <w:b w:val="false"/>
                <w:bCs w:val="false"/>
                <w:sz w:val="20"/>
                <w:szCs w:val="20"/>
              </w:rPr>
              <w:t xml:space="preserve"/>
            </w:r>
          </w:p>
        </w:tc>
        <w:tc>
          <w:tcPr>
            <w:tcW w:type="dxa" w:w="700"/>
            <w:tcMar>
              <w:top w:type="dxa" w:w="80"/>
              <w:left w:type="dxa" w:w="100"/>
              <w:bottom w:type="dxa" w:w="80"/>
              <w:right w:type="dxa" w:w="100"/>
            </w:tcMar>
          </w:tcPr>
          <w:p>
            <w:pPr>
              <w:jc w:val="left"/>
            </w:pPr>
            <w:r>
              <w:rPr>
                <w:b w:val="false"/>
                <w:bCs w:val="false"/>
                <w:sz w:val="20"/>
                <w:szCs w:val="20"/>
              </w:rPr>
              <w:t xml:space="preserve"/>
            </w:r>
          </w:p>
        </w:tc>
        <w:tc>
          <w:tcPr>
            <w:tcW w:type="dxa" w:w="950"/>
            <w:tcMar>
              <w:top w:type="dxa" w:w="80"/>
              <w:left w:type="dxa" w:w="100"/>
              <w:bottom w:type="dxa" w:w="80"/>
              <w:right w:type="dxa" w:w="100"/>
            </w:tcMar>
          </w:tcPr>
          <w:p>
            <w:pPr>
              <w:jc w:val="left"/>
            </w:pPr>
            <w:r>
              <w:rPr>
                <w:b w:val="false"/>
                <w:bCs w:val="false"/>
                <w:sz w:val="20"/>
                <w:szCs w:val="20"/>
              </w:rPr>
              <w:t xml:space="preserve"/>
            </w:r>
          </w:p>
        </w:tc>
        <w:tc>
          <w:tcPr>
            <w:tcW w:type="dxa" w:w="800"/>
            <w:tcMar>
              <w:top w:type="dxa" w:w="80"/>
              <w:left w:type="dxa" w:w="100"/>
              <w:bottom w:type="dxa" w:w="80"/>
              <w:right w:type="dxa" w:w="100"/>
            </w:tcMar>
          </w:tcPr>
          <w:p>
            <w:pPr>
              <w:jc w:val="left"/>
            </w:pPr>
            <w:r>
              <w:rPr>
                <w:b w:val="false"/>
                <w:bCs w:val="false"/>
                <w:sz w:val="20"/>
                <w:szCs w:val="20"/>
              </w:rPr>
              <w:t xml:space="preserve"/>
            </w:r>
          </w:p>
        </w:tc>
        <w:tc>
          <w:tcPr>
            <w:tcW w:type="dxa" w:w="1276"/>
            <w:tcMar>
              <w:top w:type="dxa" w:w="80"/>
              <w:left w:type="dxa" w:w="100"/>
              <w:bottom w:type="dxa" w:w="80"/>
              <w:right w:type="dxa" w:w="100"/>
            </w:tcMar>
          </w:tcPr>
          <w:p>
            <w:pPr>
              <w:jc w:val="left"/>
            </w:pPr>
            <w:r>
              <w:rPr>
                <w:b w:val="false"/>
                <w:bCs w:val="false"/>
                <w:sz w:val="20"/>
                <w:szCs w:val="20"/>
              </w:rPr>
              <w:t xml:space="preserve"/>
            </w:r>
          </w:p>
        </w:tc>
        <w:tc>
          <w:tcPr>
            <w:tcW w:type="dxa" w:w="1200"/>
            <w:tcMar>
              <w:top w:type="dxa" w:w="80"/>
              <w:left w:type="dxa" w:w="100"/>
              <w:bottom w:type="dxa" w:w="80"/>
              <w:right w:type="dxa" w:w="100"/>
            </w:tcMar>
          </w:tcPr>
          <w:p>
            <w:pPr>
              <w:jc w:val="left"/>
            </w:pPr>
            <w:r>
              <w:rPr>
                <w:b w:val="false"/>
                <w:bCs w:val="false"/>
                <w:sz w:val="20"/>
                <w:szCs w:val="20"/>
              </w:rPr>
              <w:t xml:space="preserve"/>
            </w:r>
          </w:p>
        </w:tc>
      </w:tr>
      <w:tr>
        <w:tc>
          <w:tcPr>
            <w:tcW w:type="dxa" w:w="1200"/>
            <w:tcMar>
              <w:top w:type="dxa" w:w="80"/>
              <w:left w:type="dxa" w:w="100"/>
              <w:bottom w:type="dxa" w:w="80"/>
              <w:right w:type="dxa" w:w="100"/>
            </w:tcMar>
          </w:tcPr>
          <w:p>
            <w:pPr>
              <w:jc w:val="left"/>
            </w:pPr>
            <w:r>
              <w:rPr>
                <w:b w:val="false"/>
                <w:bCs w:val="false"/>
                <w:sz w:val="20"/>
                <w:szCs w:val="20"/>
              </w:rPr>
              <w:t xml:space="preserve">C</w:t>
            </w:r>
          </w:p>
        </w:tc>
        <w:tc>
          <w:tcPr>
            <w:tcW w:type="dxa" w:w="1200"/>
            <w:tcMar>
              <w:top w:type="dxa" w:w="80"/>
              <w:left w:type="dxa" w:w="100"/>
              <w:bottom w:type="dxa" w:w="80"/>
              <w:right w:type="dxa" w:w="100"/>
            </w:tcMar>
          </w:tcPr>
          <w:p>
            <w:pPr>
              <w:jc w:val="left"/>
            </w:pPr>
            <w:r>
              <w:rPr>
                <w:b w:val="false"/>
                <w:bCs w:val="false"/>
                <w:sz w:val="20"/>
                <w:szCs w:val="20"/>
              </w:rPr>
              <w:t xml:space="preserve"/>
            </w:r>
          </w:p>
        </w:tc>
        <w:tc>
          <w:tcPr>
            <w:tcW w:type="dxa" w:w="900"/>
            <w:tcMar>
              <w:top w:type="dxa" w:w="80"/>
              <w:left w:type="dxa" w:w="100"/>
              <w:bottom w:type="dxa" w:w="80"/>
              <w:right w:type="dxa" w:w="100"/>
            </w:tcMar>
          </w:tcPr>
          <w:p>
            <w:pPr>
              <w:jc w:val="left"/>
            </w:pPr>
            <w:r>
              <w:rPr>
                <w:b w:val="false"/>
                <w:bCs w:val="false"/>
                <w:sz w:val="20"/>
                <w:szCs w:val="20"/>
              </w:rPr>
              <w:t xml:space="preserve"/>
            </w:r>
          </w:p>
        </w:tc>
        <w:tc>
          <w:tcPr>
            <w:tcW w:type="dxa" w:w="700"/>
            <w:tcMar>
              <w:top w:type="dxa" w:w="80"/>
              <w:left w:type="dxa" w:w="100"/>
              <w:bottom w:type="dxa" w:w="80"/>
              <w:right w:type="dxa" w:w="100"/>
            </w:tcMar>
          </w:tcPr>
          <w:p>
            <w:pPr>
              <w:jc w:val="left"/>
            </w:pPr>
            <w:r>
              <w:rPr>
                <w:b w:val="false"/>
                <w:bCs w:val="false"/>
                <w:sz w:val="20"/>
                <w:szCs w:val="20"/>
              </w:rPr>
              <w:t xml:space="preserve"/>
            </w:r>
          </w:p>
        </w:tc>
        <w:tc>
          <w:tcPr>
            <w:tcW w:type="dxa" w:w="950"/>
            <w:tcMar>
              <w:top w:type="dxa" w:w="80"/>
              <w:left w:type="dxa" w:w="100"/>
              <w:bottom w:type="dxa" w:w="80"/>
              <w:right w:type="dxa" w:w="100"/>
            </w:tcMar>
          </w:tcPr>
          <w:p>
            <w:pPr>
              <w:jc w:val="left"/>
            </w:pPr>
            <w:r>
              <w:rPr>
                <w:b w:val="false"/>
                <w:bCs w:val="false"/>
                <w:sz w:val="20"/>
                <w:szCs w:val="20"/>
              </w:rPr>
              <w:t xml:space="preserve"/>
            </w:r>
          </w:p>
        </w:tc>
        <w:tc>
          <w:tcPr>
            <w:tcW w:type="dxa" w:w="800"/>
            <w:tcMar>
              <w:top w:type="dxa" w:w="80"/>
              <w:left w:type="dxa" w:w="100"/>
              <w:bottom w:type="dxa" w:w="80"/>
              <w:right w:type="dxa" w:w="100"/>
            </w:tcMar>
          </w:tcPr>
          <w:p>
            <w:pPr>
              <w:jc w:val="left"/>
            </w:pPr>
            <w:r>
              <w:rPr>
                <w:b w:val="false"/>
                <w:bCs w:val="false"/>
                <w:sz w:val="20"/>
                <w:szCs w:val="20"/>
              </w:rPr>
              <w:t xml:space="preserve"/>
            </w:r>
          </w:p>
        </w:tc>
        <w:tc>
          <w:tcPr>
            <w:tcW w:type="dxa" w:w="1276"/>
            <w:tcMar>
              <w:top w:type="dxa" w:w="80"/>
              <w:left w:type="dxa" w:w="100"/>
              <w:bottom w:type="dxa" w:w="80"/>
              <w:right w:type="dxa" w:w="100"/>
            </w:tcMar>
          </w:tcPr>
          <w:p>
            <w:pPr>
              <w:jc w:val="left"/>
            </w:pPr>
            <w:r>
              <w:rPr>
                <w:b w:val="false"/>
                <w:bCs w:val="false"/>
                <w:sz w:val="20"/>
                <w:szCs w:val="20"/>
              </w:rPr>
              <w:t xml:space="preserve"/>
            </w:r>
          </w:p>
        </w:tc>
        <w:tc>
          <w:tcPr>
            <w:tcW w:type="dxa" w:w="1200"/>
            <w:tcMar>
              <w:top w:type="dxa" w:w="80"/>
              <w:left w:type="dxa" w:w="100"/>
              <w:bottom w:type="dxa" w:w="80"/>
              <w:right w:type="dxa" w:w="100"/>
            </w:tcMar>
          </w:tcPr>
          <w:p>
            <w:pPr>
              <w:jc w:val="left"/>
            </w:pPr>
            <w:r>
              <w:rPr>
                <w:b w:val="false"/>
                <w:bCs w:val="false"/>
                <w:sz w:val="20"/>
                <w:szCs w:val="20"/>
              </w:rPr>
              <w:t xml:space="preserve"/>
            </w:r>
          </w:p>
        </w:tc>
      </w:tr>
      <w:tr>
        <w:tc>
          <w:tcPr>
            <w:tcW w:type="dxa" w:w="1200"/>
            <w:tcMar>
              <w:top w:type="dxa" w:w="80"/>
              <w:left w:type="dxa" w:w="100"/>
              <w:bottom w:type="dxa" w:w="80"/>
              <w:right w:type="dxa" w:w="100"/>
            </w:tcMar>
          </w:tcPr>
          <w:p>
            <w:pPr>
              <w:jc w:val="left"/>
            </w:pPr>
            <w:r>
              <w:rPr>
                <w:b w:val="false"/>
                <w:bCs w:val="false"/>
                <w:sz w:val="20"/>
                <w:szCs w:val="20"/>
              </w:rPr>
              <w:t xml:space="preserve">D</w:t>
            </w:r>
          </w:p>
        </w:tc>
        <w:tc>
          <w:tcPr>
            <w:tcW w:type="dxa" w:w="1200"/>
            <w:tcMar>
              <w:top w:type="dxa" w:w="80"/>
              <w:left w:type="dxa" w:w="100"/>
              <w:bottom w:type="dxa" w:w="80"/>
              <w:right w:type="dxa" w:w="100"/>
            </w:tcMar>
          </w:tcPr>
          <w:p>
            <w:pPr>
              <w:jc w:val="left"/>
            </w:pPr>
            <w:r>
              <w:rPr>
                <w:b w:val="false"/>
                <w:bCs w:val="false"/>
                <w:sz w:val="20"/>
                <w:szCs w:val="20"/>
              </w:rPr>
              <w:t xml:space="preserve"/>
            </w:r>
          </w:p>
        </w:tc>
        <w:tc>
          <w:tcPr>
            <w:tcW w:type="dxa" w:w="900"/>
            <w:tcMar>
              <w:top w:type="dxa" w:w="80"/>
              <w:left w:type="dxa" w:w="100"/>
              <w:bottom w:type="dxa" w:w="80"/>
              <w:right w:type="dxa" w:w="100"/>
            </w:tcMar>
          </w:tcPr>
          <w:p>
            <w:pPr>
              <w:jc w:val="left"/>
            </w:pPr>
            <w:r>
              <w:rPr>
                <w:b w:val="false"/>
                <w:bCs w:val="false"/>
                <w:sz w:val="20"/>
                <w:szCs w:val="20"/>
              </w:rPr>
              <w:t xml:space="preserve"/>
            </w:r>
          </w:p>
        </w:tc>
        <w:tc>
          <w:tcPr>
            <w:tcW w:type="dxa" w:w="700"/>
            <w:tcMar>
              <w:top w:type="dxa" w:w="80"/>
              <w:left w:type="dxa" w:w="100"/>
              <w:bottom w:type="dxa" w:w="80"/>
              <w:right w:type="dxa" w:w="100"/>
            </w:tcMar>
          </w:tcPr>
          <w:p>
            <w:pPr>
              <w:jc w:val="left"/>
            </w:pPr>
            <w:r>
              <w:rPr>
                <w:b w:val="false"/>
                <w:bCs w:val="false"/>
                <w:sz w:val="20"/>
                <w:szCs w:val="20"/>
              </w:rPr>
              <w:t xml:space="preserve"/>
            </w:r>
          </w:p>
        </w:tc>
        <w:tc>
          <w:tcPr>
            <w:tcW w:type="dxa" w:w="950"/>
            <w:tcMar>
              <w:top w:type="dxa" w:w="80"/>
              <w:left w:type="dxa" w:w="100"/>
              <w:bottom w:type="dxa" w:w="80"/>
              <w:right w:type="dxa" w:w="100"/>
            </w:tcMar>
          </w:tcPr>
          <w:p>
            <w:pPr>
              <w:jc w:val="left"/>
            </w:pPr>
            <w:r>
              <w:rPr>
                <w:b w:val="false"/>
                <w:bCs w:val="false"/>
                <w:sz w:val="20"/>
                <w:szCs w:val="20"/>
              </w:rPr>
              <w:t xml:space="preserve"/>
            </w:r>
          </w:p>
        </w:tc>
        <w:tc>
          <w:tcPr>
            <w:tcW w:type="dxa" w:w="800"/>
            <w:tcMar>
              <w:top w:type="dxa" w:w="80"/>
              <w:left w:type="dxa" w:w="100"/>
              <w:bottom w:type="dxa" w:w="80"/>
              <w:right w:type="dxa" w:w="100"/>
            </w:tcMar>
          </w:tcPr>
          <w:p>
            <w:pPr>
              <w:jc w:val="left"/>
            </w:pPr>
            <w:r>
              <w:rPr>
                <w:b w:val="false"/>
                <w:bCs w:val="false"/>
                <w:sz w:val="20"/>
                <w:szCs w:val="20"/>
              </w:rPr>
              <w:t xml:space="preserve"/>
            </w:r>
          </w:p>
        </w:tc>
        <w:tc>
          <w:tcPr>
            <w:tcW w:type="dxa" w:w="1276"/>
            <w:tcMar>
              <w:top w:type="dxa" w:w="80"/>
              <w:left w:type="dxa" w:w="100"/>
              <w:bottom w:type="dxa" w:w="80"/>
              <w:right w:type="dxa" w:w="100"/>
            </w:tcMar>
          </w:tcPr>
          <w:p>
            <w:pPr>
              <w:jc w:val="left"/>
            </w:pPr>
            <w:r>
              <w:rPr>
                <w:b w:val="false"/>
                <w:bCs w:val="false"/>
                <w:sz w:val="20"/>
                <w:szCs w:val="20"/>
              </w:rPr>
              <w:t xml:space="preserve"/>
            </w:r>
          </w:p>
        </w:tc>
        <w:tc>
          <w:tcPr>
            <w:tcW w:type="dxa" w:w="1200"/>
            <w:tcMar>
              <w:top w:type="dxa" w:w="80"/>
              <w:left w:type="dxa" w:w="100"/>
              <w:bottom w:type="dxa" w:w="80"/>
              <w:right w:type="dxa" w:w="100"/>
            </w:tcMar>
          </w:tcPr>
          <w:p>
            <w:pPr>
              <w:jc w:val="left"/>
            </w:pPr>
            <w:r>
              <w:rPr>
                <w:b w:val="false"/>
                <w:bCs w:val="false"/>
                <w:sz w:val="20"/>
                <w:szCs w:val="20"/>
              </w:rPr>
              <w:t xml:space="preserve"/>
            </w:r>
          </w:p>
        </w:tc>
      </w:tr>
      <w:tr>
        <w:tc>
          <w:tcPr>
            <w:tcW w:type="dxa" w:w="1200"/>
            <w:tcMar>
              <w:top w:type="dxa" w:w="80"/>
              <w:left w:type="dxa" w:w="100"/>
              <w:bottom w:type="dxa" w:w="80"/>
              <w:right w:type="dxa" w:w="100"/>
            </w:tcMar>
          </w:tcPr>
          <w:p>
            <w:pPr>
              <w:jc w:val="left"/>
            </w:pPr>
            <w:r>
              <w:rPr>
                <w:b w:val="false"/>
                <w:bCs w:val="false"/>
                <w:sz w:val="20"/>
                <w:szCs w:val="20"/>
              </w:rPr>
              <w:t xml:space="preserve">E (proposed)</w:t>
            </w:r>
          </w:p>
        </w:tc>
        <w:tc>
          <w:tcPr>
            <w:tcW w:type="dxa" w:w="1200"/>
            <w:tcMar>
              <w:top w:type="dxa" w:w="80"/>
              <w:left w:type="dxa" w:w="100"/>
              <w:bottom w:type="dxa" w:w="80"/>
              <w:right w:type="dxa" w:w="100"/>
            </w:tcMar>
          </w:tcPr>
          <w:p>
            <w:pPr>
              <w:jc w:val="left"/>
            </w:pPr>
            <w:r>
              <w:rPr>
                <w:b w:val="false"/>
                <w:bCs w:val="false"/>
                <w:sz w:val="20"/>
                <w:szCs w:val="20"/>
              </w:rPr>
              <w:t xml:space="preserve"/>
            </w:r>
          </w:p>
        </w:tc>
        <w:tc>
          <w:tcPr>
            <w:tcW w:type="dxa" w:w="900"/>
            <w:tcMar>
              <w:top w:type="dxa" w:w="80"/>
              <w:left w:type="dxa" w:w="100"/>
              <w:bottom w:type="dxa" w:w="80"/>
              <w:right w:type="dxa" w:w="100"/>
            </w:tcMar>
          </w:tcPr>
          <w:p>
            <w:pPr>
              <w:jc w:val="left"/>
            </w:pPr>
            <w:r>
              <w:rPr>
                <w:b w:val="false"/>
                <w:bCs w:val="false"/>
                <w:sz w:val="20"/>
                <w:szCs w:val="20"/>
              </w:rPr>
              <w:t xml:space="preserve"/>
            </w:r>
          </w:p>
        </w:tc>
        <w:tc>
          <w:tcPr>
            <w:tcW w:type="dxa" w:w="700"/>
            <w:tcMar>
              <w:top w:type="dxa" w:w="80"/>
              <w:left w:type="dxa" w:w="100"/>
              <w:bottom w:type="dxa" w:w="80"/>
              <w:right w:type="dxa" w:w="100"/>
            </w:tcMar>
          </w:tcPr>
          <w:p>
            <w:pPr>
              <w:jc w:val="left"/>
            </w:pPr>
            <w:r>
              <w:rPr>
                <w:b w:val="false"/>
                <w:bCs w:val="false"/>
                <w:sz w:val="20"/>
                <w:szCs w:val="20"/>
              </w:rPr>
              <w:t xml:space="preserve"/>
            </w:r>
          </w:p>
        </w:tc>
        <w:tc>
          <w:tcPr>
            <w:tcW w:type="dxa" w:w="950"/>
            <w:tcMar>
              <w:top w:type="dxa" w:w="80"/>
              <w:left w:type="dxa" w:w="100"/>
              <w:bottom w:type="dxa" w:w="80"/>
              <w:right w:type="dxa" w:w="100"/>
            </w:tcMar>
          </w:tcPr>
          <w:p>
            <w:pPr>
              <w:jc w:val="left"/>
            </w:pPr>
            <w:r>
              <w:rPr>
                <w:b w:val="false"/>
                <w:bCs w:val="false"/>
                <w:sz w:val="20"/>
                <w:szCs w:val="20"/>
              </w:rPr>
              <w:t xml:space="preserve"/>
            </w:r>
          </w:p>
        </w:tc>
        <w:tc>
          <w:tcPr>
            <w:tcW w:type="dxa" w:w="800"/>
            <w:tcMar>
              <w:top w:type="dxa" w:w="80"/>
              <w:left w:type="dxa" w:w="100"/>
              <w:bottom w:type="dxa" w:w="80"/>
              <w:right w:type="dxa" w:w="100"/>
            </w:tcMar>
          </w:tcPr>
          <w:p>
            <w:pPr>
              <w:jc w:val="left"/>
            </w:pPr>
            <w:r>
              <w:rPr>
                <w:b w:val="false"/>
                <w:bCs w:val="false"/>
                <w:sz w:val="20"/>
                <w:szCs w:val="20"/>
              </w:rPr>
              <w:t xml:space="preserve"/>
            </w:r>
          </w:p>
        </w:tc>
        <w:tc>
          <w:tcPr>
            <w:tcW w:type="dxa" w:w="1276"/>
            <w:tcMar>
              <w:top w:type="dxa" w:w="80"/>
              <w:left w:type="dxa" w:w="100"/>
              <w:bottom w:type="dxa" w:w="80"/>
              <w:right w:type="dxa" w:w="100"/>
            </w:tcMar>
          </w:tcPr>
          <w:p>
            <w:pPr>
              <w:jc w:val="left"/>
            </w:pPr>
            <w:r>
              <w:rPr>
                <w:b w:val="false"/>
                <w:bCs w:val="false"/>
                <w:sz w:val="20"/>
                <w:szCs w:val="20"/>
              </w:rPr>
              <w:t xml:space="preserve"/>
            </w:r>
          </w:p>
        </w:tc>
        <w:tc>
          <w:tcPr>
            <w:tcW w:type="dxa" w:w="1200"/>
            <w:tcMar>
              <w:top w:type="dxa" w:w="80"/>
              <w:left w:type="dxa" w:w="100"/>
              <w:bottom w:type="dxa" w:w="80"/>
              <w:right w:type="dxa" w:w="100"/>
            </w:tcMar>
          </w:tcPr>
          <w:p>
            <w:pPr>
              <w:jc w:val="left"/>
            </w:pPr>
            <w:r>
              <w:rPr>
                <w:b w:val="false"/>
                <w:bCs w:val="false"/>
                <w:sz w:val="20"/>
                <w:szCs w:val="20"/>
              </w:rPr>
              <w:t xml:space="preserve"/>
            </w:r>
          </w:p>
        </w:tc>
      </w:tr>
      <w:tr>
        <w:tc>
          <w:tcPr>
            <w:tcW w:type="dxa" w:w="1200"/>
            <w:tcMar>
              <w:top w:type="dxa" w:w="80"/>
              <w:left w:type="dxa" w:w="100"/>
              <w:bottom w:type="dxa" w:w="80"/>
              <w:right w:type="dxa" w:w="100"/>
            </w:tcMar>
          </w:tcPr>
          <w:p>
            <w:pPr>
              <w:jc w:val="left"/>
            </w:pPr>
            <w:r>
              <w:rPr>
                <w:b w:val="false"/>
                <w:bCs w:val="false"/>
                <w:sz w:val="20"/>
                <w:szCs w:val="20"/>
              </w:rPr>
              <w:t xml:space="preserve">F</w:t>
            </w:r>
          </w:p>
        </w:tc>
        <w:tc>
          <w:tcPr>
            <w:tcW w:type="dxa" w:w="1200"/>
            <w:tcMar>
              <w:top w:type="dxa" w:w="80"/>
              <w:left w:type="dxa" w:w="100"/>
              <w:bottom w:type="dxa" w:w="80"/>
              <w:right w:type="dxa" w:w="100"/>
            </w:tcMar>
          </w:tcPr>
          <w:p>
            <w:pPr>
              <w:jc w:val="left"/>
            </w:pPr>
            <w:r>
              <w:rPr>
                <w:b w:val="false"/>
                <w:bCs w:val="false"/>
                <w:sz w:val="20"/>
                <w:szCs w:val="20"/>
              </w:rPr>
              <w:t xml:space="preserve"/>
            </w:r>
          </w:p>
        </w:tc>
        <w:tc>
          <w:tcPr>
            <w:tcW w:type="dxa" w:w="900"/>
            <w:tcMar>
              <w:top w:type="dxa" w:w="80"/>
              <w:left w:type="dxa" w:w="100"/>
              <w:bottom w:type="dxa" w:w="80"/>
              <w:right w:type="dxa" w:w="100"/>
            </w:tcMar>
          </w:tcPr>
          <w:p>
            <w:pPr>
              <w:jc w:val="left"/>
            </w:pPr>
            <w:r>
              <w:rPr>
                <w:b w:val="false"/>
                <w:bCs w:val="false"/>
                <w:sz w:val="20"/>
                <w:szCs w:val="20"/>
              </w:rPr>
              <w:t xml:space="preserve"/>
            </w:r>
          </w:p>
        </w:tc>
        <w:tc>
          <w:tcPr>
            <w:tcW w:type="dxa" w:w="700"/>
            <w:tcMar>
              <w:top w:type="dxa" w:w="80"/>
              <w:left w:type="dxa" w:w="100"/>
              <w:bottom w:type="dxa" w:w="80"/>
              <w:right w:type="dxa" w:w="100"/>
            </w:tcMar>
          </w:tcPr>
          <w:p>
            <w:pPr>
              <w:jc w:val="left"/>
            </w:pPr>
            <w:r>
              <w:rPr>
                <w:b w:val="false"/>
                <w:bCs w:val="false"/>
                <w:sz w:val="20"/>
                <w:szCs w:val="20"/>
              </w:rPr>
              <w:t xml:space="preserve"/>
            </w:r>
          </w:p>
        </w:tc>
        <w:tc>
          <w:tcPr>
            <w:tcW w:type="dxa" w:w="950"/>
            <w:tcMar>
              <w:top w:type="dxa" w:w="80"/>
              <w:left w:type="dxa" w:w="100"/>
              <w:bottom w:type="dxa" w:w="80"/>
              <w:right w:type="dxa" w:w="100"/>
            </w:tcMar>
          </w:tcPr>
          <w:p>
            <w:pPr>
              <w:jc w:val="left"/>
            </w:pPr>
            <w:r>
              <w:rPr>
                <w:b w:val="false"/>
                <w:bCs w:val="false"/>
                <w:sz w:val="20"/>
                <w:szCs w:val="20"/>
              </w:rPr>
              <w:t xml:space="preserve"/>
            </w:r>
          </w:p>
        </w:tc>
        <w:tc>
          <w:tcPr>
            <w:tcW w:type="dxa" w:w="800"/>
            <w:tcMar>
              <w:top w:type="dxa" w:w="80"/>
              <w:left w:type="dxa" w:w="100"/>
              <w:bottom w:type="dxa" w:w="80"/>
              <w:right w:type="dxa" w:w="100"/>
            </w:tcMar>
          </w:tcPr>
          <w:p>
            <w:pPr>
              <w:jc w:val="left"/>
            </w:pPr>
            <w:r>
              <w:rPr>
                <w:b w:val="false"/>
                <w:bCs w:val="false"/>
                <w:sz w:val="20"/>
                <w:szCs w:val="20"/>
              </w:rPr>
              <w:t xml:space="preserve"/>
            </w:r>
          </w:p>
        </w:tc>
        <w:tc>
          <w:tcPr>
            <w:tcW w:type="dxa" w:w="1276"/>
            <w:tcMar>
              <w:top w:type="dxa" w:w="80"/>
              <w:left w:type="dxa" w:w="100"/>
              <w:bottom w:type="dxa" w:w="80"/>
              <w:right w:type="dxa" w:w="100"/>
            </w:tcMar>
          </w:tcPr>
          <w:p>
            <w:pPr>
              <w:jc w:val="left"/>
            </w:pPr>
            <w:r>
              <w:rPr>
                <w:b w:val="false"/>
                <w:bCs w:val="false"/>
                <w:sz w:val="20"/>
                <w:szCs w:val="20"/>
              </w:rPr>
              <w:t xml:space="preserve"/>
            </w:r>
          </w:p>
        </w:tc>
        <w:tc>
          <w:tcPr>
            <w:tcW w:type="dxa" w:w="1200"/>
            <w:tcMar>
              <w:top w:type="dxa" w:w="80"/>
              <w:left w:type="dxa" w:w="100"/>
              <w:bottom w:type="dxa" w:w="80"/>
              <w:right w:type="dxa" w:w="100"/>
            </w:tcMar>
          </w:tcPr>
          <w:p>
            <w:pPr>
              <w:jc w:val="left"/>
            </w:pPr>
            <w:r>
              <w:rPr>
                <w:b w:val="false"/>
                <w:bCs w:val="false"/>
                <w:sz w:val="20"/>
                <w:szCs w:val="20"/>
              </w:rPr>
              <w:t xml:space="preserve"/>
            </w:r>
          </w:p>
        </w:tc>
      </w:tr>
      <w:tr>
        <w:tc>
          <w:tcPr>
            <w:tcW w:type="dxa" w:w="1200"/>
            <w:tcMar>
              <w:top w:type="dxa" w:w="80"/>
              <w:left w:type="dxa" w:w="100"/>
              <w:bottom w:type="dxa" w:w="80"/>
              <w:right w:type="dxa" w:w="100"/>
            </w:tcMar>
          </w:tcPr>
          <w:p>
            <w:pPr>
              <w:jc w:val="left"/>
            </w:pPr>
            <w:r>
              <w:rPr>
                <w:b w:val="false"/>
                <w:bCs w:val="false"/>
                <w:sz w:val="20"/>
                <w:szCs w:val="20"/>
              </w:rPr>
              <w:t xml:space="preserve">G</w:t>
            </w:r>
          </w:p>
        </w:tc>
        <w:tc>
          <w:tcPr>
            <w:tcW w:type="dxa" w:w="1200"/>
            <w:tcMar>
              <w:top w:type="dxa" w:w="80"/>
              <w:left w:type="dxa" w:w="100"/>
              <w:bottom w:type="dxa" w:w="80"/>
              <w:right w:type="dxa" w:w="100"/>
            </w:tcMar>
          </w:tcPr>
          <w:p>
            <w:pPr>
              <w:jc w:val="left"/>
            </w:pPr>
            <w:r>
              <w:rPr>
                <w:b w:val="false"/>
                <w:bCs w:val="false"/>
                <w:sz w:val="20"/>
                <w:szCs w:val="20"/>
              </w:rPr>
              <w:t xml:space="preserve"/>
            </w:r>
          </w:p>
        </w:tc>
        <w:tc>
          <w:tcPr>
            <w:tcW w:type="dxa" w:w="900"/>
            <w:tcMar>
              <w:top w:type="dxa" w:w="80"/>
              <w:left w:type="dxa" w:w="100"/>
              <w:bottom w:type="dxa" w:w="80"/>
              <w:right w:type="dxa" w:w="100"/>
            </w:tcMar>
          </w:tcPr>
          <w:p>
            <w:pPr>
              <w:jc w:val="left"/>
            </w:pPr>
            <w:r>
              <w:rPr>
                <w:b w:val="false"/>
                <w:bCs w:val="false"/>
                <w:sz w:val="20"/>
                <w:szCs w:val="20"/>
              </w:rPr>
              <w:t xml:space="preserve"/>
            </w:r>
          </w:p>
        </w:tc>
        <w:tc>
          <w:tcPr>
            <w:tcW w:type="dxa" w:w="700"/>
            <w:tcMar>
              <w:top w:type="dxa" w:w="80"/>
              <w:left w:type="dxa" w:w="100"/>
              <w:bottom w:type="dxa" w:w="80"/>
              <w:right w:type="dxa" w:w="100"/>
            </w:tcMar>
          </w:tcPr>
          <w:p>
            <w:pPr>
              <w:jc w:val="left"/>
            </w:pPr>
            <w:r>
              <w:rPr>
                <w:b w:val="false"/>
                <w:bCs w:val="false"/>
                <w:sz w:val="20"/>
                <w:szCs w:val="20"/>
              </w:rPr>
              <w:t xml:space="preserve"/>
            </w:r>
          </w:p>
        </w:tc>
        <w:tc>
          <w:tcPr>
            <w:tcW w:type="dxa" w:w="950"/>
            <w:tcMar>
              <w:top w:type="dxa" w:w="80"/>
              <w:left w:type="dxa" w:w="100"/>
              <w:bottom w:type="dxa" w:w="80"/>
              <w:right w:type="dxa" w:w="100"/>
            </w:tcMar>
          </w:tcPr>
          <w:p>
            <w:pPr>
              <w:jc w:val="left"/>
            </w:pPr>
            <w:r>
              <w:rPr>
                <w:b w:val="false"/>
                <w:bCs w:val="false"/>
                <w:sz w:val="20"/>
                <w:szCs w:val="20"/>
              </w:rPr>
              <w:t xml:space="preserve"/>
            </w:r>
          </w:p>
        </w:tc>
        <w:tc>
          <w:tcPr>
            <w:tcW w:type="dxa" w:w="800"/>
            <w:tcMar>
              <w:top w:type="dxa" w:w="80"/>
              <w:left w:type="dxa" w:w="100"/>
              <w:bottom w:type="dxa" w:w="80"/>
              <w:right w:type="dxa" w:w="100"/>
            </w:tcMar>
          </w:tcPr>
          <w:p>
            <w:pPr>
              <w:jc w:val="left"/>
            </w:pPr>
            <w:r>
              <w:rPr>
                <w:b w:val="false"/>
                <w:bCs w:val="false"/>
                <w:sz w:val="20"/>
                <w:szCs w:val="20"/>
              </w:rPr>
              <w:t xml:space="preserve"/>
            </w:r>
          </w:p>
        </w:tc>
        <w:tc>
          <w:tcPr>
            <w:tcW w:type="dxa" w:w="1276"/>
            <w:tcMar>
              <w:top w:type="dxa" w:w="80"/>
              <w:left w:type="dxa" w:w="100"/>
              <w:bottom w:type="dxa" w:w="80"/>
              <w:right w:type="dxa" w:w="100"/>
            </w:tcMar>
          </w:tcPr>
          <w:p>
            <w:pPr>
              <w:jc w:val="left"/>
            </w:pPr>
            <w:r>
              <w:rPr>
                <w:b w:val="false"/>
                <w:bCs w:val="false"/>
                <w:sz w:val="20"/>
                <w:szCs w:val="20"/>
              </w:rPr>
              <w:t xml:space="preserve"/>
            </w:r>
          </w:p>
        </w:tc>
        <w:tc>
          <w:tcPr>
            <w:tcW w:type="dxa" w:w="1200"/>
            <w:tcMar>
              <w:top w:type="dxa" w:w="80"/>
              <w:left w:type="dxa" w:w="100"/>
              <w:bottom w:type="dxa" w:w="80"/>
              <w:right w:type="dxa" w:w="100"/>
            </w:tcMar>
          </w:tcPr>
          <w:p>
            <w:pPr>
              <w:jc w:val="left"/>
            </w:pPr>
            <w:r>
              <w:rPr>
                <w:b w:val="false"/>
                <w:bCs w:val="false"/>
                <w:sz w:val="20"/>
                <w:szCs w:val="20"/>
              </w:rPr>
              <w:t xml:space="preserve"/>
            </w:r>
          </w:p>
        </w:tc>
      </w:tr>
      <w:tr>
        <w:tc>
          <w:tcPr>
            <w:tcW w:type="dxa" w:w="1200"/>
            <w:tcMar>
              <w:top w:type="dxa" w:w="80"/>
              <w:left w:type="dxa" w:w="100"/>
              <w:bottom w:type="dxa" w:w="80"/>
              <w:right w:type="dxa" w:w="100"/>
            </w:tcMar>
          </w:tcPr>
          <w:p>
            <w:pPr>
              <w:jc w:val="left"/>
            </w:pPr>
            <w:r>
              <w:rPr>
                <w:b w:val="false"/>
                <w:bCs w:val="false"/>
                <w:sz w:val="20"/>
                <w:szCs w:val="20"/>
              </w:rPr>
              <w:t xml:space="preserve">H</w:t>
            </w:r>
          </w:p>
        </w:tc>
        <w:tc>
          <w:tcPr>
            <w:tcW w:type="dxa" w:w="1200"/>
            <w:tcMar>
              <w:top w:type="dxa" w:w="80"/>
              <w:left w:type="dxa" w:w="100"/>
              <w:bottom w:type="dxa" w:w="80"/>
              <w:right w:type="dxa" w:w="100"/>
            </w:tcMar>
          </w:tcPr>
          <w:p>
            <w:pPr>
              <w:jc w:val="left"/>
            </w:pPr>
            <w:r>
              <w:rPr>
                <w:b w:val="false"/>
                <w:bCs w:val="false"/>
                <w:sz w:val="20"/>
                <w:szCs w:val="20"/>
              </w:rPr>
              <w:t xml:space="preserve"/>
            </w:r>
          </w:p>
        </w:tc>
        <w:tc>
          <w:tcPr>
            <w:tcW w:type="dxa" w:w="900"/>
            <w:tcMar>
              <w:top w:type="dxa" w:w="80"/>
              <w:left w:type="dxa" w:w="100"/>
              <w:bottom w:type="dxa" w:w="80"/>
              <w:right w:type="dxa" w:w="100"/>
            </w:tcMar>
          </w:tcPr>
          <w:p>
            <w:pPr>
              <w:jc w:val="left"/>
            </w:pPr>
            <w:r>
              <w:rPr>
                <w:b w:val="false"/>
                <w:bCs w:val="false"/>
                <w:sz w:val="20"/>
                <w:szCs w:val="20"/>
              </w:rPr>
              <w:t xml:space="preserve"/>
            </w:r>
          </w:p>
        </w:tc>
        <w:tc>
          <w:tcPr>
            <w:tcW w:type="dxa" w:w="700"/>
            <w:tcMar>
              <w:top w:type="dxa" w:w="80"/>
              <w:left w:type="dxa" w:w="100"/>
              <w:bottom w:type="dxa" w:w="80"/>
              <w:right w:type="dxa" w:w="100"/>
            </w:tcMar>
          </w:tcPr>
          <w:p>
            <w:pPr>
              <w:jc w:val="left"/>
            </w:pPr>
            <w:r>
              <w:rPr>
                <w:b w:val="false"/>
                <w:bCs w:val="false"/>
                <w:sz w:val="20"/>
                <w:szCs w:val="20"/>
              </w:rPr>
              <w:t xml:space="preserve"/>
            </w:r>
          </w:p>
        </w:tc>
        <w:tc>
          <w:tcPr>
            <w:tcW w:type="dxa" w:w="950"/>
            <w:tcMar>
              <w:top w:type="dxa" w:w="80"/>
              <w:left w:type="dxa" w:w="100"/>
              <w:bottom w:type="dxa" w:w="80"/>
              <w:right w:type="dxa" w:w="100"/>
            </w:tcMar>
          </w:tcPr>
          <w:p>
            <w:pPr>
              <w:jc w:val="left"/>
            </w:pPr>
            <w:r>
              <w:rPr>
                <w:b w:val="false"/>
                <w:bCs w:val="false"/>
                <w:sz w:val="20"/>
                <w:szCs w:val="20"/>
              </w:rPr>
              <w:t xml:space="preserve"/>
            </w:r>
          </w:p>
        </w:tc>
        <w:tc>
          <w:tcPr>
            <w:tcW w:type="dxa" w:w="800"/>
            <w:tcMar>
              <w:top w:type="dxa" w:w="80"/>
              <w:left w:type="dxa" w:w="100"/>
              <w:bottom w:type="dxa" w:w="80"/>
              <w:right w:type="dxa" w:w="100"/>
            </w:tcMar>
          </w:tcPr>
          <w:p>
            <w:pPr>
              <w:jc w:val="left"/>
            </w:pPr>
            <w:r>
              <w:rPr>
                <w:b w:val="false"/>
                <w:bCs w:val="false"/>
                <w:sz w:val="20"/>
                <w:szCs w:val="20"/>
              </w:rPr>
              <w:t xml:space="preserve"/>
            </w:r>
          </w:p>
        </w:tc>
        <w:tc>
          <w:tcPr>
            <w:tcW w:type="dxa" w:w="1276"/>
            <w:tcMar>
              <w:top w:type="dxa" w:w="80"/>
              <w:left w:type="dxa" w:w="100"/>
              <w:bottom w:type="dxa" w:w="80"/>
              <w:right w:type="dxa" w:w="100"/>
            </w:tcMar>
          </w:tcPr>
          <w:p>
            <w:pPr>
              <w:jc w:val="left"/>
            </w:pPr>
            <w:r>
              <w:rPr>
                <w:b w:val="false"/>
                <w:bCs w:val="false"/>
                <w:sz w:val="20"/>
                <w:szCs w:val="20"/>
              </w:rPr>
              <w:t xml:space="preserve"/>
            </w:r>
          </w:p>
        </w:tc>
        <w:tc>
          <w:tcPr>
            <w:tcW w:type="dxa" w:w="1200"/>
            <w:tcMar>
              <w:top w:type="dxa" w:w="80"/>
              <w:left w:type="dxa" w:w="100"/>
              <w:bottom w:type="dxa" w:w="80"/>
              <w:right w:type="dxa" w:w="100"/>
            </w:tcMar>
          </w:tcPr>
          <w:p>
            <w:pPr>
              <w:jc w:val="left"/>
            </w:pPr>
            <w:r>
              <w:rPr>
                <w:b w:val="false"/>
                <w:bCs w:val="false"/>
                <w:sz w:val="20"/>
                <w:szCs w:val="20"/>
              </w:rPr>
              <w:t xml:space="preserve"/>
            </w:r>
          </w:p>
        </w:tc>
      </w:tr>
    </w:tbl>
    <w:p>
      <w:pPr>
        <w:spacing w:after="240" w:before="60"/>
        <w:jc w:val="center"/>
      </w:pPr>
      <w:r>
        <w:rPr>
          <w:i/>
          <w:iCs/>
          <w:sz w:val="20"/>
          <w:szCs w:val="20"/>
        </w:rPr>
        <w:t xml:space="preserve">Table 5. Placeholder results table (populate from scripts/run_ablation.py output).</w:t>
      </w:r>
    </w:p>
    <w:p>
      <w:pPr>
        <w:pStyle w:val="Heading2"/>
        <w:spacing w:after="120" w:before="240"/>
      </w:pPr>
      <w:r>
        <w:t xml:space="preserve">8.1 Target to beat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26"/>
      </w:tblGrid>
      <w:tr>
        <w:trPr>
          <w:tblHeader/>
        </w:trPr>
        <w:tc>
          <w:tcPr>
            <w:tcW w:type="dxa" w:w="4600"/>
            <w:shd w:fill="D9E2F3" w:color="auto" w:val="clear"/>
            <w:tcMar>
              <w:top w:type="dxa" w:w="80"/>
              <w:left w:type="dxa" w:w="100"/>
              <w:bottom w:type="dxa" w:w="80"/>
              <w:right w:type="dxa" w:w="100"/>
            </w:tcMar>
          </w:tcPr>
          <w:p>
            <w:pPr>
              <w:jc w:val="left"/>
            </w:pPr>
            <w:r>
              <w:rPr>
                <w:b/>
                <w:bCs/>
                <w:sz w:val="20"/>
                <w:szCs w:val="20"/>
              </w:rPr>
              <w:t xml:space="preserve">Method</w:t>
            </w:r>
          </w:p>
        </w:tc>
        <w:tc>
          <w:tcPr>
            <w:tcW w:type="dxa" w:w="2200"/>
            <w:shd w:fill="D9E2F3" w:color="auto" w:val="clear"/>
            <w:tcMar>
              <w:top w:type="dxa" w:w="80"/>
              <w:left w:type="dxa" w:w="100"/>
              <w:bottom w:type="dxa" w:w="80"/>
              <w:right w:type="dxa" w:w="100"/>
            </w:tcMar>
          </w:tcPr>
          <w:p>
            <w:pPr>
              <w:jc w:val="left"/>
            </w:pPr>
            <w:r>
              <w:rPr>
                <w:b/>
                <w:bCs/>
                <w:sz w:val="20"/>
                <w:szCs w:val="20"/>
              </w:rPr>
              <w:t xml:space="preserve">L.A.G Dice</w:t>
            </w:r>
          </w:p>
        </w:tc>
        <w:tc>
          <w:tcPr>
            <w:tcW w:type="dxa" w:w="2226"/>
            <w:shd w:fill="D9E2F3" w:color="auto" w:val="clear"/>
            <w:tcMar>
              <w:top w:type="dxa" w:w="80"/>
              <w:left w:type="dxa" w:w="100"/>
              <w:bottom w:type="dxa" w:w="80"/>
              <w:right w:type="dxa" w:w="100"/>
            </w:tcMar>
          </w:tcPr>
          <w:p>
            <w:pPr>
              <w:jc w:val="left"/>
            </w:pPr>
            <w:r>
              <w:rPr>
                <w:b/>
                <w:bCs/>
                <w:sz w:val="20"/>
                <w:szCs w:val="20"/>
              </w:rPr>
              <w:t xml:space="preserve">R.A.G Dice</w:t>
            </w:r>
          </w:p>
        </w:tc>
      </w:tr>
      <w:tr>
        <w:tc>
          <w:tcPr>
            <w:tcW w:type="dxa" w:w="4600"/>
            <w:tcMar>
              <w:top w:type="dxa" w:w="80"/>
              <w:left w:type="dxa" w:w="100"/>
              <w:bottom w:type="dxa" w:w="80"/>
              <w:right w:type="dxa" w:w="100"/>
            </w:tcMar>
          </w:tcPr>
          <w:p>
            <w:pPr>
              <w:jc w:val="left"/>
            </w:pPr>
            <w:r>
              <w:rPr>
                <w:b w:val="false"/>
                <w:bCs w:val="false"/>
                <w:sz w:val="20"/>
                <w:szCs w:val="20"/>
              </w:rPr>
              <w:t xml:space="preserve">Prior published pipeline, before post-processing</w:t>
            </w:r>
          </w:p>
        </w:tc>
        <w:tc>
          <w:tcPr>
            <w:tcW w:type="dxa" w:w="2200"/>
            <w:tcMar>
              <w:top w:type="dxa" w:w="80"/>
              <w:left w:type="dxa" w:w="100"/>
              <w:bottom w:type="dxa" w:w="80"/>
              <w:right w:type="dxa" w:w="100"/>
            </w:tcMar>
          </w:tcPr>
          <w:p>
            <w:pPr>
              <w:jc w:val="left"/>
            </w:pPr>
            <w:r>
              <w:rPr>
                <w:b w:val="false"/>
                <w:bCs w:val="false"/>
                <w:sz w:val="20"/>
                <w:szCs w:val="20"/>
              </w:rPr>
              <w:t xml:space="preserve">0.82</w:t>
            </w:r>
          </w:p>
        </w:tc>
        <w:tc>
          <w:tcPr>
            <w:tcW w:type="dxa" w:w="2226"/>
            <w:tcMar>
              <w:top w:type="dxa" w:w="80"/>
              <w:left w:type="dxa" w:w="100"/>
              <w:bottom w:type="dxa" w:w="80"/>
              <w:right w:type="dxa" w:w="100"/>
            </w:tcMar>
          </w:tcPr>
          <w:p>
            <w:pPr>
              <w:jc w:val="left"/>
            </w:pPr>
            <w:r>
              <w:rPr>
                <w:b w:val="false"/>
                <w:bCs w:val="false"/>
                <w:sz w:val="20"/>
                <w:szCs w:val="20"/>
              </w:rPr>
              <w:t xml:space="preserve">0.75</w:t>
            </w:r>
          </w:p>
        </w:tc>
      </w:tr>
      <w:tr>
        <w:tc>
          <w:tcPr>
            <w:tcW w:type="dxa" w:w="4600"/>
            <w:tcMar>
              <w:top w:type="dxa" w:w="80"/>
              <w:left w:type="dxa" w:w="100"/>
              <w:bottom w:type="dxa" w:w="80"/>
              <w:right w:type="dxa" w:w="100"/>
            </w:tcMar>
          </w:tcPr>
          <w:p>
            <w:pPr>
              <w:jc w:val="left"/>
            </w:pPr>
            <w:r>
              <w:rPr>
                <w:b w:val="false"/>
                <w:bCs w:val="false"/>
                <w:sz w:val="20"/>
                <w:szCs w:val="20"/>
              </w:rPr>
              <w:t xml:space="preserve">Prior published pipeline, after TTA + component pruning</w:t>
            </w:r>
          </w:p>
        </w:tc>
        <w:tc>
          <w:tcPr>
            <w:tcW w:type="dxa" w:w="2200"/>
            <w:tcMar>
              <w:top w:type="dxa" w:w="80"/>
              <w:left w:type="dxa" w:w="100"/>
              <w:bottom w:type="dxa" w:w="80"/>
              <w:right w:type="dxa" w:w="100"/>
            </w:tcMar>
          </w:tcPr>
          <w:p>
            <w:pPr>
              <w:jc w:val="left"/>
            </w:pPr>
            <w:r>
              <w:rPr>
                <w:b w:val="false"/>
                <w:bCs w:val="false"/>
                <w:sz w:val="20"/>
                <w:szCs w:val="20"/>
              </w:rPr>
              <w:t xml:space="preserve">0.91</w:t>
            </w:r>
          </w:p>
        </w:tc>
        <w:tc>
          <w:tcPr>
            <w:tcW w:type="dxa" w:w="2226"/>
            <w:tcMar>
              <w:top w:type="dxa" w:w="80"/>
              <w:left w:type="dxa" w:w="100"/>
              <w:bottom w:type="dxa" w:w="80"/>
              <w:right w:type="dxa" w:w="100"/>
            </w:tcMar>
          </w:tcPr>
          <w:p>
            <w:pPr>
              <w:jc w:val="left"/>
            </w:pPr>
            <w:r>
              <w:rPr>
                <w:b w:val="false"/>
                <w:bCs w:val="false"/>
                <w:sz w:val="20"/>
                <w:szCs w:val="20"/>
              </w:rPr>
              <w:t xml:space="preserve">0.90</w:t>
            </w:r>
          </w:p>
        </w:tc>
      </w:tr>
      <w:tr>
        <w:tc>
          <w:tcPr>
            <w:tcW w:type="dxa" w:w="4600"/>
            <w:tcMar>
              <w:top w:type="dxa" w:w="80"/>
              <w:left w:type="dxa" w:w="100"/>
              <w:bottom w:type="dxa" w:w="80"/>
              <w:right w:type="dxa" w:w="100"/>
            </w:tcMar>
          </w:tcPr>
          <w:p>
            <w:pPr>
              <w:jc w:val="left"/>
            </w:pPr>
            <w:r>
              <w:rPr>
                <w:b w:val="false"/>
                <w:bCs w:val="false"/>
                <w:sz w:val="20"/>
                <w:szCs w:val="20"/>
              </w:rPr>
              <w:t xml:space="preserve">This work, Stage B only (no gate, no post-processing)</w:t>
            </w:r>
          </w:p>
        </w:tc>
        <w:tc>
          <w:tcPr>
            <w:tcW w:type="dxa" w:w="2200"/>
            <w:tcMar>
              <w:top w:type="dxa" w:w="80"/>
              <w:left w:type="dxa" w:w="100"/>
              <w:bottom w:type="dxa" w:w="80"/>
              <w:right w:type="dxa" w:w="100"/>
            </w:tcMar>
          </w:tcPr>
          <w:p>
            <w:pPr>
              <w:jc w:val="left"/>
            </w:pPr>
            <w:r>
              <w:rPr>
                <w:b w:val="false"/>
                <w:bCs w:val="false"/>
                <w:sz w:val="20"/>
                <w:szCs w:val="20"/>
              </w:rPr>
              <w:t xml:space="preserve"/>
            </w:r>
          </w:p>
        </w:tc>
        <w:tc>
          <w:tcPr>
            <w:tcW w:type="dxa" w:w="2226"/>
            <w:tcMar>
              <w:top w:type="dxa" w:w="80"/>
              <w:left w:type="dxa" w:w="100"/>
              <w:bottom w:type="dxa" w:w="80"/>
              <w:right w:type="dxa" w:w="100"/>
            </w:tcMar>
          </w:tcPr>
          <w:p>
            <w:pPr>
              <w:jc w:val="left"/>
            </w:pPr>
            <w:r>
              <w:rPr>
                <w:b w:val="false"/>
                <w:bCs w:val="false"/>
                <w:sz w:val="20"/>
                <w:szCs w:val="20"/>
              </w:rPr>
              <w:t xml:space="preserve"/>
            </w:r>
          </w:p>
        </w:tc>
      </w:tr>
      <w:tr>
        <w:tc>
          <w:tcPr>
            <w:tcW w:type="dxa" w:w="4600"/>
            <w:tcMar>
              <w:top w:type="dxa" w:w="80"/>
              <w:left w:type="dxa" w:w="100"/>
              <w:bottom w:type="dxa" w:w="80"/>
              <w:right w:type="dxa" w:w="100"/>
            </w:tcMar>
          </w:tcPr>
          <w:p>
            <w:pPr>
              <w:jc w:val="left"/>
            </w:pPr>
            <w:r>
              <w:rPr>
                <w:b w:val="false"/>
                <w:bCs w:val="false"/>
                <w:sz w:val="20"/>
                <w:szCs w:val="20"/>
              </w:rPr>
              <w:t xml:space="preserve">This work, full cascade (arm E)</w:t>
            </w:r>
          </w:p>
        </w:tc>
        <w:tc>
          <w:tcPr>
            <w:tcW w:type="dxa" w:w="2200"/>
            <w:tcMar>
              <w:top w:type="dxa" w:w="80"/>
              <w:left w:type="dxa" w:w="100"/>
              <w:bottom w:type="dxa" w:w="80"/>
              <w:right w:type="dxa" w:w="100"/>
            </w:tcMar>
          </w:tcPr>
          <w:p>
            <w:pPr>
              <w:jc w:val="left"/>
            </w:pPr>
            <w:r>
              <w:rPr>
                <w:b w:val="false"/>
                <w:bCs w:val="false"/>
                <w:sz w:val="20"/>
                <w:szCs w:val="20"/>
              </w:rPr>
              <w:t xml:space="preserve"/>
            </w:r>
          </w:p>
        </w:tc>
        <w:tc>
          <w:tcPr>
            <w:tcW w:type="dxa" w:w="2226"/>
            <w:tcMar>
              <w:top w:type="dxa" w:w="80"/>
              <w:left w:type="dxa" w:w="100"/>
              <w:bottom w:type="dxa" w:w="80"/>
              <w:right w:type="dxa" w:w="100"/>
            </w:tcMar>
          </w:tcPr>
          <w:p>
            <w:pPr>
              <w:jc w:val="left"/>
            </w:pPr>
            <w:r>
              <w:rPr>
                <w:b w:val="false"/>
                <w:bCs w:val="false"/>
                <w:sz w:val="20"/>
                <w:szCs w:val="20"/>
              </w:rPr>
              <w:t xml:space="preserve"/>
            </w:r>
          </w:p>
        </w:tc>
      </w:tr>
    </w:tbl>
    <w:p>
      <w:pPr>
        <w:spacing w:after="240" w:before="60"/>
        <w:jc w:val="center"/>
      </w:pPr>
      <w:r>
        <w:rPr>
          <w:i/>
          <w:iCs/>
          <w:sz w:val="20"/>
          <w:szCs w:val="20"/>
        </w:rPr>
        <w:t xml:space="preserve">Table 6. Prior published results on AMOS (Fayemiwo et al., 2025), mean per-case Dice, and the rows this work must fill.</w:t>
      </w:r>
    </w:p>
    <w:p>
      <w:pPr>
        <w:spacing w:after="160"/>
        <w:jc w:val="both"/>
      </w:pPr>
      <w:r>
        <w:t xml:space="preserve">Two cautions when reading Stage-B-only numbers against this table. Validation slices are drawn from the gland neighbourhood (the gland extent plus a configurable margin), so a Stage-B figure measures the segmenter where the gland is and not across a whole scan; it therefore sits above what the deployed cascade achieves on full volumes, and the gap between the two is the quantity the gate exists to close. And Stage B is reported without test-time augmentation or connected-component pruning, both of which the prior pipeline applied and which were worth a large margin to it, so a raw Stage-B Dice is not comparable with the post-processed row above.</w:t>
      </w:r>
    </w:p>
    <w:p>
      <w:pPr>
        <w:pStyle w:val="Heading1"/>
        <w:spacing w:after="160" w:before="320"/>
      </w:pPr>
      <w:r>
        <w:t xml:space="preserve">References</w:t>
      </w:r>
    </w:p>
    <w:p>
      <w:pPr>
        <w:pStyle w:val="Heading3"/>
        <w:spacing w:after="100" w:before="200"/>
      </w:pPr>
      <w:r>
        <w:t xml:space="preserve">Verified by direct retrieval during drafting</w:t>
      </w:r>
    </w:p>
    <w:p>
      <w:pPr>
        <w:spacing w:after="160"/>
        <w:jc w:val="both"/>
      </w:pPr>
      <w:r>
        <w:t xml:space="preserve">Fayemiwo, M., Gardiner, B., Harkin, J., McDaid, L., Prakash, P., &amp; Dennedy, M. C. (2025). A novel pipeline for adrenal gland segmentation: integration of a deep learning model with test-time augmentation and post-processing. Journal of Imaging Informatics in Medicine, 38(6).</w:t>
      </w:r>
    </w:p>
    <w:p>
      <w:pPr>
        <w:spacing w:after="160"/>
        <w:jc w:val="both"/>
      </w:pPr>
      <w:r>
        <w:t xml:space="preserve">Xu, et al. (2021). Cascaded localisation and boundary-attention segmentation network for adrenal gland CT segmentation. Computers in Biology and Medicine. PMID: 34388467.</w:t>
      </w:r>
    </w:p>
    <w:p>
      <w:pPr>
        <w:spacing w:after="160"/>
        <w:jc w:val="both"/>
      </w:pPr>
      <w:r>
        <w:t xml:space="preserve">Frontiers in Neuroscience (2024). Spiking neural network architectures and energy efficiency: a review. https://doi.org/10.3389/fnins.2024.1383844.</w:t>
      </w:r>
    </w:p>
    <w:p>
      <w:pPr>
        <w:spacing w:after="160"/>
        <w:jc w:val="both"/>
      </w:pPr>
      <w:r>
        <w:t xml:space="preserve">Isensee, F., Wald, T., Ulrich, C., Baumgartner, M., Roy, S., Maier-Hein, K., &amp; Jaeger, P. F. (2024). nnU-Net Revisited: A Call for Rigorous Validation in 3D Medical Image Segmentation. arXiv:2404.09556.</w:t>
      </w:r>
    </w:p>
    <w:p>
      <w:pPr>
        <w:spacing w:after="160"/>
        <w:jc w:val="both"/>
      </w:pPr>
      <w:r>
        <w:t xml:space="preserve">Roy, S., Koehler, G., Ulrich, C., et al. (2023). MedNeXt: Transformer-driven Scaling of ConvNets for Medical Image Segmentation. arXiv:2303.09975.</w:t>
      </w:r>
    </w:p>
    <w:p>
      <w:pPr>
        <w:spacing w:after="160"/>
        <w:jc w:val="both"/>
      </w:pPr>
      <w:r>
        <w:t xml:space="preserve">Ma, J., Li, F., &amp; Wang, B. (2024). U-Mamba: Enhancing Long-range Dependency for Biomedical Image Segmentation. arXiv:2401.04722.</w:t>
      </w:r>
    </w:p>
    <w:p>
      <w:pPr>
        <w:pStyle w:val="Heading3"/>
        <w:spacing w:after="100" w:before="200"/>
      </w:pPr>
      <w:r>
        <w:t xml:space="preserve">Unverified in this draft — confirm before submission</w:t>
      </w:r>
    </w:p>
    <w:p>
      <w:pPr>
        <w:spacing w:after="160"/>
        <w:jc w:val="both"/>
      </w:pPr>
      <w:r>
        <w:t xml:space="preserve">Slice-level classification gating for CT false-positive reduction. PMID: 33029634 (citation not independently confirmed in this session).</w:t>
      </w:r>
    </w:p>
    <w:p>
      <w:pPr>
        <w:pStyle w:val="Heading3"/>
        <w:spacing w:after="100" w:before="200"/>
      </w:pPr>
      <w:r>
        <w:t xml:space="preserve">Background / general knowledge — verify against source before citing</w:t>
      </w:r>
    </w:p>
    <w:p>
      <w:pPr>
        <w:spacing w:after="160"/>
        <w:jc w:val="both"/>
      </w:pPr>
      <w:r>
        <w:t xml:space="preserve">Neftci, E. O., Mostafa, H., &amp; Zenke, F. (2019). Surrogate gradient learning in spiking neural networks. IEEE Signal Processing Magazine.</w:t>
      </w:r>
    </w:p>
    <w:p>
      <w:pPr>
        <w:spacing w:after="160"/>
        <w:jc w:val="both"/>
      </w:pPr>
      <w:r>
        <w:t xml:space="preserve">Rueckauer, B., Lungu, I. A., Hu, Y., Pfeiffer, M., &amp; Liu, S. C. (2017). Conversion of continuous-valued deep networks to efficient event-driven networks for image classification. Frontiers in Neuroscience.</w:t>
      </w:r>
    </w:p>
    <w:p>
      <w:pPr>
        <w:spacing w:after="160"/>
        <w:jc w:val="both"/>
      </w:pPr>
      <w:r>
        <w:t xml:space="preserve">Isensee, F., Jaeger, P. F., Kohl, S. A., Petersen, J., &amp; Maier-Hein, K. H. (2021). nnU-Net: a self-configuring method for deep learning-based biomedical image segmentation. Nature Methods.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f7e2c009c28e604df487b0a46ce105f55b2d4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2026-08-29T17:49:15.441Z</dcterms:created>
  <dcterms:modified xsi:type="dcterms:W3CDTF">2026-08-29T17:49:15.456Z</dcterms:modified>
</cp:coreProperties>
</file>

<file path=docProps/custom.xml><?xml version="1.0" encoding="utf-8"?>
<Properties xmlns="http://schemas.openxmlformats.org/officeDocument/2006/custom-properties" xmlns:vt="http://schemas.openxmlformats.org/officeDocument/2006/docPropsVTypes"/>
</file>