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4"/>
          <w:sz w:val="32"/>
          <w:szCs w:val="32"/>
        </w:rPr>
        <w:t xml:space="preserve">Adrenal Gland Segmentation — Progress Report</w:t>
      </w:r>
    </w:p>
    <w:p>
      <w:pPr>
        <w:pBdr>
          <w:bottom w:val="single" w:color="1F3A54" w:sz="6" w:space="6"/>
        </w:pBdr>
        <w:spacing w:after="40"/>
      </w:pPr>
      <w:r>
        <w:rPr>
          <w:rFonts w:ascii="Calibri" w:cs="Calibri" w:eastAsia="Calibri" w:hAnsi="Calibri"/>
          <w:color w:val="33566F"/>
          <w:sz w:val="22"/>
          <w:szCs w:val="22"/>
        </w:rPr>
        <w:t xml:space="preserve">Stage B segmenter results and the first Stage A gate ablation</w:t>
      </w:r>
    </w:p>
    <w:p>
      <w:pPr>
        <w:spacing w:after="140" w:before="60" w:line="276"/>
      </w:pPr>
      <w:r>
        <w:rPr>
          <w:rFonts w:ascii="Calibri" w:cs="Calibri" w:eastAsia="Calibri" w:hAnsi="Calibri"/>
          <w:color w:val="5A6B7A"/>
          <w:sz w:val="18"/>
          <w:szCs w:val="18"/>
        </w:rPr>
        <w:t xml:space="preserve">M. Fayemiwo  ·  30 August 2026  ·  AMOS22, CT only (200 training / 100 validation patients)</w:t>
      </w:r>
    </w:p>
    <w:p>
      <w:pPr>
        <w:pStyle w:val="Heading1"/>
        <w:spacing w:after="110" w:before="260"/>
      </w:pPr>
      <w:r>
        <w:rPr>
          <w:rFonts w:ascii="Calibri" w:cs="Calibri" w:eastAsia="Calibri" w:hAnsi="Calibri"/>
          <w:b/>
          <w:bCs/>
          <w:color w:val="1F3A54"/>
          <w:sz w:val="26"/>
          <w:szCs w:val="26"/>
        </w:rPr>
        <w:t xml:space="preserve">1.  Summary</w:t>
      </w:r>
    </w:p>
    <w:p>
      <w:pPr>
        <w:spacing w:after="100" w:before="0" w:line="276"/>
      </w:pPr>
      <w:r>
        <w:rPr>
          <w:rFonts w:ascii="Calibri" w:cs="Calibri" w:eastAsia="Calibri" w:hAnsi="Calibri"/>
          <w:sz w:val="21"/>
          <w:szCs w:val="21"/>
        </w:rPr>
        <w:t xml:space="preserve">The pipeline is a two-stage cascade: Stage A selects the axial slices worth segmenting, Stage B segments them. Stage B is trained and fully evaluated. Stage A has now been trained for the first time, across three ablation arms.</w:t>
      </w:r>
    </w:p>
    <w:p>
      <w:pPr>
        <w:pStyle w:val="ListParagraph"/>
        <w:numPr>
          <w:ilvl w:val="0"/>
          <w:numId w:val="1"/>
        </w:numPr>
        <w:spacing w:after="60" w:line="276"/>
      </w:pPr>
      <w:r>
        <w:rPr>
          <w:rFonts w:ascii="Calibri" w:cs="Calibri" w:eastAsia="Calibri" w:hAnsi="Calibri"/>
          <w:b/>
          <w:bCs/>
          <w:sz w:val="21"/>
          <w:szCs w:val="21"/>
        </w:rPr>
        <w:t xml:space="preserve">Stage B works and is close to the prior pipeline on one gland. </w:t>
      </w:r>
      <w:r>
        <w:rPr>
          <w:rFonts w:ascii="Calibri" w:cs="Calibri" w:eastAsia="Calibri" w:hAnsi="Calibri"/>
          <w:sz w:val="21"/>
          <w:szCs w:val="21"/>
        </w:rPr>
        <w:t xml:space="preserve">Mean per-case Dice is 0.748 left and 0.747 right. The right gland is at parity with the prior published raw figure of 0.750; the left is 0.074 below its 0.820.</w:t>
      </w:r>
    </w:p>
    <w:p>
      <w:pPr>
        <w:pStyle w:val="ListParagraph"/>
        <w:numPr>
          <w:ilvl w:val="0"/>
          <w:numId w:val="1"/>
        </w:numPr>
        <w:spacing w:after="60" w:line="276"/>
      </w:pPr>
      <w:r>
        <w:rPr>
          <w:rFonts w:ascii="Calibri" w:cs="Calibri" w:eastAsia="Calibri" w:hAnsi="Calibri"/>
          <w:b/>
          <w:bCs/>
          <w:sz w:val="21"/>
          <w:szCs w:val="21"/>
        </w:rPr>
        <w:t xml:space="preserve">Stage A works. </w:t>
      </w:r>
      <w:r>
        <w:rPr>
          <w:rFonts w:ascii="Calibri" w:cs="Calibri" w:eastAsia="Calibri" w:hAnsi="Calibri"/>
          <w:sz w:val="21"/>
          <w:szCs w:val="21"/>
        </w:rPr>
        <w:t xml:space="preserve">The best gate removes 59% of slices while retaining 99% of gland-bearing slices — a real reduction in the segmentation workload, and the clearest positive result in this round.</w:t>
      </w:r>
    </w:p>
    <w:p>
      <w:pPr>
        <w:pStyle w:val="ListParagraph"/>
        <w:numPr>
          <w:ilvl w:val="0"/>
          <w:numId w:val="1"/>
        </w:numPr>
        <w:spacing w:after="60" w:line="276"/>
      </w:pPr>
      <w:r>
        <w:rPr>
          <w:rFonts w:ascii="Calibri" w:cs="Calibri" w:eastAsia="Calibri" w:hAnsi="Calibri"/>
          <w:b/>
          <w:bCs/>
          <w:sz w:val="21"/>
          <w:szCs w:val="21"/>
        </w:rPr>
        <w:t xml:space="preserve">The project's central claim did not survive its own test. </w:t>
      </w:r>
      <w:r>
        <w:rPr>
          <w:rFonts w:ascii="Calibri" w:cs="Calibri" w:eastAsia="Calibri" w:hAnsi="Calibri"/>
          <w:sz w:val="21"/>
          <w:szCs w:val="21"/>
        </w:rPr>
        <w:t xml:space="preserve">The sequence-aware spiking gate (PR-AUC 0.761) is beaten by a capacity-matched CNN-LSTM baseline (0.882), and is indistinguishable from its own static-repeat control (0.757). The craniocaudal sequence encoding contributes nothing measurable.</w:t>
      </w:r>
    </w:p>
    <w:p>
      <w:pPr>
        <w:pStyle w:val="ListParagraph"/>
        <w:numPr>
          <w:ilvl w:val="0"/>
          <w:numId w:val="1"/>
        </w:numPr>
        <w:spacing w:after="60" w:line="276"/>
      </w:pPr>
      <w:r>
        <w:rPr>
          <w:rFonts w:ascii="Calibri" w:cs="Calibri" w:eastAsia="Calibri" w:hAnsi="Calibri"/>
          <w:b/>
          <w:bCs/>
          <w:sz w:val="21"/>
          <w:szCs w:val="21"/>
        </w:rPr>
        <w:t xml:space="preserve">One comparison must not be quoted yet. </w:t>
      </w:r>
      <w:r>
        <w:rPr>
          <w:rFonts w:ascii="Calibri" w:cs="Calibri" w:eastAsia="Calibri" w:hAnsi="Calibri"/>
          <w:sz w:val="21"/>
          <w:szCs w:val="21"/>
        </w:rPr>
        <w:t xml:space="preserve">The prior paper's post-processed figures (0.910 / 0.900) are not yet established as like-for-like with this evaluation. Section 7 sets out what to check first.</w:t>
      </w:r>
    </w:p>
    <w:p>
      <w:pPr>
        <w:pStyle w:val="Heading1"/>
        <w:spacing w:after="110" w:before="260"/>
      </w:pPr>
      <w:r>
        <w:rPr>
          <w:rFonts w:ascii="Calibri" w:cs="Calibri" w:eastAsia="Calibri" w:hAnsi="Calibri"/>
          <w:b/>
          <w:bCs/>
          <w:color w:val="1F3A54"/>
          <w:sz w:val="26"/>
          <w:szCs w:val="26"/>
        </w:rPr>
        <w:t xml:space="preserve">2.  Experimental workflow</w:t>
      </w:r>
    </w:p>
    <w:p>
      <w:pPr>
        <w:spacing w:after="100" w:before="0" w:line="276"/>
      </w:pPr>
      <w:r>
        <w:rPr>
          <w:rFonts w:ascii="Calibri" w:cs="Calibri" w:eastAsia="Calibri" w:hAnsi="Calibri"/>
          <w:sz w:val="21"/>
          <w:szCs w:val="21"/>
        </w:rPr>
        <w:t xml:space="preserve">Code is authored locally, pushed to GitHub, and pulled onto an HPC cluster (SLURM, AMD MI300X, ROCm 6.3.3) where all training runs. The cluster is kept run-only — no edits are authored there, which prevents a third diverging copy of the codebase — and the AMOS22 data sits outside the git repository.</w:t>
      </w:r>
    </w:p>
    <w:p>
      <w:pPr>
        <w:spacing w:after="100" w:before="0" w:line="276"/>
      </w:pPr>
      <w:r>
        <w:rPr>
          <w:rFonts w:ascii="Calibri" w:cs="Calibri" w:eastAsia="Calibri" w:hAnsi="Calibri"/>
          <w:sz w:val="21"/>
          <w:szCs w:val="21"/>
        </w:rPr>
        <w:t xml:space="preserve">Two environment problems cost real time before any result was trustworthy, and both are now guarded against in code. PyPI's torch is a CUDA build that installs cleanly on ROCm and silently falls back to CPU; it is no longer listed in requirements.txt, pip install is banned from job scripts, and the SLURM script asserts a GPU is visible before training starts. Separately, MIOpen writes its kernel database to a read-only location on the cluster, failing as miopenStatusInternalError; every entry point redirects it before torch is imported.</w:t>
      </w:r>
    </w:p>
    <w:p>
      <w:pPr>
        <w:spacing w:after="100" w:before="0" w:line="276"/>
      </w:pPr>
      <w:r>
        <w:rPr>
          <w:rFonts w:ascii="Calibri" w:cs="Calibri" w:eastAsia="Calibri" w:hAnsi="Calibri"/>
          <w:sz w:val="21"/>
          <w:szCs w:val="21"/>
        </w:rPr>
        <w:t xml:space="preserve">Each script writes the same artefacts: progress.txt rewritten atomically every epoch, train.log flushed per line, metrics.csv, config.json and atomic checkpoints supporting --resume. Every script was verified end to end against synthetic AMOS-format data, including deliberately failing cases, before being pointed at patient data.</w:t>
      </w:r>
    </w:p>
    <w:p>
      <w:pPr>
        <w:pStyle w:val="Heading1"/>
        <w:spacing w:after="110" w:before="260"/>
      </w:pPr>
      <w:r>
        <w:rPr>
          <w:rFonts w:ascii="Calibri" w:cs="Calibri" w:eastAsia="Calibri" w:hAnsi="Calibri"/>
          <w:b/>
          <w:bCs/>
          <w:color w:val="1F3A54"/>
          <w:sz w:val="26"/>
          <w:szCs w:val="26"/>
        </w:rPr>
        <w:t xml:space="preserve">3.  Stage B — the 2.5D segmenter</w:t>
      </w:r>
    </w:p>
    <w:p>
      <w:pPr>
        <w:spacing w:after="100" w:before="0" w:line="276"/>
      </w:pPr>
      <w:r>
        <w:rPr>
          <w:rFonts w:ascii="Calibri" w:cs="Calibri" w:eastAsia="Calibri" w:hAnsi="Calibri"/>
          <w:sz w:val="21"/>
          <w:szCs w:val="21"/>
        </w:rPr>
        <w:t xml:space="preserve">Volumes are resampled to 1.0 mm in-plane and 2.5 mm through-plane so that a fixed k-slice window spans the same physical distance for every patient, HU-windowed, z-scored, and centre-cropped to 384 px. Left and right glands are separate output channels. Reported Dice is mean per-case (each patient scored, then averaged), matching how the prior pipeline reports L.A.G and R.A.G.</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226"/>
        <w:gridCol w:w="1700"/>
        <w:gridCol w:w="1700"/>
        <w:gridCol w:w="1700"/>
        <w:gridCol w:w="1700"/>
      </w:tblGrid>
      <w:tr>
        <w:trPr>
          <w:tblHeader/>
        </w:trPr>
        <w:tc>
          <w:tcPr>
            <w:tcW w:type="dxa" w:w="2226"/>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
            </w:r>
          </w:p>
        </w:tc>
        <w:tc>
          <w:tcPr>
            <w:tcW w:type="dxa" w:w="17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Left — this work</w:t>
            </w:r>
          </w:p>
        </w:tc>
        <w:tc>
          <w:tcPr>
            <w:tcW w:type="dxa" w:w="17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Left — prior</w:t>
            </w:r>
          </w:p>
        </w:tc>
        <w:tc>
          <w:tcPr>
            <w:tcW w:type="dxa" w:w="17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Right — this work</w:t>
            </w:r>
          </w:p>
        </w:tc>
        <w:tc>
          <w:tcPr>
            <w:tcW w:type="dxa" w:w="17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Right — prior</w:t>
            </w:r>
          </w:p>
        </w:tc>
      </w:tr>
      <w:tr>
        <w:trPr>
          <w:cantSplit/>
        </w:trPr>
        <w:tc>
          <w:tcPr>
            <w:tcW w:type="dxa" w:w="2226"/>
            <w:tcMar>
              <w:top w:type="dxa" w:w="70"/>
              <w:left w:type="dxa" w:w="110"/>
              <w:bottom w:type="dxa" w:w="70"/>
              <w:right w:type="dxa" w:w="110"/>
            </w:tcMar>
          </w:tcPr>
          <w:p>
            <w:pPr>
              <w:spacing w:after="0" w:line="250"/>
            </w:pPr>
            <w:r>
              <w:rPr>
                <w:rFonts w:ascii="Calibri" w:cs="Calibri" w:eastAsia="Calibri" w:hAnsi="Calibri"/>
                <w:sz w:val="19"/>
                <w:szCs w:val="19"/>
              </w:rPr>
              <w:t xml:space="preserve">Raw</w:t>
            </w:r>
          </w:p>
        </w:tc>
        <w:tc>
          <w:tcPr>
            <w:tcW w:type="dxa" w:w="17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0.746</w:t>
            </w:r>
          </w:p>
        </w:tc>
        <w:tc>
          <w:tcPr>
            <w:tcW w:type="dxa" w:w="17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0.820</w:t>
            </w:r>
          </w:p>
        </w:tc>
        <w:tc>
          <w:tcPr>
            <w:tcW w:type="dxa" w:w="17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0.745</w:t>
            </w:r>
          </w:p>
        </w:tc>
        <w:tc>
          <w:tcPr>
            <w:tcW w:type="dxa" w:w="17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0.750</w:t>
            </w:r>
          </w:p>
        </w:tc>
      </w:tr>
      <w:tr>
        <w:trPr>
          <w:cantSplit/>
        </w:trPr>
        <w:tc>
          <w:tcPr>
            <w:tcW w:type="dxa" w:w="2226"/>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Post-processed</w:t>
            </w:r>
          </w:p>
        </w:tc>
        <w:tc>
          <w:tcPr>
            <w:tcW w:type="dxa" w:w="17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0.748</w:t>
            </w:r>
          </w:p>
        </w:tc>
        <w:tc>
          <w:tcPr>
            <w:tcW w:type="dxa" w:w="17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0.910</w:t>
            </w:r>
          </w:p>
        </w:tc>
        <w:tc>
          <w:tcPr>
            <w:tcW w:type="dxa" w:w="17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0.747</w:t>
            </w:r>
          </w:p>
        </w:tc>
        <w:tc>
          <w:tcPr>
            <w:tcW w:type="dxa" w:w="17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0.900</w:t>
            </w:r>
          </w:p>
        </w:tc>
      </w:tr>
    </w:tbl>
    <w:p>
      <w:pPr>
        <w:spacing w:after="160" w:before="60"/>
      </w:pPr>
      <w:r>
        <w:rPr>
          <w:rFonts w:ascii="Calibri" w:cs="Calibri" w:eastAsia="Calibri" w:hAnsi="Calibri"/>
          <w:i/>
          <w:iCs/>
          <w:color w:val="5A6B7A"/>
          <w:sz w:val="17"/>
          <w:szCs w:val="17"/>
        </w:rPr>
        <w:t xml:space="preserve">Table 1. Mean per-case Dice over 100 validation patients (run5, threshold 0.09; pruning at 30 voxels, keeping the two largest components), against Fayemiwo et al., 2025.</w:t>
      </w:r>
    </w:p>
    <w:p>
      <w:pPr>
        <w:spacing w:after="100" w:before="0" w:line="276"/>
      </w:pPr>
      <w:r>
        <w:rPr>
          <w:rFonts w:ascii="Calibri" w:cs="Calibri" w:eastAsia="Calibri" w:hAnsi="Calibri"/>
          <w:sz w:val="21"/>
          <w:szCs w:val="21"/>
        </w:rPr>
        <w:t xml:space="preserve">The distribution matters more than the mean. Median Dice is 0.784 against a mean of 0.755, so a small tail is carrying the deficit: 6 of 200 gland instances score below 0.5. Two evaluations of the same checkpoint at the same threshold returned raw right-gland means of 0.7527 and 0.7450, which sets a run-to-run noise floor of roughly 0.008 — differences smaller than that are not reported as improvements.</w:t>
      </w:r>
    </w:p>
    <w:p>
      <w:pPr>
        <w:pStyle w:val="Heading1"/>
        <w:spacing w:after="110" w:before="260"/>
      </w:pPr>
      <w:r>
        <w:rPr>
          <w:rFonts w:ascii="Calibri" w:cs="Calibri" w:eastAsia="Calibri" w:hAnsi="Calibri"/>
          <w:b/>
          <w:bCs/>
          <w:color w:val="1F3A54"/>
          <w:sz w:val="26"/>
          <w:szCs w:val="26"/>
        </w:rPr>
        <w:t xml:space="preserve">4.  Stage B — what the failure analysis found</w:t>
      </w:r>
    </w:p>
    <w:p>
      <w:pPr>
        <w:spacing w:after="100" w:before="0" w:line="276"/>
      </w:pPr>
      <w:r>
        <w:rPr>
          <w:rFonts w:ascii="Calibri" w:cs="Calibri" w:eastAsia="Calibri" w:hAnsi="Calibri"/>
          <w:sz w:val="21"/>
          <w:szCs w:val="21"/>
        </w:rPr>
        <w:t xml:space="preserve">A dedicated diagnostic script was built to explain the failing cases rather than tune around them. It ranks failures, audits each gland's geometry through the preprocessing, runs the checkpoint on the case, and separates the candidate explanations. Four hypotheses were tested and all four were rejected.</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500"/>
        <w:gridCol w:w="4200"/>
        <w:gridCol w:w="2326"/>
      </w:tblGrid>
      <w:tr>
        <w:trPr>
          <w:tblHeader/>
        </w:trPr>
        <w:tc>
          <w:tcPr>
            <w:tcW w:type="dxa" w:w="250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Hypothesis</w:t>
            </w:r>
          </w:p>
        </w:tc>
        <w:tc>
          <w:tcPr>
            <w:tcW w:type="dxa" w:w="42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Test</w:t>
            </w:r>
          </w:p>
        </w:tc>
        <w:tc>
          <w:tcPr>
            <w:tcW w:type="dxa" w:w="232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Verdict</w:t>
            </w:r>
          </w:p>
        </w:tc>
      </w:tr>
      <w:tr>
        <w:trPr>
          <w:cantSplit/>
        </w:trPr>
        <w:tc>
          <w:tcPr>
            <w:tcW w:type="dxa" w:w="2500"/>
            <w:tcMar>
              <w:top w:type="dxa" w:w="70"/>
              <w:left w:type="dxa" w:w="110"/>
              <w:bottom w:type="dxa" w:w="70"/>
              <w:right w:type="dxa" w:w="110"/>
            </w:tcMar>
          </w:tcPr>
          <w:p>
            <w:pPr>
              <w:spacing w:after="0" w:line="250"/>
            </w:pPr>
            <w:r>
              <w:rPr>
                <w:rFonts w:ascii="Calibri" w:cs="Calibri" w:eastAsia="Calibri" w:hAnsi="Calibri"/>
                <w:sz w:val="19"/>
                <w:szCs w:val="19"/>
              </w:rPr>
              <w:t xml:space="preserve">Gland cropped out of the field of view</w:t>
            </w:r>
          </w:p>
        </w:tc>
        <w:tc>
          <w:tcPr>
            <w:tcW w:type="dxa" w:w="42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Native bounding box mapped through the same resample and 384 px crop</w:t>
            </w:r>
          </w:p>
        </w:tc>
        <w:tc>
          <w:tcPr>
            <w:tcW w:type="dxa" w:w="23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 all inside, 95–102% of voxels retained</w:t>
            </w:r>
          </w:p>
        </w:tc>
      </w:tr>
      <w:tr>
        <w:trPr>
          <w:cantSplit/>
        </w:trPr>
        <w:tc>
          <w:tcPr>
            <w:tcW w:type="dxa" w:w="25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Left/right channel confusion</w:t>
            </w:r>
          </w:p>
        </w:tc>
        <w:tc>
          <w:tcPr>
            <w:tcW w:type="dxa" w:w="42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Each prediction scored against the opposite gland's truth</w:t>
            </w:r>
          </w:p>
        </w:tc>
        <w:tc>
          <w:tcPr>
            <w:tcW w:type="dxa" w:w="23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 0.000 in every case</w:t>
            </w:r>
          </w:p>
        </w:tc>
      </w:tr>
      <w:tr>
        <w:trPr>
          <w:cantSplit/>
        </w:trPr>
        <w:tc>
          <w:tcPr>
            <w:tcW w:type="dxa" w:w="2500"/>
            <w:tcMar>
              <w:top w:type="dxa" w:w="70"/>
              <w:left w:type="dxa" w:w="110"/>
              <w:bottom w:type="dxa" w:w="70"/>
              <w:right w:type="dxa" w:w="110"/>
            </w:tcMar>
          </w:tcPr>
          <w:p>
            <w:pPr>
              <w:spacing w:after="0" w:line="250"/>
            </w:pPr>
            <w:r>
              <w:rPr>
                <w:rFonts w:ascii="Calibri" w:cs="Calibri" w:eastAsia="Calibri" w:hAnsi="Calibri"/>
                <w:sz w:val="19"/>
                <w:szCs w:val="19"/>
              </w:rPr>
              <w:t xml:space="preserve">Poor threshold calibration</w:t>
            </w:r>
          </w:p>
        </w:tc>
        <w:tc>
          <w:tcPr>
            <w:tcW w:type="dxa" w:w="42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Per-case oracle threshold against one global threshold</w:t>
            </w:r>
          </w:p>
        </w:tc>
        <w:tc>
          <w:tcPr>
            <w:tcW w:type="dxa" w:w="23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 worth only +0.010 Dice</w:t>
            </w:r>
          </w:p>
        </w:tc>
      </w:tr>
      <w:tr>
        <w:trPr>
          <w:cantSplit/>
        </w:trPr>
        <w:tc>
          <w:tcPr>
            <w:tcW w:type="dxa" w:w="25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Coarse slice thickness</w:t>
            </w:r>
          </w:p>
        </w:tc>
        <w:tc>
          <w:tcPr>
            <w:tcW w:type="dxa" w:w="42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Dice bucketed by native z-spacing</w:t>
            </w:r>
          </w:p>
        </w:tc>
        <w:tc>
          <w:tcPr>
            <w:tcW w:type="dxa" w:w="23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and inverted — ≥5 mm scores 0.757, 2–3 mm scores 0.727</w:t>
            </w:r>
          </w:p>
        </w:tc>
      </w:tr>
    </w:tbl>
    <w:p>
      <w:pPr>
        <w:spacing w:after="160" w:before="60"/>
      </w:pPr>
      <w:r>
        <w:rPr>
          <w:rFonts w:ascii="Calibri" w:cs="Calibri" w:eastAsia="Calibri" w:hAnsi="Calibri"/>
          <w:i/>
          <w:iCs/>
          <w:color w:val="5A6B7A"/>
          <w:sz w:val="17"/>
          <w:szCs w:val="17"/>
        </w:rPr>
        <w:t xml:space="preserve">Table 2. Four candidate explanations for the failure tail, all eliminated. The slice-thickness result argues against the planned finer-z-spacing run.</w:t>
      </w:r>
    </w:p>
    <w:p>
      <w:pPr>
        <w:spacing w:after="100" w:before="0" w:line="276"/>
      </w:pPr>
      <w:r>
        <w:rPr>
          <w:rFonts w:ascii="Calibri" w:cs="Calibri" w:eastAsia="Calibri" w:hAnsi="Calibri"/>
          <w:sz w:val="21"/>
          <w:szCs w:val="21"/>
        </w:rPr>
        <w:t xml:space="preserve">One signal survived, and it is unambiguous: performance depends on gland size.</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800"/>
        <w:gridCol w:w="1400"/>
        <w:gridCol w:w="1900"/>
        <w:gridCol w:w="2926"/>
      </w:tblGrid>
      <w:tr>
        <w:trPr>
          <w:tblHeader/>
        </w:trPr>
        <w:tc>
          <w:tcPr>
            <w:tcW w:type="dxa" w:w="280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Gland volume</w:t>
            </w:r>
          </w:p>
        </w:tc>
        <w:tc>
          <w:tcPr>
            <w:tcW w:type="dxa" w:w="14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n</w:t>
            </w:r>
          </w:p>
        </w:tc>
        <w:tc>
          <w:tcPr>
            <w:tcW w:type="dxa" w:w="19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Mean Dice</w:t>
            </w:r>
          </w:p>
        </w:tc>
        <w:tc>
          <w:tcPr>
            <w:tcW w:type="dxa" w:w="292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Median</w:t>
            </w:r>
          </w:p>
        </w:tc>
      </w:tr>
      <w:tr>
        <w:trPr>
          <w:cantSplit/>
        </w:trPr>
        <w:tc>
          <w:tcPr>
            <w:tcW w:type="dxa" w:w="2800"/>
            <w:tcMar>
              <w:top w:type="dxa" w:w="70"/>
              <w:left w:type="dxa" w:w="110"/>
              <w:bottom w:type="dxa" w:w="70"/>
              <w:right w:type="dxa" w:w="110"/>
            </w:tcMar>
          </w:tcPr>
          <w:p>
            <w:pPr>
              <w:spacing w:after="0" w:line="250"/>
            </w:pPr>
            <w:r>
              <w:rPr>
                <w:rFonts w:ascii="Calibri" w:cs="Calibri" w:eastAsia="Calibri" w:hAnsi="Calibri"/>
                <w:sz w:val="19"/>
                <w:szCs w:val="19"/>
              </w:rPr>
              <w:t xml:space="preserve">&lt; 2 630 mm³</w:t>
            </w:r>
          </w:p>
        </w:tc>
        <w:tc>
          <w:tcPr>
            <w:tcW w:type="dxa" w:w="14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49</w:t>
            </w:r>
          </w:p>
        </w:tc>
        <w:tc>
          <w:tcPr>
            <w:tcW w:type="dxa" w:w="19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0.676</w:t>
            </w:r>
          </w:p>
        </w:tc>
        <w:tc>
          <w:tcPr>
            <w:tcW w:type="dxa" w:w="29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0.721</w:t>
            </w:r>
          </w:p>
        </w:tc>
      </w:tr>
      <w:tr>
        <w:trPr>
          <w:cantSplit/>
        </w:trPr>
        <w:tc>
          <w:tcPr>
            <w:tcW w:type="dxa" w:w="28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2 630 – 3 295 mm³</w:t>
            </w:r>
          </w:p>
        </w:tc>
        <w:tc>
          <w:tcPr>
            <w:tcW w:type="dxa" w:w="14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50</w:t>
            </w:r>
          </w:p>
        </w:tc>
        <w:tc>
          <w:tcPr>
            <w:tcW w:type="dxa" w:w="19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0.755</w:t>
            </w:r>
          </w:p>
        </w:tc>
        <w:tc>
          <w:tcPr>
            <w:tcW w:type="dxa" w:w="29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0.772</w:t>
            </w:r>
          </w:p>
        </w:tc>
      </w:tr>
      <w:tr>
        <w:trPr>
          <w:cantSplit/>
        </w:trPr>
        <w:tc>
          <w:tcPr>
            <w:tcW w:type="dxa" w:w="2800"/>
            <w:tcMar>
              <w:top w:type="dxa" w:w="70"/>
              <w:left w:type="dxa" w:w="110"/>
              <w:bottom w:type="dxa" w:w="70"/>
              <w:right w:type="dxa" w:w="110"/>
            </w:tcMar>
          </w:tcPr>
          <w:p>
            <w:pPr>
              <w:spacing w:after="0" w:line="250"/>
            </w:pPr>
            <w:r>
              <w:rPr>
                <w:rFonts w:ascii="Calibri" w:cs="Calibri" w:eastAsia="Calibri" w:hAnsi="Calibri"/>
                <w:sz w:val="19"/>
                <w:szCs w:val="19"/>
              </w:rPr>
              <w:t xml:space="preserve">3 295 – 4 150 mm³</w:t>
            </w:r>
          </w:p>
        </w:tc>
        <w:tc>
          <w:tcPr>
            <w:tcW w:type="dxa" w:w="14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50</w:t>
            </w:r>
          </w:p>
        </w:tc>
        <w:tc>
          <w:tcPr>
            <w:tcW w:type="dxa" w:w="19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0.776</w:t>
            </w:r>
          </w:p>
        </w:tc>
        <w:tc>
          <w:tcPr>
            <w:tcW w:type="dxa" w:w="29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0.799</w:t>
            </w:r>
          </w:p>
        </w:tc>
      </w:tr>
      <w:tr>
        <w:trPr>
          <w:cantSplit/>
        </w:trPr>
        <w:tc>
          <w:tcPr>
            <w:tcW w:type="dxa" w:w="28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&gt; 4 150 mm³</w:t>
            </w:r>
          </w:p>
        </w:tc>
        <w:tc>
          <w:tcPr>
            <w:tcW w:type="dxa" w:w="14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51</w:t>
            </w:r>
          </w:p>
        </w:tc>
        <w:tc>
          <w:tcPr>
            <w:tcW w:type="dxa" w:w="19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0.773</w:t>
            </w:r>
          </w:p>
        </w:tc>
        <w:tc>
          <w:tcPr>
            <w:tcW w:type="dxa" w:w="29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0.801</w:t>
            </w:r>
          </w:p>
        </w:tc>
      </w:tr>
    </w:tbl>
    <w:p>
      <w:pPr>
        <w:spacing w:after="160" w:before="60"/>
      </w:pPr>
      <w:r>
        <w:rPr>
          <w:rFonts w:ascii="Calibri" w:cs="Calibri" w:eastAsia="Calibri" w:hAnsi="Calibri"/>
          <w:i/>
          <w:iCs/>
          <w:color w:val="5A6B7A"/>
          <w:sz w:val="17"/>
          <w:szCs w:val="17"/>
        </w:rPr>
        <w:t xml:space="preserve">Table 3. The top three quartiles are flat; the smallest quartile sits 0.10 below and contains every catastrophic failure.</w:t>
      </w:r>
    </w:p>
    <w:p>
      <w:pPr>
        <w:spacing w:after="100" w:before="0" w:line="276"/>
      </w:pPr>
      <w:r>
        <w:rPr>
          <w:rFonts w:ascii="Calibri" w:cs="Calibri" w:eastAsia="Calibri" w:hAnsi="Calibri"/>
          <w:sz w:val="21"/>
          <w:szCs w:val="21"/>
        </w:rPr>
        <w:t xml:space="preserve">Lifting the bottom quartile to the second quartile's level would put the overall mean at 0.765 — real, but not 0.82. Two mechanisms are worth testing: the gland occupies roughly 0.3% of a 384×384 field, so an in-plane ROI cascade would raise effective resolution exactly where performance falls off; and batch-pooled Dice weights voxels equally, so a 6 000 mm³ gland contributes ten times the gradient of a 600 mm³ one.</w:t>
      </w:r>
    </w:p>
    <w:p>
      <w:pPr>
        <w:pStyle w:val="Heading2"/>
        <w:spacing w:after="80" w:before="180"/>
      </w:pPr>
      <w:r>
        <w:rPr>
          <w:rFonts w:ascii="Calibri" w:cs="Calibri" w:eastAsia="Calibri" w:hAnsi="Calibri"/>
          <w:b/>
          <w:bCs/>
          <w:color w:val="33566F"/>
          <w:sz w:val="22"/>
          <w:szCs w:val="22"/>
        </w:rPr>
        <w:t xml:space="preserve">Post-processing contributes almost nothing — and this explains the prior paper</w:t>
      </w:r>
    </w:p>
    <w:p>
      <w:pPr>
        <w:spacing w:after="100" w:before="0" w:line="276"/>
      </w:pPr>
      <w:r>
        <w:rPr>
          <w:rFonts w:ascii="Calibri" w:cs="Calibri" w:eastAsia="Calibri" w:hAnsi="Calibri"/>
          <w:sz w:val="21"/>
          <w:szCs w:val="21"/>
        </w:rPr>
        <w:t xml:space="preserve">Connected-component post-processing adds +0.002 Dice. Predictions average only 2.2–2.7 components per gland with roughly one removable, so there is nothing to clean up. Worse, keep-largest-1 actively manufactured two of the exact 0.000 scores by deleting a correct component in favour of a larger incorrect one; keep-largest-2 removes those artefacts at a cost below the noise floor and is now the setting used.</w:t>
      </w:r>
    </w:p>
    <w:p>
      <w:pPr>
        <w:spacing w:after="100" w:before="0" w:line="276"/>
      </w:pPr>
      <w:r>
        <w:rPr>
          <w:rFonts w:ascii="Calibri" w:cs="Calibri" w:eastAsia="Calibri" w:hAnsi="Calibri"/>
          <w:sz w:val="21"/>
          <w:szCs w:val="21"/>
        </w:rPr>
        <w:t xml:space="preserve">This also explains the prior pipeline's large post-processing gain. Moving 0.82 to 0.91 purely by deleting false-positive components implies roughly 24% false-positive voxels in removable fragments — which is what a per-slice 2D model produces, because nothing ties one slice's prediction to the next. The 2.5D formulation eliminates that fragmentation. The prior gain is therefore a symptom of a defect this pipeline does not have, not a benefit it fails to reproduce.</w:t>
      </w:r>
    </w:p>
    <w:p>
      <w:pPr>
        <w:pStyle w:val="Heading1"/>
        <w:spacing w:after="110" w:before="260"/>
      </w:pPr>
      <w:r>
        <w:rPr>
          <w:rFonts w:ascii="Calibri" w:cs="Calibri" w:eastAsia="Calibri" w:hAnsi="Calibri"/>
          <w:b/>
          <w:bCs/>
          <w:color w:val="1F3A54"/>
          <w:sz w:val="26"/>
          <w:szCs w:val="26"/>
        </w:rPr>
        <w:t xml:space="preserve">5.  Stage A — the gate ablation</w:t>
      </w:r>
    </w:p>
    <w:p>
      <w:pPr>
        <w:spacing w:after="100" w:before="0" w:line="276"/>
      </w:pPr>
      <w:r>
        <w:rPr>
          <w:rFonts w:ascii="Calibri" w:cs="Calibri" w:eastAsia="Calibri" w:hAnsi="Calibri"/>
          <w:sz w:val="21"/>
          <w:szCs w:val="21"/>
        </w:rPr>
        <w:t xml:space="preserve">Stage A had never been trained. A single training entry point now covers three arms, selected by one flag each, with sampler, augmentation, schedule, seed, loss and metric held identical — the claim is that the spiking gate wins given the same windows, which is only measurable if nothing else varies. Augmentation applies one affine and one intensity transform per sample, shared across all k slices, because augmenting slices independently would destroy the craniocaudal coherence the model exists to integrate.</w:t>
      </w:r>
    </w:p>
    <w:p>
      <w:pPr>
        <w:spacing w:after="100" w:before="0" w:line="276"/>
      </w:pPr>
      <w:r>
        <w:rPr>
          <w:rFonts w:ascii="Calibri" w:cs="Calibri" w:eastAsia="Calibri" w:hAnsi="Calibri"/>
          <w:sz w:val="21"/>
          <w:szCs w:val="21"/>
        </w:rPr>
        <w:t xml:space="preserve">The operating threshold is chosen post hoc as the highest threshold retaining 99% of gland-bearing slices, since a missed positive slice removes tissue from Stage B permanently while a false positive costs one wasted segmentation. Checkpoints are selected on PR-AUC, which is threshold-free and stable early in training.</w:t>
      </w:r>
    </w:p>
    <w:p>
      <w:pPr>
        <w:pStyle w:val="Heading2"/>
        <w:spacing w:after="80" w:before="180"/>
      </w:pPr>
      <w:r>
        <w:rPr>
          <w:rFonts w:ascii="Calibri" w:cs="Calibri" w:eastAsia="Calibri" w:hAnsi="Calibri"/>
          <w:b/>
          <w:bCs/>
          <w:color w:val="33566F"/>
          <w:sz w:val="22"/>
          <w:szCs w:val="22"/>
        </w:rPr>
        <w:t xml:space="preserve">Capacity matching — a confound found before it did damage</w:t>
      </w:r>
    </w:p>
    <w:p>
      <w:pPr>
        <w:spacing w:after="100" w:before="0" w:line="276"/>
      </w:pPr>
      <w:r>
        <w:rPr>
          <w:rFonts w:ascii="Calibri" w:cs="Calibri" w:eastAsia="Calibri" w:hAnsi="Calibri"/>
          <w:sz w:val="21"/>
          <w:szCs w:val="21"/>
        </w:rPr>
        <w:t xml:space="preserve">A startup check that counts both models' parameters found that the CNN-LSTM baseline carried 417 762 parameters against the spiking gate's 285 666 — 46% more, from the LSTM's four gate matrices, for which LIF membrane integration has no counterpart. The 'matched-capacity baseline' described in the methodology did not hold. An lstm_hidden option was added (defaulting to the original 128, so nothing existing changed); at 32 the baseline has 281 826 parameters, within 2%. All results below use the matched configuration.</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650"/>
        <w:gridCol w:w="2500"/>
        <w:gridCol w:w="1450"/>
        <w:gridCol w:w="1300"/>
        <w:gridCol w:w="1126"/>
      </w:tblGrid>
      <w:tr>
        <w:trPr>
          <w:tblHeader/>
        </w:trPr>
        <w:tc>
          <w:tcPr>
            <w:tcW w:type="dxa" w:w="265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Arm</w:t>
            </w:r>
          </w:p>
        </w:tc>
        <w:tc>
          <w:tcPr>
            <w:tcW w:type="dxa" w:w="25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What it is</w:t>
            </w:r>
          </w:p>
        </w:tc>
        <w:tc>
          <w:tcPr>
            <w:tcW w:type="dxa" w:w="145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PR-AUC</w:t>
            </w:r>
          </w:p>
        </w:tc>
        <w:tc>
          <w:tcPr>
            <w:tcW w:type="dxa" w:w="13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Slices removed</w:t>
            </w:r>
          </w:p>
        </w:tc>
        <w:tc>
          <w:tcPr>
            <w:tcW w:type="dxa" w:w="112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Train / val loss</w:t>
            </w:r>
          </w:p>
        </w:tc>
      </w:tr>
      <w:tr>
        <w:trPr>
          <w:cantSplit/>
        </w:trPr>
        <w:tc>
          <w:tcPr>
            <w:tcW w:type="dxa" w:w="2650"/>
            <w:tcMar>
              <w:top w:type="dxa" w:w="70"/>
              <w:left w:type="dxa" w:w="110"/>
              <w:bottom w:type="dxa" w:w="70"/>
              <w:right w:type="dxa" w:w="110"/>
            </w:tcMar>
          </w:tcPr>
          <w:p>
            <w:pPr>
              <w:spacing w:after="0" w:line="250"/>
            </w:pPr>
            <w:r>
              <w:rPr>
                <w:rFonts w:ascii="Calibri" w:cs="Calibri" w:eastAsia="Calibri" w:hAnsi="Calibri"/>
                <w:sz w:val="19"/>
                <w:szCs w:val="19"/>
              </w:rPr>
              <w:t xml:space="preserve">E — spiking gate</w:t>
            </w:r>
          </w:p>
        </w:tc>
        <w:tc>
          <w:tcPr>
            <w:tcW w:type="dxa" w:w="25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k slices as k time steps</w:t>
            </w:r>
          </w:p>
        </w:tc>
        <w:tc>
          <w:tcPr>
            <w:tcW w:type="dxa" w:w="14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0.761</w:t>
            </w:r>
          </w:p>
        </w:tc>
        <w:tc>
          <w:tcPr>
            <w:tcW w:type="dxa" w:w="13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~44%</w:t>
            </w:r>
          </w:p>
        </w:tc>
        <w:tc>
          <w:tcPr>
            <w:tcW w:type="dxa" w:w="11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0.166 / 0.326</w:t>
            </w:r>
          </w:p>
        </w:tc>
      </w:tr>
      <w:tr>
        <w:trPr>
          <w:cantSplit/>
        </w:trPr>
        <w:tc>
          <w:tcPr>
            <w:tcW w:type="dxa" w:w="265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 — CNN-LSTM</w:t>
            </w:r>
          </w:p>
        </w:tc>
        <w:tc>
          <w:tcPr>
            <w:tcW w:type="dxa" w:w="25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matched-capacity recurrent</w:t>
            </w:r>
          </w:p>
        </w:tc>
        <w:tc>
          <w:tcPr>
            <w:tcW w:type="dxa" w:w="14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0.882</w:t>
            </w:r>
          </w:p>
        </w:tc>
        <w:tc>
          <w:tcPr>
            <w:tcW w:type="dxa" w:w="13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59%</w:t>
            </w:r>
          </w:p>
        </w:tc>
        <w:tc>
          <w:tcPr>
            <w:tcW w:type="dxa" w:w="11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0.185 / 0.193</w:t>
            </w:r>
          </w:p>
        </w:tc>
      </w:tr>
      <w:tr>
        <w:trPr>
          <w:cantSplit/>
        </w:trPr>
        <w:tc>
          <w:tcPr>
            <w:tcW w:type="dxa" w:w="2650"/>
            <w:tcMar>
              <w:top w:type="dxa" w:w="70"/>
              <w:left w:type="dxa" w:w="110"/>
              <w:bottom w:type="dxa" w:w="70"/>
              <w:right w:type="dxa" w:w="110"/>
            </w:tcMar>
          </w:tcPr>
          <w:p>
            <w:pPr>
              <w:spacing w:after="0" w:line="250"/>
            </w:pPr>
            <w:r>
              <w:rPr>
                <w:rFonts w:ascii="Calibri" w:cs="Calibri" w:eastAsia="Calibri" w:hAnsi="Calibri"/>
                <w:sz w:val="19"/>
                <w:szCs w:val="19"/>
              </w:rPr>
              <w:t xml:space="preserve">G — spiking, static</w:t>
            </w:r>
          </w:p>
        </w:tc>
        <w:tc>
          <w:tcPr>
            <w:tcW w:type="dxa" w:w="25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centre slice repeated k times</w:t>
            </w:r>
          </w:p>
        </w:tc>
        <w:tc>
          <w:tcPr>
            <w:tcW w:type="dxa" w:w="14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0.757</w:t>
            </w:r>
          </w:p>
        </w:tc>
        <w:tc>
          <w:tcPr>
            <w:tcW w:type="dxa" w:w="13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42%</w:t>
            </w:r>
          </w:p>
        </w:tc>
        <w:tc>
          <w:tcPr>
            <w:tcW w:type="dxa" w:w="11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0.195 / 0.433</w:t>
            </w:r>
          </w:p>
        </w:tc>
      </w:tr>
    </w:tbl>
    <w:p>
      <w:pPr>
        <w:spacing w:after="160" w:before="60"/>
      </w:pPr>
      <w:r>
        <w:rPr>
          <w:rFonts w:ascii="Calibri" w:cs="Calibri" w:eastAsia="Calibri" w:hAnsi="Calibri"/>
          <w:i/>
          <w:iCs/>
          <w:color w:val="5A6B7A"/>
          <w:sz w:val="17"/>
          <w:szCs w:val="17"/>
        </w:rPr>
        <w:t xml:space="preserve">Table 4. Best PR-AUC per arm; slice reduction at 99% retention. Arms D and G were still running at last observation, so their figures are lower bounds. Retention was 99.0–99.1% throughout.</w:t>
      </w:r>
    </w:p>
    <w:p>
      <w:pPr>
        <w:spacing w:after="100" w:before="0" w:line="276"/>
      </w:pPr>
      <w:r>
        <w:rPr>
          <w:rFonts w:ascii="Calibri" w:cs="Calibri" w:eastAsia="Calibri" w:hAnsi="Calibri"/>
          <w:b/>
          <w:bCs/>
          <w:sz w:val="21"/>
          <w:szCs w:val="21"/>
        </w:rPr>
        <w:t xml:space="preserve">Two findings, both negative for the central claim. </w:t>
      </w:r>
      <w:r>
        <w:rPr>
          <w:rFonts w:ascii="Calibri" w:cs="Calibri" w:eastAsia="Calibri" w:hAnsi="Calibri"/>
          <w:sz w:val="21"/>
          <w:szCs w:val="21"/>
        </w:rPr>
        <w:t xml:space="preserve">First, the matched baseline beats the spiking gate by 0.121 PR-AUC and removes fifteen percentage points more slices at the same retention, while training faster (9 s against 13 s per epoch). Second, and more damaging: arm E exceeds arm G by 0.0035. Feeding the gate five different anatomical slices is indistinguishable from feeding it the same slice five times. Adjacent epochs within a single arm swing by 0.05–0.10, so the treatment-versus-control gap is roughly 4% of the noise in one run.</w:t>
      </w:r>
    </w:p>
    <w:p>
      <w:pPr>
        <w:spacing w:after="100" w:before="0" w:line="276"/>
      </w:pPr>
      <w:r>
        <w:rPr>
          <w:rFonts w:ascii="Calibri" w:cs="Calibri" w:eastAsia="Calibri" w:hAnsi="Calibri"/>
          <w:sz w:val="21"/>
          <w:szCs w:val="21"/>
        </w:rPr>
        <w:t xml:space="preserve">A consistent secondary signal: both spiking arms overfit badly (train/val gaps of 0.160 and 0.238) while the recurrent baseline does not (0.007), on identical data and augmentation. Whatever limits the spiking gate here is about generalisation, not capacity.</w:t>
      </w:r>
    </w:p>
    <w:p>
      <w:pPr>
        <w:spacing w:after="100" w:before="0" w:line="276"/>
      </w:pPr>
      <w:r>
        <w:rPr>
          <w:rFonts w:ascii="Calibri" w:cs="Calibri" w:eastAsia="Calibri" w:hAnsi="Calibri"/>
          <w:b/>
          <w:bCs/>
          <w:sz w:val="21"/>
          <w:szCs w:val="21"/>
        </w:rPr>
        <w:t xml:space="preserve">Diagnosis. </w:t>
      </w:r>
      <w:r>
        <w:rPr>
          <w:rFonts w:ascii="Calibri" w:cs="Calibri" w:eastAsia="Calibri" w:hAnsi="Calibri"/>
          <w:sz w:val="21"/>
          <w:szCs w:val="21"/>
        </w:rPr>
        <w:t xml:space="preserve">The most likely structural cause is the readout. The classifier receives a rate code — a spike count per readout neuron, an integer in 0–5 — so the entire temporal trajectory built by the LIF dynamics is compressed into a count before anything reads it. Counting is near order-blind, which is exactly what 'arm E equals arm G' looks like from outside. A non-spiking leaky-integrator readout is the standard alternative and costs no parameters. A second candidate: BatchNorm is applied at every time step with one set of running statistics updated k times per forward pass on k different distributions, a train/eval mismatch that would explain the overfitting gap.</w:t>
      </w:r>
    </w:p>
    <w:p>
      <w:pPr>
        <w:pStyle w:val="Heading1"/>
        <w:spacing w:after="110" w:before="260"/>
      </w:pPr>
      <w:r>
        <w:rPr>
          <w:rFonts w:ascii="Calibri" w:cs="Calibri" w:eastAsia="Calibri" w:hAnsi="Calibri"/>
          <w:b/>
          <w:bCs/>
          <w:color w:val="1F3A54"/>
          <w:sz w:val="26"/>
          <w:szCs w:val="26"/>
        </w:rPr>
        <w:t xml:space="preserve">6.  What worked and what failed</w:t>
      </w:r>
    </w:p>
    <w:p>
      <w:pPr>
        <w:pStyle w:val="Heading2"/>
        <w:spacing w:after="80" w:before="180"/>
      </w:pPr>
      <w:r>
        <w:rPr>
          <w:rFonts w:ascii="Calibri" w:cs="Calibri" w:eastAsia="Calibri" w:hAnsi="Calibri"/>
          <w:b/>
          <w:bCs/>
          <w:color w:val="33566F"/>
          <w:sz w:val="22"/>
          <w:szCs w:val="22"/>
        </w:rPr>
        <w:t xml:space="preserve">Worked</w:t>
      </w:r>
    </w:p>
    <w:p>
      <w:pPr>
        <w:pStyle w:val="ListParagraph"/>
        <w:numPr>
          <w:ilvl w:val="0"/>
          <w:numId w:val="1"/>
        </w:numPr>
        <w:spacing w:after="60" w:line="276"/>
      </w:pPr>
      <w:r>
        <w:rPr>
          <w:rFonts w:ascii="Calibri" w:cs="Calibri" w:eastAsia="Calibri" w:hAnsi="Calibri"/>
          <w:sz w:val="21"/>
          <w:szCs w:val="21"/>
        </w:rPr>
        <w:t xml:space="preserve">Batch-pooled Dice loss. Two training runs collapsed to all-zero predictions before the cause was found: per-sample Dice on an empty target channel is ~1.0 for any non-zero prediction, so roughly half of all (sample, channel) pairs were emitting a gradient that said 'predict nothing'. Pooling over the batch removed the pathology.</w:t>
      </w:r>
    </w:p>
    <w:p>
      <w:pPr>
        <w:pStyle w:val="ListParagraph"/>
        <w:numPr>
          <w:ilvl w:val="0"/>
          <w:numId w:val="1"/>
        </w:numPr>
        <w:spacing w:after="60" w:line="276"/>
      </w:pPr>
      <w:r>
        <w:rPr>
          <w:rFonts w:ascii="Calibri" w:cs="Calibri" w:eastAsia="Calibri" w:hAnsi="Calibri"/>
          <w:sz w:val="21"/>
          <w:szCs w:val="21"/>
        </w:rPr>
        <w:t xml:space="preserve">Restricting to CT. AMOS22 Task 2 mixes CT and MRI, and HU windowing makes MRI unusable — MRI scored 0.529/0.469 against CT's 0.754/0.752. The failure tail was largely modality contamination.</w:t>
      </w:r>
    </w:p>
    <w:p>
      <w:pPr>
        <w:pStyle w:val="ListParagraph"/>
        <w:numPr>
          <w:ilvl w:val="0"/>
          <w:numId w:val="1"/>
        </w:numPr>
        <w:spacing w:after="60" w:line="276"/>
      </w:pPr>
      <w:r>
        <w:rPr>
          <w:rFonts w:ascii="Calibri" w:cs="Calibri" w:eastAsia="Calibri" w:hAnsi="Calibri"/>
          <w:sz w:val="21"/>
          <w:szCs w:val="21"/>
        </w:rPr>
        <w:t xml:space="preserve">Mean per-case Dice, and an extended threshold sweep. An early evaluation used pooled aggregate Dice, which is not what papers report; and the threshold optimum was landing on the floor of its own search range until the sweep was extended to 0.01.</w:t>
      </w:r>
    </w:p>
    <w:p>
      <w:pPr>
        <w:pStyle w:val="ListParagraph"/>
        <w:numPr>
          <w:ilvl w:val="0"/>
          <w:numId w:val="1"/>
        </w:numPr>
        <w:spacing w:after="60" w:line="276"/>
      </w:pPr>
      <w:r>
        <w:rPr>
          <w:rFonts w:ascii="Calibri" w:cs="Calibri" w:eastAsia="Calibri" w:hAnsi="Calibri"/>
          <w:sz w:val="21"/>
          <w:szCs w:val="21"/>
        </w:rPr>
        <w:t xml:space="preserve">The 2.5D formulation itself, on evidence rather than assertion: 2.2–2.7 components per predicted gland, against the fragmentation implied by the prior 2D pipeline's post-processing gain.</w:t>
      </w:r>
    </w:p>
    <w:p>
      <w:pPr>
        <w:pStyle w:val="ListParagraph"/>
        <w:numPr>
          <w:ilvl w:val="0"/>
          <w:numId w:val="1"/>
        </w:numPr>
        <w:spacing w:after="60" w:line="276"/>
      </w:pPr>
      <w:r>
        <w:rPr>
          <w:rFonts w:ascii="Calibri" w:cs="Calibri" w:eastAsia="Calibri" w:hAnsi="Calibri"/>
          <w:sz w:val="21"/>
          <w:szCs w:val="21"/>
        </w:rPr>
        <w:t xml:space="preserve">Building diagnostics before tuning. The failure-inspection and cohort tools eliminated four hypotheses in one run each, and the capacity check caught a confound that would have invalidated the headline comparison.</w:t>
      </w:r>
    </w:p>
    <w:p>
      <w:pPr>
        <w:pStyle w:val="Heading2"/>
        <w:spacing w:after="80" w:before="180"/>
      </w:pPr>
      <w:r>
        <w:rPr>
          <w:rFonts w:ascii="Calibri" w:cs="Calibri" w:eastAsia="Calibri" w:hAnsi="Calibri"/>
          <w:b/>
          <w:bCs/>
          <w:color w:val="33566F"/>
          <w:sz w:val="22"/>
          <w:szCs w:val="22"/>
        </w:rPr>
        <w:t xml:space="preserve">Failed, and what it cost</w:t>
      </w:r>
    </w:p>
    <w:p>
      <w:pPr>
        <w:pStyle w:val="ListParagraph"/>
        <w:numPr>
          <w:ilvl w:val="0"/>
          <w:numId w:val="1"/>
        </w:numPr>
        <w:spacing w:after="60" w:line="276"/>
      </w:pPr>
      <w:r>
        <w:rPr>
          <w:rFonts w:ascii="Calibri" w:cs="Calibri" w:eastAsia="Calibri" w:hAnsi="Calibri"/>
          <w:sz w:val="21"/>
          <w:szCs w:val="21"/>
        </w:rPr>
        <w:t xml:space="preserve">The spiking gate's central premise. Both pre-registered falsification conditions fired: it loses to the matched baseline, and it does not beat its own static-repeat control.</w:t>
      </w:r>
    </w:p>
    <w:p>
      <w:pPr>
        <w:pStyle w:val="ListParagraph"/>
        <w:numPr>
          <w:ilvl w:val="0"/>
          <w:numId w:val="1"/>
        </w:numPr>
        <w:spacing w:after="60" w:line="276"/>
      </w:pPr>
      <w:r>
        <w:rPr>
          <w:rFonts w:ascii="Calibri" w:cs="Calibri" w:eastAsia="Calibri" w:hAnsi="Calibri"/>
          <w:sz w:val="21"/>
          <w:szCs w:val="21"/>
        </w:rPr>
        <w:t xml:space="preserve">Calibration as an explanation for Stage B's tail. A per-case oracle threshold is worth +0.010, so the wide spread of per-case optima is real but inconsequential — the Dice-versus-threshold curve is flat near its optimum.</w:t>
      </w:r>
    </w:p>
    <w:p>
      <w:pPr>
        <w:pStyle w:val="ListParagraph"/>
        <w:numPr>
          <w:ilvl w:val="0"/>
          <w:numId w:val="1"/>
        </w:numPr>
        <w:spacing w:after="60" w:line="276"/>
      </w:pPr>
      <w:r>
        <w:rPr>
          <w:rFonts w:ascii="Calibri" w:cs="Calibri" w:eastAsia="Calibri" w:hAnsi="Calibri"/>
          <w:sz w:val="21"/>
          <w:szCs w:val="21"/>
        </w:rPr>
        <w:t xml:space="preserve">The finer-z-spacing hypothesis, before it was run. Thick slices score better, most likely because a 5 mm annotation is a cruder and smoother object. The planned run was cancelled on the evidence.</w:t>
      </w:r>
    </w:p>
    <w:p>
      <w:pPr>
        <w:pStyle w:val="ListParagraph"/>
        <w:numPr>
          <w:ilvl w:val="0"/>
          <w:numId w:val="1"/>
        </w:numPr>
        <w:spacing w:after="60" w:line="276"/>
      </w:pPr>
      <w:r>
        <w:rPr>
          <w:rFonts w:ascii="Calibri" w:cs="Calibri" w:eastAsia="Calibri" w:hAnsi="Calibri"/>
          <w:sz w:val="21"/>
          <w:szCs w:val="21"/>
        </w:rPr>
        <w:t xml:space="preserve">keep-largest-1 post-processing, which manufactured Dice scores of exactly 0.000 on cases the model had partly found.</w:t>
      </w:r>
    </w:p>
    <w:p>
      <w:pPr>
        <w:pStyle w:val="ListParagraph"/>
        <w:numPr>
          <w:ilvl w:val="0"/>
          <w:numId w:val="1"/>
        </w:numPr>
        <w:spacing w:after="60" w:line="276"/>
      </w:pPr>
      <w:r>
        <w:rPr>
          <w:rFonts w:ascii="Calibri" w:cs="Calibri" w:eastAsia="Calibri" w:hAnsi="Calibri"/>
          <w:sz w:val="21"/>
          <w:szCs w:val="21"/>
        </w:rPr>
        <w:t xml:space="preserve">Two learning-rate and loss configurations that collapsed outright, and an evaluation on 20 cases that hid a failure tail visible at 100.</w:t>
      </w:r>
    </w:p>
    <w:p>
      <w:pPr>
        <w:pStyle w:val="Heading1"/>
        <w:spacing w:after="110" w:before="260"/>
      </w:pPr>
      <w:r>
        <w:rPr>
          <w:rFonts w:ascii="Calibri" w:cs="Calibri" w:eastAsia="Calibri" w:hAnsi="Calibri"/>
          <w:b/>
          <w:bCs/>
          <w:color w:val="1F3A54"/>
          <w:sz w:val="26"/>
          <w:szCs w:val="26"/>
        </w:rPr>
        <w:t xml:space="preserve">7.  Open questions and next steps</w:t>
      </w:r>
    </w:p>
    <w:p>
      <w:pPr>
        <w:spacing w:after="100" w:before="0" w:line="276"/>
      </w:pPr>
      <w:r>
        <w:rPr>
          <w:rFonts w:ascii="Calibri" w:cs="Calibri" w:eastAsia="Calibri" w:hAnsi="Calibri"/>
          <w:b/>
          <w:bCs/>
          <w:sz w:val="21"/>
          <w:szCs w:val="21"/>
        </w:rPr>
        <w:t xml:space="preserve">1.  Establish whether the prior comparison is like-for-like. </w:t>
      </w:r>
      <w:r>
        <w:rPr>
          <w:rFonts w:ascii="Calibri" w:cs="Calibri" w:eastAsia="Calibri" w:hAnsi="Calibri"/>
          <w:sz w:val="21"/>
          <w:szCs w:val="21"/>
        </w:rPr>
        <w:t xml:space="preserve">Two unknowns, both cheap and worth up to 0.16 Dice: which cohort the 2025 paper was evaluated on (if not AMOS22, the difference is largely dataset), and whether its Dice was computed per patient over the volume or per slice averaged over slices. Until this is answered, further tuning aims at a target that may not exist.</w:t>
      </w:r>
    </w:p>
    <w:p>
      <w:pPr>
        <w:spacing w:after="100" w:before="0" w:line="276"/>
      </w:pPr>
      <w:r>
        <w:rPr>
          <w:rFonts w:ascii="Calibri" w:cs="Calibri" w:eastAsia="Calibri" w:hAnsi="Calibri"/>
          <w:b/>
          <w:bCs/>
          <w:sz w:val="21"/>
          <w:szCs w:val="21"/>
        </w:rPr>
        <w:t xml:space="preserve">2.  Replicate the gate arms across seeds. </w:t>
      </w:r>
      <w:r>
        <w:rPr>
          <w:rFonts w:ascii="Calibri" w:cs="Calibri" w:eastAsia="Calibri" w:hAnsi="Calibri"/>
          <w:sz w:val="21"/>
          <w:szCs w:val="21"/>
        </w:rPr>
        <w:t xml:space="preserve">'The sequence encoding provides no benefit' is a null result, and a null result from one seed per arm is not a finding. Three to five seeds per arm, reporting mean ± sd, costs about three hours at 13 minutes per arm.</w:t>
      </w:r>
    </w:p>
    <w:p>
      <w:pPr>
        <w:spacing w:after="100" w:before="0" w:line="276"/>
      </w:pPr>
      <w:r>
        <w:rPr>
          <w:rFonts w:ascii="Calibri" w:cs="Calibri" w:eastAsia="Calibri" w:hAnsi="Calibri"/>
          <w:b/>
          <w:bCs/>
          <w:sz w:val="21"/>
          <w:szCs w:val="21"/>
        </w:rPr>
        <w:t xml:space="preserve">3.  Give the spiking gate a fair hyperparameter attempt. </w:t>
      </w:r>
      <w:r>
        <w:rPr>
          <w:rFonts w:ascii="Calibri" w:cs="Calibri" w:eastAsia="Calibri" w:hAnsi="Calibri"/>
          <w:sz w:val="21"/>
          <w:szCs w:val="21"/>
        </w:rPr>
        <w:t xml:space="preserve">Both spiking arms ran one configuration tuned for neither model. The readout and normalisation changes above, plus beta, firing threshold and surrogate slope, should be added as ablation options — defaulting to current behaviour so existing runs stay reproducible. If the gate still loses after that, the negative result is reported as it stands.</w:t>
      </w:r>
    </w:p>
    <w:p>
      <w:pPr>
        <w:spacing w:after="100" w:before="0" w:line="276"/>
      </w:pPr>
      <w:r>
        <w:rPr>
          <w:rFonts w:ascii="Calibri" w:cs="Calibri" w:eastAsia="Calibri" w:hAnsi="Calibri"/>
          <w:b/>
          <w:bCs/>
          <w:sz w:val="21"/>
          <w:szCs w:val="21"/>
        </w:rPr>
        <w:t xml:space="preserve">4.  Measure the gate on whole volumes. </w:t>
      </w:r>
      <w:r>
        <w:rPr>
          <w:rFonts w:ascii="Calibri" w:cs="Calibri" w:eastAsia="Calibri" w:hAnsi="Calibri"/>
          <w:sz w:val="21"/>
          <w:szCs w:val="21"/>
        </w:rPr>
        <w:t xml:space="preserve">The 59% figure is measured on a cache containing only gland ± 32 slices, so every negative seen is a near-gland slice. In deployment most slices are trivially rejectable, so the true reduction is higher and the current number understates the contribution. The evaluation script for this is written and awaiting the finished runs.</w:t>
      </w:r>
    </w:p>
    <w:p>
      <w:pPr>
        <w:spacing w:after="100" w:before="0" w:line="276"/>
      </w:pPr>
      <w:r>
        <w:rPr>
          <w:rFonts w:ascii="Calibri" w:cs="Calibri" w:eastAsia="Calibri" w:hAnsi="Calibri"/>
          <w:b/>
          <w:bCs/>
          <w:sz w:val="21"/>
          <w:szCs w:val="21"/>
        </w:rPr>
        <w:t xml:space="preserve">5.  Attack small glands in Stage B. </w:t>
      </w:r>
      <w:r>
        <w:rPr>
          <w:rFonts w:ascii="Calibri" w:cs="Calibri" w:eastAsia="Calibri" w:hAnsi="Calibri"/>
          <w:sz w:val="21"/>
          <w:szCs w:val="21"/>
        </w:rPr>
        <w:t xml:space="preserve">The in-plane ROI cascade is the largest available lever, and pooling the Dice loss only over non-empty samples would remove the gland-size gradient bias without reintroducing the collapse.</w:t>
      </w:r>
    </w:p>
    <w:p>
      <w:pPr>
        <w:pStyle w:val="Heading1"/>
        <w:spacing w:after="110" w:before="260"/>
      </w:pPr>
      <w:r>
        <w:rPr>
          <w:rFonts w:ascii="Calibri" w:cs="Calibri" w:eastAsia="Calibri" w:hAnsi="Calibri"/>
          <w:b/>
          <w:bCs/>
          <w:color w:val="1F3A54"/>
          <w:sz w:val="26"/>
          <w:szCs w:val="26"/>
        </w:rPr>
        <w:t xml:space="preserve">8.  Run inventory</w:t>
      </w:r>
    </w:p>
    <w:p>
      <w:pPr>
        <w:spacing w:after="100" w:before="0" w:line="276"/>
      </w:pPr>
      <w:r>
        <w:rPr>
          <w:rFonts w:ascii="Calibri" w:cs="Calibri" w:eastAsia="Calibri" w:hAnsi="Calibri"/>
          <w:sz w:val="21"/>
          <w:szCs w:val="21"/>
        </w:rPr>
        <w:t xml:space="preserve">All artefacts live under runs/&lt;name&gt;/ on the cluster: progress.txt, train.log, metrics.csv, config.json and checkpoints. Stage B diagnostics are in runs/run5/inspection/. Runs 1–4 are superseded — two collapsed during training and two predate the CT-only restriction — and are retained only as a record of the failures in Section 6.</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100"/>
        <w:gridCol w:w="1750"/>
        <w:gridCol w:w="2650"/>
        <w:gridCol w:w="2526"/>
      </w:tblGrid>
      <w:tr>
        <w:trPr>
          <w:tblHeader/>
        </w:trPr>
        <w:tc>
          <w:tcPr>
            <w:tcW w:type="dxa" w:w="210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Run</w:t>
            </w:r>
          </w:p>
        </w:tc>
        <w:tc>
          <w:tcPr>
            <w:tcW w:type="dxa" w:w="175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Stage / arm</w:t>
            </w:r>
          </w:p>
        </w:tc>
        <w:tc>
          <w:tcPr>
            <w:tcW w:type="dxa" w:w="265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Key configuration</w:t>
            </w:r>
          </w:p>
        </w:tc>
        <w:tc>
          <w:tcPr>
            <w:tcW w:type="dxa" w:w="252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Outcome</w:t>
            </w:r>
          </w:p>
        </w:tc>
      </w:tr>
      <w:tr>
        <w:trPr>
          <w:cantSplit/>
        </w:trPr>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run5</w:t>
            </w:r>
          </w:p>
        </w:tc>
        <w:tc>
          <w:tcPr>
            <w:tcW w:type="dxa" w:w="17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Stage B</w:t>
            </w:r>
          </w:p>
        </w:tc>
        <w:tc>
          <w:tcPr>
            <w:tcW w:type="dxa" w:w="26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CT only, two channels, batch-pooled Dice, full augmentation</w:t>
            </w:r>
          </w:p>
        </w:tc>
        <w:tc>
          <w:tcPr>
            <w:tcW w:type="dxa" w:w="25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best epoch 26; Dice 0.748 / 0.747</w:t>
            </w:r>
          </w:p>
        </w:tc>
      </w:tr>
      <w:tr>
        <w:trPr>
          <w:cantSplit/>
        </w:trPr>
        <w:tc>
          <w:tcPr>
            <w:tcW w:type="dxa" w:w="21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gate_snn</w:t>
            </w:r>
          </w:p>
        </w:tc>
        <w:tc>
          <w:tcPr>
            <w:tcW w:type="dxa" w:w="17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Stage A, arm E</w:t>
            </w:r>
          </w:p>
        </w:tc>
        <w:tc>
          <w:tcPr>
            <w:tcW w:type="dxa" w:w="26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k = 5, 192 px, spiking gate</w:t>
            </w:r>
          </w:p>
        </w:tc>
        <w:tc>
          <w:tcPr>
            <w:tcW w:type="dxa" w:w="25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PR-AUC 0.761 (ep 33); 44% removed</w:t>
            </w:r>
          </w:p>
        </w:tc>
      </w:tr>
      <w:tr>
        <w:trPr>
          <w:cantSplit/>
        </w:trPr>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gate_cnnlstm</w:t>
            </w:r>
          </w:p>
        </w:tc>
        <w:tc>
          <w:tcPr>
            <w:tcW w:type="dxa" w:w="17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Stage A, arm D</w:t>
            </w:r>
          </w:p>
        </w:tc>
        <w:tc>
          <w:tcPr>
            <w:tcW w:type="dxa" w:w="26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as above, lstm_hidden 32 (capacity matched)</w:t>
            </w:r>
          </w:p>
        </w:tc>
        <w:tc>
          <w:tcPr>
            <w:tcW w:type="dxa" w:w="25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PR-AUC 0.882 (ep 45); 59% removed</w:t>
            </w:r>
          </w:p>
        </w:tc>
      </w:tr>
      <w:tr>
        <w:trPr>
          <w:cantSplit/>
        </w:trPr>
        <w:tc>
          <w:tcPr>
            <w:tcW w:type="dxa" w:w="21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gate_snn_static</w:t>
            </w:r>
          </w:p>
        </w:tc>
        <w:tc>
          <w:tcPr>
            <w:tcW w:type="dxa" w:w="17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Stage A, arm G</w:t>
            </w:r>
          </w:p>
        </w:tc>
        <w:tc>
          <w:tcPr>
            <w:tcW w:type="dxa" w:w="26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as above, centre slice repeated</w:t>
            </w:r>
          </w:p>
        </w:tc>
        <w:tc>
          <w:tcPr>
            <w:tcW w:type="dxa" w:w="25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PR-AUC 0.757 (ep 24); 42% removed</w:t>
            </w:r>
          </w:p>
        </w:tc>
      </w:tr>
    </w:tbl>
    <w:p>
      <w:pPr>
        <w:spacing w:after="160" w:before="60"/>
      </w:pPr>
      <w:r>
        <w:rPr>
          <w:rFonts w:ascii="Calibri" w:cs="Calibri" w:eastAsia="Calibri" w:hAnsi="Calibri"/>
          <w:i/>
          <w:iCs/>
          <w:color w:val="5A6B7A"/>
          <w:sz w:val="17"/>
          <w:szCs w:val="17"/>
        </w:rPr>
        <w:t xml:space="preserve">Table 5. Runs behind the figures in this report. Arms D and G were still training at last observation; their figures are lower bounds.</w:t>
      </w:r>
    </w:p>
    <w:p>
      <w:pPr>
        <w:spacing w:after="100" w:before="140" w:line="276"/>
      </w:pPr>
      <w:r>
        <w:rPr>
          <w:rFonts w:ascii="Calibri" w:cs="Calibri" w:eastAsia="Calibri" w:hAnsi="Calibri"/>
          <w:sz w:val="21"/>
          <w:szCs w:val="21"/>
        </w:rPr>
        <w:t xml:space="preserve">On framing: the falsification criterion for the spiking gate was written into the repository before the experiment was run, and it fired. That is the method working. A capacity-matched negative result on sequence-aware spiking gates is publishable in its own right — that literature is dominated by comparisons against unmatched or untuned baselines — and the cascade, the 59% slice reduction and the 2D-fragmentation explanation of the prior post-processing gain all stand independently of which gate is used.</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Adrenal Gland Segmentation — Progress Report</dc:title>
  <dc:creator>M. Fayemiwo</dc:creator>
  <cp:lastModifiedBy>Un-named</cp:lastModifiedBy>
  <cp:revision>1</cp:revision>
  <dcterms:created xsi:type="dcterms:W3CDTF">2026-08-30T22:15:21.157Z</dcterms:created>
  <dcterms:modified xsi:type="dcterms:W3CDTF">2026-08-30T22:15:21.157Z</dcterms:modified>
</cp:coreProperties>
</file>

<file path=docProps/custom.xml><?xml version="1.0" encoding="utf-8"?>
<Properties xmlns="http://schemas.openxmlformats.org/officeDocument/2006/custom-properties" xmlns:vt="http://schemas.openxmlformats.org/officeDocument/2006/docPropsVTypes"/>
</file>