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0096" w14:textId="77777777" w:rsidR="005A61A7" w:rsidRDefault="00000000">
      <w:pPr>
        <w:spacing w:after="40"/>
      </w:pPr>
      <w:r>
        <w:rPr>
          <w:b/>
          <w:bCs/>
          <w:color w:val="1F3A54"/>
          <w:sz w:val="32"/>
          <w:szCs w:val="32"/>
        </w:rPr>
        <w:t>Adrenal Gland Segmentation — Experimental Results</w:t>
      </w:r>
    </w:p>
    <w:p w14:paraId="35B04246" w14:textId="77777777" w:rsidR="005A61A7" w:rsidRDefault="00000000">
      <w:pPr>
        <w:pBdr>
          <w:bottom w:val="single" w:sz="6" w:space="6" w:color="1F3A54"/>
        </w:pBdr>
        <w:spacing w:after="40"/>
      </w:pPr>
      <w:r>
        <w:rPr>
          <w:color w:val="33566F"/>
          <w:sz w:val="22"/>
          <w:szCs w:val="22"/>
        </w:rPr>
        <w:t>Stage B segmentation, Stage A slice gating, and the spiking-network evaluation</w:t>
      </w:r>
    </w:p>
    <w:p w14:paraId="45EB51B8" w14:textId="77777777" w:rsidR="005A61A7" w:rsidRDefault="00000000">
      <w:pPr>
        <w:spacing w:before="60" w:after="150" w:line="276" w:lineRule="auto"/>
      </w:pPr>
      <w:r>
        <w:rPr>
          <w:color w:val="5A6B7A"/>
          <w:sz w:val="18"/>
          <w:szCs w:val="18"/>
        </w:rPr>
        <w:t xml:space="preserve">M. </w:t>
      </w:r>
      <w:proofErr w:type="gramStart"/>
      <w:r>
        <w:rPr>
          <w:color w:val="5A6B7A"/>
          <w:sz w:val="18"/>
          <w:szCs w:val="18"/>
        </w:rPr>
        <w:t>Fayemiwo  ·</w:t>
      </w:r>
      <w:proofErr w:type="gramEnd"/>
      <w:r>
        <w:rPr>
          <w:color w:val="5A6B7A"/>
          <w:sz w:val="18"/>
          <w:szCs w:val="18"/>
        </w:rPr>
        <w:t xml:space="preserve">  31 August </w:t>
      </w:r>
      <w:proofErr w:type="gramStart"/>
      <w:r>
        <w:rPr>
          <w:color w:val="5A6B7A"/>
          <w:sz w:val="18"/>
          <w:szCs w:val="18"/>
        </w:rPr>
        <w:t>2026  ·</w:t>
      </w:r>
      <w:proofErr w:type="gramEnd"/>
      <w:r>
        <w:rPr>
          <w:color w:val="5A6B7A"/>
          <w:sz w:val="18"/>
          <w:szCs w:val="18"/>
        </w:rPr>
        <w:t xml:space="preserve">  AMOS22, CT (200 training / 100 validation patients)</w:t>
      </w:r>
    </w:p>
    <w:p w14:paraId="6FAAD4F6" w14:textId="77777777" w:rsidR="005A61A7" w:rsidRDefault="00000000">
      <w:pPr>
        <w:pStyle w:val="Heading1"/>
        <w:spacing w:before="260" w:after="110"/>
      </w:pPr>
      <w:r>
        <w:rPr>
          <w:b/>
          <w:bCs/>
          <w:color w:val="1F3A54"/>
          <w:sz w:val="26"/>
          <w:szCs w:val="26"/>
        </w:rPr>
        <w:t>1</w:t>
      </w:r>
      <w:proofErr w:type="gramStart"/>
      <w:r>
        <w:rPr>
          <w:b/>
          <w:bCs/>
          <w:color w:val="1F3A54"/>
          <w:sz w:val="26"/>
          <w:szCs w:val="26"/>
        </w:rPr>
        <w:t>.  Objective</w:t>
      </w:r>
      <w:proofErr w:type="gramEnd"/>
      <w:r>
        <w:rPr>
          <w:b/>
          <w:bCs/>
          <w:color w:val="1F3A54"/>
          <w:sz w:val="26"/>
          <w:szCs w:val="26"/>
        </w:rPr>
        <w:t xml:space="preserve"> and setup</w:t>
      </w:r>
    </w:p>
    <w:p w14:paraId="07B8C866" w14:textId="77777777" w:rsidR="005A61A7" w:rsidRDefault="00000000">
      <w:pPr>
        <w:spacing w:after="100" w:line="276" w:lineRule="auto"/>
      </w:pPr>
      <w:r>
        <w:t xml:space="preserve">The pipeline is a two-stage cascade. Stage A decides which axial slices contain adrenal tissue; Stage B segments only those slices. The research question is whether presenting k consecutive slices to a spiking neural network </w:t>
      </w:r>
      <w:proofErr w:type="spellStart"/>
      <w:r>
        <w:t>as k</w:t>
      </w:r>
      <w:proofErr w:type="spellEnd"/>
      <w:r>
        <w:t xml:space="preserve"> discrete time steps — so that membrane potential integrates evidence along the craniocaudal axis — outperforms a matched-capacity recurrent baseline </w:t>
      </w:r>
      <w:proofErr w:type="gramStart"/>
      <w:r>
        <w:t>given identical inputs</w:t>
      </w:r>
      <w:proofErr w:type="gramEnd"/>
      <w:r>
        <w:t>.</w:t>
      </w:r>
    </w:p>
    <w:p w14:paraId="56EC9B3D" w14:textId="77777777" w:rsidR="005A61A7" w:rsidRDefault="00000000">
      <w:pPr>
        <w:spacing w:after="100" w:line="276" w:lineRule="auto"/>
      </w:pPr>
      <w:r>
        <w:t xml:space="preserve">All experiments use AMOS22 CT: 200 training and 100 validation patients, volumes resampled to 1.0 mm in-plane and 2.5 mm through-plane so that a fixed k-slice window spans the same physical distance for every patient, HU-windowed and </w:t>
      </w:r>
      <w:proofErr w:type="spellStart"/>
      <w:r>
        <w:t>centre</w:t>
      </w:r>
      <w:proofErr w:type="spellEnd"/>
      <w:r>
        <w:t xml:space="preserve">-cropped to 384 </w:t>
      </w:r>
      <w:proofErr w:type="spellStart"/>
      <w:r>
        <w:t>px</w:t>
      </w:r>
      <w:proofErr w:type="spellEnd"/>
      <w:r>
        <w:t>, with left and right glands as separate output channels. Segmentation is reported as mean per-case Dice — each patient scored over the whole volume, then averaged. The reference point throughout is Fayemiwo et al., Journal of Imaging Informatics in Medicine 2025, which used the same dataset and the same metric definition, making the comparison direct.</w:t>
      </w:r>
    </w:p>
    <w:p w14:paraId="4E0C571D" w14:textId="77777777" w:rsidR="005A61A7" w:rsidRDefault="00000000">
      <w:pPr>
        <w:pStyle w:val="Heading1"/>
        <w:spacing w:before="260" w:after="110"/>
      </w:pPr>
      <w:r>
        <w:rPr>
          <w:b/>
          <w:bCs/>
          <w:color w:val="1F3A54"/>
          <w:sz w:val="26"/>
          <w:szCs w:val="26"/>
        </w:rPr>
        <w:t>2</w:t>
      </w:r>
      <w:proofErr w:type="gramStart"/>
      <w:r>
        <w:rPr>
          <w:b/>
          <w:bCs/>
          <w:color w:val="1F3A54"/>
          <w:sz w:val="26"/>
          <w:szCs w:val="26"/>
        </w:rPr>
        <w:t>.  Stage</w:t>
      </w:r>
      <w:proofErr w:type="gramEnd"/>
      <w:r>
        <w:rPr>
          <w:b/>
          <w:bCs/>
          <w:color w:val="1F3A54"/>
          <w:sz w:val="26"/>
          <w:szCs w:val="26"/>
        </w:rPr>
        <w:t xml:space="preserve"> B: segmentation performance</w:t>
      </w:r>
    </w:p>
    <w:p w14:paraId="4A76D936" w14:textId="77777777" w:rsidR="005A61A7" w:rsidRDefault="00000000">
      <w:pPr>
        <w:spacing w:after="100" w:line="276" w:lineRule="auto"/>
      </w:pPr>
      <w:r>
        <w:t xml:space="preserve">The </w:t>
      </w:r>
      <w:proofErr w:type="spellStart"/>
      <w:r>
        <w:t>segmenter</w:t>
      </w:r>
      <w:proofErr w:type="spellEnd"/>
      <w:r>
        <w:t xml:space="preserve"> reaches mean per-case Dice of 0.748 (left) and 0.747 (right) over 100 validation patients. This is below the 2025 pipeline on both glands.</w:t>
      </w:r>
    </w:p>
    <w:tbl>
      <w:tblPr>
        <w:tblW w:w="9026" w:type="dxa"/>
        <w:tblBorders>
          <w:top w:val="single" w:sz="2" w:space="0" w:color="B7C4D0"/>
          <w:left w:val="single" w:sz="2" w:space="0" w:color="B7C4D0"/>
          <w:bottom w:val="single" w:sz="2" w:space="0" w:color="B7C4D0"/>
          <w:right w:val="single" w:sz="2" w:space="0" w:color="B7C4D0"/>
          <w:insideH w:val="single" w:sz="1" w:space="0" w:color="D4DDE5"/>
          <w:insideV w:val="single" w:sz="1" w:space="0" w:color="D4DDE5"/>
        </w:tblBorders>
        <w:tblCellMar>
          <w:left w:w="10" w:type="dxa"/>
          <w:right w:w="10" w:type="dxa"/>
        </w:tblCellMar>
        <w:tblLook w:val="0000" w:firstRow="0" w:lastRow="0" w:firstColumn="0" w:lastColumn="0" w:noHBand="0" w:noVBand="0"/>
      </w:tblPr>
      <w:tblGrid>
        <w:gridCol w:w="2900"/>
        <w:gridCol w:w="1550"/>
        <w:gridCol w:w="1550"/>
        <w:gridCol w:w="1550"/>
        <w:gridCol w:w="1476"/>
      </w:tblGrid>
      <w:tr w:rsidR="005A61A7" w14:paraId="21F9AF07" w14:textId="77777777">
        <w:tblPrEx>
          <w:tblCellMar>
            <w:top w:w="0" w:type="dxa"/>
            <w:bottom w:w="0" w:type="dxa"/>
          </w:tblCellMar>
        </w:tblPrEx>
        <w:trPr>
          <w:tblHeader/>
        </w:trPr>
        <w:tc>
          <w:tcPr>
            <w:tcW w:w="2900" w:type="dxa"/>
            <w:shd w:val="clear" w:color="auto" w:fill="E8EDF2"/>
            <w:tcMar>
              <w:top w:w="70" w:type="dxa"/>
              <w:left w:w="110" w:type="dxa"/>
              <w:bottom w:w="70" w:type="dxa"/>
              <w:right w:w="110" w:type="dxa"/>
            </w:tcMar>
          </w:tcPr>
          <w:p w14:paraId="4C77D91D" w14:textId="77777777" w:rsidR="005A61A7" w:rsidRDefault="005A61A7">
            <w:pPr>
              <w:spacing w:line="250" w:lineRule="auto"/>
            </w:pPr>
          </w:p>
        </w:tc>
        <w:tc>
          <w:tcPr>
            <w:tcW w:w="1550" w:type="dxa"/>
            <w:shd w:val="clear" w:color="auto" w:fill="E8EDF2"/>
            <w:tcMar>
              <w:top w:w="70" w:type="dxa"/>
              <w:left w:w="110" w:type="dxa"/>
              <w:bottom w:w="70" w:type="dxa"/>
              <w:right w:w="110" w:type="dxa"/>
            </w:tcMar>
          </w:tcPr>
          <w:p w14:paraId="2CD107FA" w14:textId="77777777" w:rsidR="005A61A7" w:rsidRDefault="00000000">
            <w:pPr>
              <w:spacing w:line="250" w:lineRule="auto"/>
              <w:jc w:val="center"/>
            </w:pPr>
            <w:r>
              <w:rPr>
                <w:b/>
                <w:bCs/>
                <w:sz w:val="19"/>
                <w:szCs w:val="19"/>
              </w:rPr>
              <w:t>L.A.G raw</w:t>
            </w:r>
          </w:p>
        </w:tc>
        <w:tc>
          <w:tcPr>
            <w:tcW w:w="1550" w:type="dxa"/>
            <w:shd w:val="clear" w:color="auto" w:fill="E8EDF2"/>
            <w:tcMar>
              <w:top w:w="70" w:type="dxa"/>
              <w:left w:w="110" w:type="dxa"/>
              <w:bottom w:w="70" w:type="dxa"/>
              <w:right w:w="110" w:type="dxa"/>
            </w:tcMar>
          </w:tcPr>
          <w:p w14:paraId="6A2BBE83" w14:textId="77777777" w:rsidR="005A61A7" w:rsidRDefault="00000000">
            <w:pPr>
              <w:spacing w:line="250" w:lineRule="auto"/>
              <w:jc w:val="center"/>
            </w:pPr>
            <w:r>
              <w:rPr>
                <w:b/>
                <w:bCs/>
                <w:sz w:val="19"/>
                <w:szCs w:val="19"/>
              </w:rPr>
              <w:t>L.A.G post</w:t>
            </w:r>
          </w:p>
        </w:tc>
        <w:tc>
          <w:tcPr>
            <w:tcW w:w="1550" w:type="dxa"/>
            <w:shd w:val="clear" w:color="auto" w:fill="E8EDF2"/>
            <w:tcMar>
              <w:top w:w="70" w:type="dxa"/>
              <w:left w:w="110" w:type="dxa"/>
              <w:bottom w:w="70" w:type="dxa"/>
              <w:right w:w="110" w:type="dxa"/>
            </w:tcMar>
          </w:tcPr>
          <w:p w14:paraId="2B388660" w14:textId="77777777" w:rsidR="005A61A7" w:rsidRDefault="00000000">
            <w:pPr>
              <w:spacing w:line="250" w:lineRule="auto"/>
              <w:jc w:val="center"/>
            </w:pPr>
            <w:r>
              <w:rPr>
                <w:b/>
                <w:bCs/>
                <w:sz w:val="19"/>
                <w:szCs w:val="19"/>
              </w:rPr>
              <w:t>R.A.G raw</w:t>
            </w:r>
          </w:p>
        </w:tc>
        <w:tc>
          <w:tcPr>
            <w:tcW w:w="1476" w:type="dxa"/>
            <w:shd w:val="clear" w:color="auto" w:fill="E8EDF2"/>
            <w:tcMar>
              <w:top w:w="70" w:type="dxa"/>
              <w:left w:w="110" w:type="dxa"/>
              <w:bottom w:w="70" w:type="dxa"/>
              <w:right w:w="110" w:type="dxa"/>
            </w:tcMar>
          </w:tcPr>
          <w:p w14:paraId="3287E219" w14:textId="77777777" w:rsidR="005A61A7" w:rsidRDefault="00000000">
            <w:pPr>
              <w:spacing w:line="250" w:lineRule="auto"/>
              <w:jc w:val="center"/>
            </w:pPr>
            <w:r>
              <w:rPr>
                <w:b/>
                <w:bCs/>
                <w:sz w:val="19"/>
                <w:szCs w:val="19"/>
              </w:rPr>
              <w:t>R.A.G post</w:t>
            </w:r>
          </w:p>
        </w:tc>
      </w:tr>
      <w:tr w:rsidR="005A61A7" w14:paraId="2170F583" w14:textId="77777777">
        <w:tblPrEx>
          <w:tblCellMar>
            <w:top w:w="0" w:type="dxa"/>
            <w:bottom w:w="0" w:type="dxa"/>
          </w:tblCellMar>
        </w:tblPrEx>
        <w:trPr>
          <w:cantSplit/>
        </w:trPr>
        <w:tc>
          <w:tcPr>
            <w:tcW w:w="2900" w:type="dxa"/>
            <w:tcMar>
              <w:top w:w="70" w:type="dxa"/>
              <w:left w:w="110" w:type="dxa"/>
              <w:bottom w:w="70" w:type="dxa"/>
              <w:right w:w="110" w:type="dxa"/>
            </w:tcMar>
          </w:tcPr>
          <w:p w14:paraId="02BC6023" w14:textId="77777777" w:rsidR="005A61A7" w:rsidRDefault="00000000">
            <w:pPr>
              <w:spacing w:line="250" w:lineRule="auto"/>
            </w:pPr>
            <w:r>
              <w:rPr>
                <w:sz w:val="19"/>
                <w:szCs w:val="19"/>
              </w:rPr>
              <w:t>This work</w:t>
            </w:r>
          </w:p>
        </w:tc>
        <w:tc>
          <w:tcPr>
            <w:tcW w:w="1550" w:type="dxa"/>
            <w:tcMar>
              <w:top w:w="70" w:type="dxa"/>
              <w:left w:w="110" w:type="dxa"/>
              <w:bottom w:w="70" w:type="dxa"/>
              <w:right w:w="110" w:type="dxa"/>
            </w:tcMar>
          </w:tcPr>
          <w:p w14:paraId="0FC0C1DC" w14:textId="77777777" w:rsidR="005A61A7" w:rsidRDefault="00000000">
            <w:pPr>
              <w:spacing w:line="250" w:lineRule="auto"/>
              <w:jc w:val="center"/>
            </w:pPr>
            <w:r>
              <w:rPr>
                <w:sz w:val="19"/>
                <w:szCs w:val="19"/>
              </w:rPr>
              <w:t>0.746</w:t>
            </w:r>
          </w:p>
        </w:tc>
        <w:tc>
          <w:tcPr>
            <w:tcW w:w="1550" w:type="dxa"/>
            <w:tcMar>
              <w:top w:w="70" w:type="dxa"/>
              <w:left w:w="110" w:type="dxa"/>
              <w:bottom w:w="70" w:type="dxa"/>
              <w:right w:w="110" w:type="dxa"/>
            </w:tcMar>
          </w:tcPr>
          <w:p w14:paraId="70D9CFAA" w14:textId="77777777" w:rsidR="005A61A7" w:rsidRDefault="00000000">
            <w:pPr>
              <w:spacing w:line="250" w:lineRule="auto"/>
              <w:jc w:val="center"/>
            </w:pPr>
            <w:r>
              <w:rPr>
                <w:sz w:val="19"/>
                <w:szCs w:val="19"/>
              </w:rPr>
              <w:t>0.748</w:t>
            </w:r>
          </w:p>
        </w:tc>
        <w:tc>
          <w:tcPr>
            <w:tcW w:w="1550" w:type="dxa"/>
            <w:tcMar>
              <w:top w:w="70" w:type="dxa"/>
              <w:left w:w="110" w:type="dxa"/>
              <w:bottom w:w="70" w:type="dxa"/>
              <w:right w:w="110" w:type="dxa"/>
            </w:tcMar>
          </w:tcPr>
          <w:p w14:paraId="6F00AD2F" w14:textId="77777777" w:rsidR="005A61A7" w:rsidRDefault="00000000">
            <w:pPr>
              <w:spacing w:line="250" w:lineRule="auto"/>
              <w:jc w:val="center"/>
            </w:pPr>
            <w:r>
              <w:rPr>
                <w:sz w:val="19"/>
                <w:szCs w:val="19"/>
              </w:rPr>
              <w:t>0.745</w:t>
            </w:r>
          </w:p>
        </w:tc>
        <w:tc>
          <w:tcPr>
            <w:tcW w:w="1476" w:type="dxa"/>
            <w:tcMar>
              <w:top w:w="70" w:type="dxa"/>
              <w:left w:w="110" w:type="dxa"/>
              <w:bottom w:w="70" w:type="dxa"/>
              <w:right w:w="110" w:type="dxa"/>
            </w:tcMar>
          </w:tcPr>
          <w:p w14:paraId="0800CACE" w14:textId="77777777" w:rsidR="005A61A7" w:rsidRDefault="00000000">
            <w:pPr>
              <w:spacing w:line="250" w:lineRule="auto"/>
              <w:jc w:val="center"/>
            </w:pPr>
            <w:r>
              <w:rPr>
                <w:sz w:val="19"/>
                <w:szCs w:val="19"/>
              </w:rPr>
              <w:t>0.747</w:t>
            </w:r>
          </w:p>
        </w:tc>
      </w:tr>
      <w:tr w:rsidR="005A61A7" w14:paraId="1537E6AF" w14:textId="77777777">
        <w:tblPrEx>
          <w:tblCellMar>
            <w:top w:w="0" w:type="dxa"/>
            <w:bottom w:w="0" w:type="dxa"/>
          </w:tblCellMar>
        </w:tblPrEx>
        <w:trPr>
          <w:cantSplit/>
        </w:trPr>
        <w:tc>
          <w:tcPr>
            <w:tcW w:w="2900" w:type="dxa"/>
            <w:shd w:val="clear" w:color="auto" w:fill="F6F8FA"/>
            <w:tcMar>
              <w:top w:w="70" w:type="dxa"/>
              <w:left w:w="110" w:type="dxa"/>
              <w:bottom w:w="70" w:type="dxa"/>
              <w:right w:w="110" w:type="dxa"/>
            </w:tcMar>
          </w:tcPr>
          <w:p w14:paraId="058770AB" w14:textId="77777777" w:rsidR="005A61A7" w:rsidRDefault="00000000">
            <w:pPr>
              <w:spacing w:line="250" w:lineRule="auto"/>
            </w:pPr>
            <w:r>
              <w:rPr>
                <w:sz w:val="19"/>
                <w:szCs w:val="19"/>
              </w:rPr>
              <w:t>2025 paper, VGG16</w:t>
            </w:r>
          </w:p>
        </w:tc>
        <w:tc>
          <w:tcPr>
            <w:tcW w:w="1550" w:type="dxa"/>
            <w:shd w:val="clear" w:color="auto" w:fill="F6F8FA"/>
            <w:tcMar>
              <w:top w:w="70" w:type="dxa"/>
              <w:left w:w="110" w:type="dxa"/>
              <w:bottom w:w="70" w:type="dxa"/>
              <w:right w:w="110" w:type="dxa"/>
            </w:tcMar>
          </w:tcPr>
          <w:p w14:paraId="37FA0DF0" w14:textId="77777777" w:rsidR="005A61A7" w:rsidRDefault="00000000">
            <w:pPr>
              <w:spacing w:line="250" w:lineRule="auto"/>
              <w:jc w:val="center"/>
            </w:pPr>
            <w:r>
              <w:rPr>
                <w:sz w:val="19"/>
                <w:szCs w:val="19"/>
              </w:rPr>
              <w:t>0.820</w:t>
            </w:r>
          </w:p>
        </w:tc>
        <w:tc>
          <w:tcPr>
            <w:tcW w:w="1550" w:type="dxa"/>
            <w:shd w:val="clear" w:color="auto" w:fill="F6F8FA"/>
            <w:tcMar>
              <w:top w:w="70" w:type="dxa"/>
              <w:left w:w="110" w:type="dxa"/>
              <w:bottom w:w="70" w:type="dxa"/>
              <w:right w:w="110" w:type="dxa"/>
            </w:tcMar>
          </w:tcPr>
          <w:p w14:paraId="0EF58469" w14:textId="77777777" w:rsidR="005A61A7" w:rsidRDefault="00000000">
            <w:pPr>
              <w:spacing w:line="250" w:lineRule="auto"/>
              <w:jc w:val="center"/>
            </w:pPr>
            <w:r>
              <w:rPr>
                <w:sz w:val="19"/>
                <w:szCs w:val="19"/>
              </w:rPr>
              <w:t>0.910</w:t>
            </w:r>
          </w:p>
        </w:tc>
        <w:tc>
          <w:tcPr>
            <w:tcW w:w="1550" w:type="dxa"/>
            <w:shd w:val="clear" w:color="auto" w:fill="F6F8FA"/>
            <w:tcMar>
              <w:top w:w="70" w:type="dxa"/>
              <w:left w:w="110" w:type="dxa"/>
              <w:bottom w:w="70" w:type="dxa"/>
              <w:right w:w="110" w:type="dxa"/>
            </w:tcMar>
          </w:tcPr>
          <w:p w14:paraId="7BE569E9" w14:textId="77777777" w:rsidR="005A61A7" w:rsidRDefault="00000000">
            <w:pPr>
              <w:spacing w:line="250" w:lineRule="auto"/>
              <w:jc w:val="center"/>
            </w:pPr>
            <w:r>
              <w:rPr>
                <w:sz w:val="19"/>
                <w:szCs w:val="19"/>
              </w:rPr>
              <w:t>0.750</w:t>
            </w:r>
          </w:p>
        </w:tc>
        <w:tc>
          <w:tcPr>
            <w:tcW w:w="1476" w:type="dxa"/>
            <w:shd w:val="clear" w:color="auto" w:fill="F6F8FA"/>
            <w:tcMar>
              <w:top w:w="70" w:type="dxa"/>
              <w:left w:w="110" w:type="dxa"/>
              <w:bottom w:w="70" w:type="dxa"/>
              <w:right w:w="110" w:type="dxa"/>
            </w:tcMar>
          </w:tcPr>
          <w:p w14:paraId="2B1D1192" w14:textId="77777777" w:rsidR="005A61A7" w:rsidRDefault="00000000">
            <w:pPr>
              <w:spacing w:line="250" w:lineRule="auto"/>
              <w:jc w:val="center"/>
            </w:pPr>
            <w:r>
              <w:rPr>
                <w:sz w:val="19"/>
                <w:szCs w:val="19"/>
              </w:rPr>
              <w:t>0.900</w:t>
            </w:r>
          </w:p>
        </w:tc>
      </w:tr>
      <w:tr w:rsidR="005A61A7" w14:paraId="3D487ABF" w14:textId="77777777">
        <w:tblPrEx>
          <w:tblCellMar>
            <w:top w:w="0" w:type="dxa"/>
            <w:bottom w:w="0" w:type="dxa"/>
          </w:tblCellMar>
        </w:tblPrEx>
        <w:trPr>
          <w:cantSplit/>
        </w:trPr>
        <w:tc>
          <w:tcPr>
            <w:tcW w:w="2900" w:type="dxa"/>
            <w:tcMar>
              <w:top w:w="70" w:type="dxa"/>
              <w:left w:w="110" w:type="dxa"/>
              <w:bottom w:w="70" w:type="dxa"/>
              <w:right w:w="110" w:type="dxa"/>
            </w:tcMar>
          </w:tcPr>
          <w:p w14:paraId="1C99767B" w14:textId="77777777" w:rsidR="005A61A7" w:rsidRDefault="00000000">
            <w:pPr>
              <w:spacing w:line="250" w:lineRule="auto"/>
            </w:pPr>
            <w:r>
              <w:rPr>
                <w:sz w:val="19"/>
                <w:szCs w:val="19"/>
              </w:rPr>
              <w:t xml:space="preserve">2025 paper, </w:t>
            </w:r>
            <w:proofErr w:type="spellStart"/>
            <w:r>
              <w:rPr>
                <w:sz w:val="19"/>
                <w:szCs w:val="19"/>
              </w:rPr>
              <w:t>nnU</w:t>
            </w:r>
            <w:proofErr w:type="spellEnd"/>
            <w:r>
              <w:rPr>
                <w:sz w:val="19"/>
                <w:szCs w:val="19"/>
              </w:rPr>
              <w:t>-Net (2D)</w:t>
            </w:r>
          </w:p>
        </w:tc>
        <w:tc>
          <w:tcPr>
            <w:tcW w:w="1550" w:type="dxa"/>
            <w:tcMar>
              <w:top w:w="70" w:type="dxa"/>
              <w:left w:w="110" w:type="dxa"/>
              <w:bottom w:w="70" w:type="dxa"/>
              <w:right w:w="110" w:type="dxa"/>
            </w:tcMar>
          </w:tcPr>
          <w:p w14:paraId="46631B49" w14:textId="77777777" w:rsidR="005A61A7" w:rsidRDefault="00000000">
            <w:pPr>
              <w:spacing w:line="250" w:lineRule="auto"/>
              <w:jc w:val="center"/>
            </w:pPr>
            <w:r>
              <w:rPr>
                <w:sz w:val="19"/>
                <w:szCs w:val="19"/>
              </w:rPr>
              <w:t>0.850</w:t>
            </w:r>
          </w:p>
        </w:tc>
        <w:tc>
          <w:tcPr>
            <w:tcW w:w="1550" w:type="dxa"/>
            <w:tcMar>
              <w:top w:w="70" w:type="dxa"/>
              <w:left w:w="110" w:type="dxa"/>
              <w:bottom w:w="70" w:type="dxa"/>
              <w:right w:w="110" w:type="dxa"/>
            </w:tcMar>
          </w:tcPr>
          <w:p w14:paraId="631A87C0" w14:textId="77777777" w:rsidR="005A61A7" w:rsidRDefault="00000000">
            <w:pPr>
              <w:spacing w:line="250" w:lineRule="auto"/>
              <w:jc w:val="center"/>
            </w:pPr>
            <w:r>
              <w:rPr>
                <w:sz w:val="19"/>
                <w:szCs w:val="19"/>
              </w:rPr>
              <w:t>0.920</w:t>
            </w:r>
          </w:p>
        </w:tc>
        <w:tc>
          <w:tcPr>
            <w:tcW w:w="1550" w:type="dxa"/>
            <w:tcMar>
              <w:top w:w="70" w:type="dxa"/>
              <w:left w:w="110" w:type="dxa"/>
              <w:bottom w:w="70" w:type="dxa"/>
              <w:right w:w="110" w:type="dxa"/>
            </w:tcMar>
          </w:tcPr>
          <w:p w14:paraId="0BD6AE7D" w14:textId="77777777" w:rsidR="005A61A7" w:rsidRDefault="00000000">
            <w:pPr>
              <w:spacing w:line="250" w:lineRule="auto"/>
              <w:jc w:val="center"/>
            </w:pPr>
            <w:r>
              <w:rPr>
                <w:sz w:val="19"/>
                <w:szCs w:val="19"/>
              </w:rPr>
              <w:t>0.820</w:t>
            </w:r>
          </w:p>
        </w:tc>
        <w:tc>
          <w:tcPr>
            <w:tcW w:w="1476" w:type="dxa"/>
            <w:tcMar>
              <w:top w:w="70" w:type="dxa"/>
              <w:left w:w="110" w:type="dxa"/>
              <w:bottom w:w="70" w:type="dxa"/>
              <w:right w:w="110" w:type="dxa"/>
            </w:tcMar>
          </w:tcPr>
          <w:p w14:paraId="45F0ADCD" w14:textId="77777777" w:rsidR="005A61A7" w:rsidRDefault="00000000">
            <w:pPr>
              <w:spacing w:line="250" w:lineRule="auto"/>
              <w:jc w:val="center"/>
            </w:pPr>
            <w:r>
              <w:rPr>
                <w:sz w:val="19"/>
                <w:szCs w:val="19"/>
              </w:rPr>
              <w:t>0.910</w:t>
            </w:r>
          </w:p>
        </w:tc>
      </w:tr>
      <w:tr w:rsidR="005A61A7" w14:paraId="0A5C02C0" w14:textId="77777777">
        <w:tblPrEx>
          <w:tblCellMar>
            <w:top w:w="0" w:type="dxa"/>
            <w:bottom w:w="0" w:type="dxa"/>
          </w:tblCellMar>
        </w:tblPrEx>
        <w:trPr>
          <w:cantSplit/>
        </w:trPr>
        <w:tc>
          <w:tcPr>
            <w:tcW w:w="2900" w:type="dxa"/>
            <w:shd w:val="clear" w:color="auto" w:fill="F6F8FA"/>
            <w:tcMar>
              <w:top w:w="70" w:type="dxa"/>
              <w:left w:w="110" w:type="dxa"/>
              <w:bottom w:w="70" w:type="dxa"/>
              <w:right w:w="110" w:type="dxa"/>
            </w:tcMar>
          </w:tcPr>
          <w:p w14:paraId="2099D318" w14:textId="77777777" w:rsidR="005A61A7" w:rsidRDefault="00000000">
            <w:pPr>
              <w:spacing w:line="250" w:lineRule="auto"/>
            </w:pPr>
            <w:r>
              <w:rPr>
                <w:sz w:val="19"/>
                <w:szCs w:val="19"/>
              </w:rPr>
              <w:t xml:space="preserve">2025 paper, </w:t>
            </w:r>
            <w:proofErr w:type="spellStart"/>
            <w:r>
              <w:rPr>
                <w:sz w:val="19"/>
                <w:szCs w:val="19"/>
              </w:rPr>
              <w:t>TransUNet</w:t>
            </w:r>
            <w:proofErr w:type="spellEnd"/>
          </w:p>
        </w:tc>
        <w:tc>
          <w:tcPr>
            <w:tcW w:w="1550" w:type="dxa"/>
            <w:shd w:val="clear" w:color="auto" w:fill="F6F8FA"/>
            <w:tcMar>
              <w:top w:w="70" w:type="dxa"/>
              <w:left w:w="110" w:type="dxa"/>
              <w:bottom w:w="70" w:type="dxa"/>
              <w:right w:w="110" w:type="dxa"/>
            </w:tcMar>
          </w:tcPr>
          <w:p w14:paraId="4844142A" w14:textId="77777777" w:rsidR="005A61A7" w:rsidRDefault="00000000">
            <w:pPr>
              <w:spacing w:line="250" w:lineRule="auto"/>
              <w:jc w:val="center"/>
            </w:pPr>
            <w:r>
              <w:rPr>
                <w:sz w:val="19"/>
                <w:szCs w:val="19"/>
              </w:rPr>
              <w:t>0.880</w:t>
            </w:r>
          </w:p>
        </w:tc>
        <w:tc>
          <w:tcPr>
            <w:tcW w:w="1550" w:type="dxa"/>
            <w:shd w:val="clear" w:color="auto" w:fill="F6F8FA"/>
            <w:tcMar>
              <w:top w:w="70" w:type="dxa"/>
              <w:left w:w="110" w:type="dxa"/>
              <w:bottom w:w="70" w:type="dxa"/>
              <w:right w:w="110" w:type="dxa"/>
            </w:tcMar>
          </w:tcPr>
          <w:p w14:paraId="76C65DEE" w14:textId="77777777" w:rsidR="005A61A7" w:rsidRDefault="00000000">
            <w:pPr>
              <w:spacing w:line="250" w:lineRule="auto"/>
              <w:jc w:val="center"/>
            </w:pPr>
            <w:r>
              <w:rPr>
                <w:sz w:val="19"/>
                <w:szCs w:val="19"/>
              </w:rPr>
              <w:t>0.920</w:t>
            </w:r>
          </w:p>
        </w:tc>
        <w:tc>
          <w:tcPr>
            <w:tcW w:w="1550" w:type="dxa"/>
            <w:shd w:val="clear" w:color="auto" w:fill="F6F8FA"/>
            <w:tcMar>
              <w:top w:w="70" w:type="dxa"/>
              <w:left w:w="110" w:type="dxa"/>
              <w:bottom w:w="70" w:type="dxa"/>
              <w:right w:w="110" w:type="dxa"/>
            </w:tcMar>
          </w:tcPr>
          <w:p w14:paraId="330E6906" w14:textId="77777777" w:rsidR="005A61A7" w:rsidRDefault="00000000">
            <w:pPr>
              <w:spacing w:line="250" w:lineRule="auto"/>
              <w:jc w:val="center"/>
            </w:pPr>
            <w:r>
              <w:rPr>
                <w:sz w:val="19"/>
                <w:szCs w:val="19"/>
              </w:rPr>
              <w:t>0.830</w:t>
            </w:r>
          </w:p>
        </w:tc>
        <w:tc>
          <w:tcPr>
            <w:tcW w:w="1476" w:type="dxa"/>
            <w:shd w:val="clear" w:color="auto" w:fill="F6F8FA"/>
            <w:tcMar>
              <w:top w:w="70" w:type="dxa"/>
              <w:left w:w="110" w:type="dxa"/>
              <w:bottom w:w="70" w:type="dxa"/>
              <w:right w:w="110" w:type="dxa"/>
            </w:tcMar>
          </w:tcPr>
          <w:p w14:paraId="4ADFE4DE" w14:textId="77777777" w:rsidR="005A61A7" w:rsidRDefault="00000000">
            <w:pPr>
              <w:spacing w:line="250" w:lineRule="auto"/>
              <w:jc w:val="center"/>
            </w:pPr>
            <w:r>
              <w:rPr>
                <w:sz w:val="19"/>
                <w:szCs w:val="19"/>
              </w:rPr>
              <w:t>0.930</w:t>
            </w:r>
          </w:p>
        </w:tc>
      </w:tr>
    </w:tbl>
    <w:p w14:paraId="06E23B06" w14:textId="77777777" w:rsidR="005A61A7" w:rsidRDefault="00000000">
      <w:pPr>
        <w:spacing w:before="60" w:after="160"/>
      </w:pPr>
      <w:r>
        <w:rPr>
          <w:i/>
          <w:iCs/>
          <w:color w:val="5A6B7A"/>
          <w:sz w:val="17"/>
          <w:szCs w:val="17"/>
        </w:rPr>
        <w:t xml:space="preserve">Table 1. Mean per-case Dice. Against the strongest prior </w:t>
      </w:r>
      <w:proofErr w:type="gramStart"/>
      <w:r>
        <w:rPr>
          <w:i/>
          <w:iCs/>
          <w:color w:val="5A6B7A"/>
          <w:sz w:val="17"/>
          <w:szCs w:val="17"/>
        </w:rPr>
        <w:t>model</w:t>
      </w:r>
      <w:proofErr w:type="gramEnd"/>
      <w:r>
        <w:rPr>
          <w:i/>
          <w:iCs/>
          <w:color w:val="5A6B7A"/>
          <w:sz w:val="17"/>
          <w:szCs w:val="17"/>
        </w:rPr>
        <w:t xml:space="preserve"> the deficit is 0.134 on the left gland and 0.085 on the right.</w:t>
      </w:r>
    </w:p>
    <w:p w14:paraId="2FFEFC4B" w14:textId="77777777" w:rsidR="005A61A7" w:rsidRDefault="00000000">
      <w:pPr>
        <w:spacing w:after="100" w:line="276" w:lineRule="auto"/>
      </w:pPr>
      <w:r>
        <w:t xml:space="preserve">The distribution matters as much as the </w:t>
      </w:r>
      <w:proofErr w:type="gramStart"/>
      <w:r>
        <w:t>mean</w:t>
      </w:r>
      <w:proofErr w:type="gramEnd"/>
      <w:r>
        <w:t>. Median Dice is 0.784 against a mean of 0.755, so a small number of patients carries the deficit: 6 of 200 gland instances score below 0.5. Repeating an evaluation of the same checkpoint at the same operating threshold gives means differing by about 0.008, which sets the resolution of every comparison in this document — differences smaller than that are not treated as real.</w:t>
      </w:r>
    </w:p>
    <w:p w14:paraId="64219C0A" w14:textId="77777777" w:rsidR="005A61A7" w:rsidRDefault="00000000">
      <w:pPr>
        <w:pStyle w:val="Heading1"/>
        <w:spacing w:before="260" w:after="110"/>
      </w:pPr>
      <w:r>
        <w:rPr>
          <w:b/>
          <w:bCs/>
          <w:color w:val="1F3A54"/>
          <w:sz w:val="26"/>
          <w:szCs w:val="26"/>
        </w:rPr>
        <w:t>3.  What determines Stage B performance</w:t>
      </w:r>
    </w:p>
    <w:p w14:paraId="786C20D1" w14:textId="77777777" w:rsidR="005A61A7" w:rsidRDefault="00000000">
      <w:pPr>
        <w:spacing w:after="100" w:line="276" w:lineRule="auto"/>
      </w:pPr>
      <w:r>
        <w:t>Four candidate explanations for the failing cases were tested directly. Each was measured rather than assumed, and none survived.</w:t>
      </w:r>
    </w:p>
    <w:tbl>
      <w:tblPr>
        <w:tblW w:w="9026" w:type="dxa"/>
        <w:tblBorders>
          <w:top w:val="single" w:sz="2" w:space="0" w:color="B7C4D0"/>
          <w:left w:val="single" w:sz="2" w:space="0" w:color="B7C4D0"/>
          <w:bottom w:val="single" w:sz="2" w:space="0" w:color="B7C4D0"/>
          <w:right w:val="single" w:sz="2" w:space="0" w:color="B7C4D0"/>
          <w:insideH w:val="single" w:sz="1" w:space="0" w:color="D4DDE5"/>
          <w:insideV w:val="single" w:sz="1" w:space="0" w:color="D4DDE5"/>
        </w:tblBorders>
        <w:tblCellMar>
          <w:left w:w="10" w:type="dxa"/>
          <w:right w:w="10" w:type="dxa"/>
        </w:tblCellMar>
        <w:tblLook w:val="0000" w:firstRow="0" w:lastRow="0" w:firstColumn="0" w:lastColumn="0" w:noHBand="0" w:noVBand="0"/>
      </w:tblPr>
      <w:tblGrid>
        <w:gridCol w:w="2450"/>
        <w:gridCol w:w="4100"/>
        <w:gridCol w:w="2476"/>
      </w:tblGrid>
      <w:tr w:rsidR="005A61A7" w14:paraId="0BF1F110" w14:textId="77777777">
        <w:tblPrEx>
          <w:tblCellMar>
            <w:top w:w="0" w:type="dxa"/>
            <w:bottom w:w="0" w:type="dxa"/>
          </w:tblCellMar>
        </w:tblPrEx>
        <w:trPr>
          <w:tblHeader/>
        </w:trPr>
        <w:tc>
          <w:tcPr>
            <w:tcW w:w="2450" w:type="dxa"/>
            <w:shd w:val="clear" w:color="auto" w:fill="E8EDF2"/>
            <w:tcMar>
              <w:top w:w="70" w:type="dxa"/>
              <w:left w:w="110" w:type="dxa"/>
              <w:bottom w:w="70" w:type="dxa"/>
              <w:right w:w="110" w:type="dxa"/>
            </w:tcMar>
          </w:tcPr>
          <w:p w14:paraId="6733F56C" w14:textId="77777777" w:rsidR="005A61A7" w:rsidRDefault="00000000">
            <w:pPr>
              <w:spacing w:line="250" w:lineRule="auto"/>
            </w:pPr>
            <w:r>
              <w:rPr>
                <w:b/>
                <w:bCs/>
                <w:sz w:val="19"/>
                <w:szCs w:val="19"/>
              </w:rPr>
              <w:t>Factor</w:t>
            </w:r>
          </w:p>
        </w:tc>
        <w:tc>
          <w:tcPr>
            <w:tcW w:w="4100" w:type="dxa"/>
            <w:shd w:val="clear" w:color="auto" w:fill="E8EDF2"/>
            <w:tcMar>
              <w:top w:w="70" w:type="dxa"/>
              <w:left w:w="110" w:type="dxa"/>
              <w:bottom w:w="70" w:type="dxa"/>
              <w:right w:w="110" w:type="dxa"/>
            </w:tcMar>
          </w:tcPr>
          <w:p w14:paraId="4F5B280B" w14:textId="77777777" w:rsidR="005A61A7" w:rsidRDefault="00000000">
            <w:pPr>
              <w:spacing w:line="250" w:lineRule="auto"/>
              <w:jc w:val="center"/>
            </w:pPr>
            <w:r>
              <w:rPr>
                <w:b/>
                <w:bCs/>
                <w:sz w:val="19"/>
                <w:szCs w:val="19"/>
              </w:rPr>
              <w:t>How it was tested</w:t>
            </w:r>
          </w:p>
        </w:tc>
        <w:tc>
          <w:tcPr>
            <w:tcW w:w="2476" w:type="dxa"/>
            <w:shd w:val="clear" w:color="auto" w:fill="E8EDF2"/>
            <w:tcMar>
              <w:top w:w="70" w:type="dxa"/>
              <w:left w:w="110" w:type="dxa"/>
              <w:bottom w:w="70" w:type="dxa"/>
              <w:right w:w="110" w:type="dxa"/>
            </w:tcMar>
          </w:tcPr>
          <w:p w14:paraId="771C18D7" w14:textId="77777777" w:rsidR="005A61A7" w:rsidRDefault="00000000">
            <w:pPr>
              <w:spacing w:line="250" w:lineRule="auto"/>
              <w:jc w:val="center"/>
            </w:pPr>
            <w:r>
              <w:rPr>
                <w:b/>
                <w:bCs/>
                <w:sz w:val="19"/>
                <w:szCs w:val="19"/>
              </w:rPr>
              <w:t>Result</w:t>
            </w:r>
          </w:p>
        </w:tc>
      </w:tr>
      <w:tr w:rsidR="005A61A7" w14:paraId="177E022A" w14:textId="77777777">
        <w:tblPrEx>
          <w:tblCellMar>
            <w:top w:w="0" w:type="dxa"/>
            <w:bottom w:w="0" w:type="dxa"/>
          </w:tblCellMar>
        </w:tblPrEx>
        <w:trPr>
          <w:cantSplit/>
        </w:trPr>
        <w:tc>
          <w:tcPr>
            <w:tcW w:w="2450" w:type="dxa"/>
            <w:tcMar>
              <w:top w:w="70" w:type="dxa"/>
              <w:left w:w="110" w:type="dxa"/>
              <w:bottom w:w="70" w:type="dxa"/>
              <w:right w:w="110" w:type="dxa"/>
            </w:tcMar>
          </w:tcPr>
          <w:p w14:paraId="5BB99727" w14:textId="77777777" w:rsidR="005A61A7" w:rsidRDefault="00000000">
            <w:pPr>
              <w:spacing w:line="250" w:lineRule="auto"/>
            </w:pPr>
            <w:r>
              <w:rPr>
                <w:sz w:val="19"/>
                <w:szCs w:val="19"/>
              </w:rPr>
              <w:t>Field of view</w:t>
            </w:r>
          </w:p>
        </w:tc>
        <w:tc>
          <w:tcPr>
            <w:tcW w:w="4100" w:type="dxa"/>
            <w:tcMar>
              <w:top w:w="70" w:type="dxa"/>
              <w:left w:w="110" w:type="dxa"/>
              <w:bottom w:w="70" w:type="dxa"/>
              <w:right w:w="110" w:type="dxa"/>
            </w:tcMar>
          </w:tcPr>
          <w:p w14:paraId="79E890AD" w14:textId="77777777" w:rsidR="005A61A7" w:rsidRDefault="00000000">
            <w:pPr>
              <w:spacing w:line="250" w:lineRule="auto"/>
              <w:jc w:val="center"/>
            </w:pPr>
            <w:r>
              <w:rPr>
                <w:sz w:val="19"/>
                <w:szCs w:val="19"/>
              </w:rPr>
              <w:t xml:space="preserve">Native gland bounding box mapped through the same resample and 384 </w:t>
            </w:r>
            <w:proofErr w:type="spellStart"/>
            <w:r>
              <w:rPr>
                <w:sz w:val="19"/>
                <w:szCs w:val="19"/>
              </w:rPr>
              <w:t>px</w:t>
            </w:r>
            <w:proofErr w:type="spellEnd"/>
            <w:r>
              <w:rPr>
                <w:sz w:val="19"/>
                <w:szCs w:val="19"/>
              </w:rPr>
              <w:t xml:space="preserve"> </w:t>
            </w:r>
            <w:proofErr w:type="gramStart"/>
            <w:r>
              <w:rPr>
                <w:sz w:val="19"/>
                <w:szCs w:val="19"/>
              </w:rPr>
              <w:t>crop</w:t>
            </w:r>
            <w:proofErr w:type="gramEnd"/>
          </w:p>
        </w:tc>
        <w:tc>
          <w:tcPr>
            <w:tcW w:w="2476" w:type="dxa"/>
            <w:tcMar>
              <w:top w:w="70" w:type="dxa"/>
              <w:left w:w="110" w:type="dxa"/>
              <w:bottom w:w="70" w:type="dxa"/>
              <w:right w:w="110" w:type="dxa"/>
            </w:tcMar>
          </w:tcPr>
          <w:p w14:paraId="6A03310F" w14:textId="77777777" w:rsidR="005A61A7" w:rsidRDefault="00000000">
            <w:pPr>
              <w:spacing w:line="250" w:lineRule="auto"/>
              <w:jc w:val="center"/>
            </w:pPr>
            <w:r>
              <w:rPr>
                <w:sz w:val="19"/>
                <w:szCs w:val="19"/>
              </w:rPr>
              <w:t>Not a factor — all glands inside, 95–102% of voxels retained</w:t>
            </w:r>
          </w:p>
        </w:tc>
      </w:tr>
      <w:tr w:rsidR="005A61A7" w14:paraId="75BE0C60" w14:textId="77777777">
        <w:tblPrEx>
          <w:tblCellMar>
            <w:top w:w="0" w:type="dxa"/>
            <w:bottom w:w="0" w:type="dxa"/>
          </w:tblCellMar>
        </w:tblPrEx>
        <w:trPr>
          <w:cantSplit/>
        </w:trPr>
        <w:tc>
          <w:tcPr>
            <w:tcW w:w="2450" w:type="dxa"/>
            <w:shd w:val="clear" w:color="auto" w:fill="F6F8FA"/>
            <w:tcMar>
              <w:top w:w="70" w:type="dxa"/>
              <w:left w:w="110" w:type="dxa"/>
              <w:bottom w:w="70" w:type="dxa"/>
              <w:right w:w="110" w:type="dxa"/>
            </w:tcMar>
          </w:tcPr>
          <w:p w14:paraId="5825C672" w14:textId="77777777" w:rsidR="005A61A7" w:rsidRDefault="00000000">
            <w:pPr>
              <w:spacing w:line="250" w:lineRule="auto"/>
            </w:pPr>
            <w:r>
              <w:rPr>
                <w:sz w:val="19"/>
                <w:szCs w:val="19"/>
              </w:rPr>
              <w:t>Left/right confusion</w:t>
            </w:r>
          </w:p>
        </w:tc>
        <w:tc>
          <w:tcPr>
            <w:tcW w:w="4100" w:type="dxa"/>
            <w:shd w:val="clear" w:color="auto" w:fill="F6F8FA"/>
            <w:tcMar>
              <w:top w:w="70" w:type="dxa"/>
              <w:left w:w="110" w:type="dxa"/>
              <w:bottom w:w="70" w:type="dxa"/>
              <w:right w:w="110" w:type="dxa"/>
            </w:tcMar>
          </w:tcPr>
          <w:p w14:paraId="3C3ADE4D" w14:textId="77777777" w:rsidR="005A61A7" w:rsidRDefault="00000000">
            <w:pPr>
              <w:spacing w:line="250" w:lineRule="auto"/>
              <w:jc w:val="center"/>
            </w:pPr>
            <w:r>
              <w:rPr>
                <w:sz w:val="19"/>
                <w:szCs w:val="19"/>
              </w:rPr>
              <w:t>Each prediction scored against the opposite gland's ground truth</w:t>
            </w:r>
          </w:p>
        </w:tc>
        <w:tc>
          <w:tcPr>
            <w:tcW w:w="2476" w:type="dxa"/>
            <w:shd w:val="clear" w:color="auto" w:fill="F6F8FA"/>
            <w:tcMar>
              <w:top w:w="70" w:type="dxa"/>
              <w:left w:w="110" w:type="dxa"/>
              <w:bottom w:w="70" w:type="dxa"/>
              <w:right w:w="110" w:type="dxa"/>
            </w:tcMar>
          </w:tcPr>
          <w:p w14:paraId="396F167A" w14:textId="77777777" w:rsidR="005A61A7" w:rsidRDefault="00000000">
            <w:pPr>
              <w:spacing w:line="250" w:lineRule="auto"/>
              <w:jc w:val="center"/>
            </w:pPr>
            <w:r>
              <w:rPr>
                <w:sz w:val="19"/>
                <w:szCs w:val="19"/>
              </w:rPr>
              <w:t>Not a factor — 0.000 in every case</w:t>
            </w:r>
          </w:p>
        </w:tc>
      </w:tr>
      <w:tr w:rsidR="005A61A7" w14:paraId="37CBC98A" w14:textId="77777777">
        <w:tblPrEx>
          <w:tblCellMar>
            <w:top w:w="0" w:type="dxa"/>
            <w:bottom w:w="0" w:type="dxa"/>
          </w:tblCellMar>
        </w:tblPrEx>
        <w:trPr>
          <w:cantSplit/>
        </w:trPr>
        <w:tc>
          <w:tcPr>
            <w:tcW w:w="2450" w:type="dxa"/>
            <w:tcMar>
              <w:top w:w="70" w:type="dxa"/>
              <w:left w:w="110" w:type="dxa"/>
              <w:bottom w:w="70" w:type="dxa"/>
              <w:right w:w="110" w:type="dxa"/>
            </w:tcMar>
          </w:tcPr>
          <w:p w14:paraId="16EDB8B6" w14:textId="77777777" w:rsidR="005A61A7" w:rsidRDefault="00000000">
            <w:pPr>
              <w:spacing w:line="250" w:lineRule="auto"/>
            </w:pPr>
            <w:r>
              <w:rPr>
                <w:sz w:val="19"/>
                <w:szCs w:val="19"/>
              </w:rPr>
              <w:t>Threshold calibration</w:t>
            </w:r>
          </w:p>
        </w:tc>
        <w:tc>
          <w:tcPr>
            <w:tcW w:w="4100" w:type="dxa"/>
            <w:tcMar>
              <w:top w:w="70" w:type="dxa"/>
              <w:left w:w="110" w:type="dxa"/>
              <w:bottom w:w="70" w:type="dxa"/>
              <w:right w:w="110" w:type="dxa"/>
            </w:tcMar>
          </w:tcPr>
          <w:p w14:paraId="38D3DF15" w14:textId="77777777" w:rsidR="005A61A7" w:rsidRDefault="00000000">
            <w:pPr>
              <w:spacing w:line="250" w:lineRule="auto"/>
              <w:jc w:val="center"/>
            </w:pPr>
            <w:r>
              <w:rPr>
                <w:sz w:val="19"/>
                <w:szCs w:val="19"/>
              </w:rPr>
              <w:t>Per-case oracle threshold against one global threshold</w:t>
            </w:r>
          </w:p>
        </w:tc>
        <w:tc>
          <w:tcPr>
            <w:tcW w:w="2476" w:type="dxa"/>
            <w:tcMar>
              <w:top w:w="70" w:type="dxa"/>
              <w:left w:w="110" w:type="dxa"/>
              <w:bottom w:w="70" w:type="dxa"/>
              <w:right w:w="110" w:type="dxa"/>
            </w:tcMar>
          </w:tcPr>
          <w:p w14:paraId="3321EE9D" w14:textId="77777777" w:rsidR="005A61A7" w:rsidRDefault="00000000">
            <w:pPr>
              <w:spacing w:line="250" w:lineRule="auto"/>
              <w:jc w:val="center"/>
            </w:pPr>
            <w:r>
              <w:rPr>
                <w:sz w:val="19"/>
                <w:szCs w:val="19"/>
              </w:rPr>
              <w:t>Marginal — worth +0.010 Dice at best</w:t>
            </w:r>
          </w:p>
        </w:tc>
      </w:tr>
      <w:tr w:rsidR="005A61A7" w14:paraId="615D1BE4" w14:textId="77777777">
        <w:tblPrEx>
          <w:tblCellMar>
            <w:top w:w="0" w:type="dxa"/>
            <w:bottom w:w="0" w:type="dxa"/>
          </w:tblCellMar>
        </w:tblPrEx>
        <w:trPr>
          <w:cantSplit/>
        </w:trPr>
        <w:tc>
          <w:tcPr>
            <w:tcW w:w="2450" w:type="dxa"/>
            <w:shd w:val="clear" w:color="auto" w:fill="F6F8FA"/>
            <w:tcMar>
              <w:top w:w="70" w:type="dxa"/>
              <w:left w:w="110" w:type="dxa"/>
              <w:bottom w:w="70" w:type="dxa"/>
              <w:right w:w="110" w:type="dxa"/>
            </w:tcMar>
          </w:tcPr>
          <w:p w14:paraId="1FFF7812" w14:textId="77777777" w:rsidR="005A61A7" w:rsidRDefault="00000000">
            <w:pPr>
              <w:spacing w:line="250" w:lineRule="auto"/>
            </w:pPr>
            <w:r>
              <w:rPr>
                <w:sz w:val="19"/>
                <w:szCs w:val="19"/>
              </w:rPr>
              <w:lastRenderedPageBreak/>
              <w:t>Slice thickness</w:t>
            </w:r>
          </w:p>
        </w:tc>
        <w:tc>
          <w:tcPr>
            <w:tcW w:w="4100" w:type="dxa"/>
            <w:shd w:val="clear" w:color="auto" w:fill="F6F8FA"/>
            <w:tcMar>
              <w:top w:w="70" w:type="dxa"/>
              <w:left w:w="110" w:type="dxa"/>
              <w:bottom w:w="70" w:type="dxa"/>
              <w:right w:w="110" w:type="dxa"/>
            </w:tcMar>
          </w:tcPr>
          <w:p w14:paraId="26AE0236" w14:textId="77777777" w:rsidR="005A61A7" w:rsidRDefault="00000000">
            <w:pPr>
              <w:spacing w:line="250" w:lineRule="auto"/>
              <w:jc w:val="center"/>
            </w:pPr>
            <w:r>
              <w:rPr>
                <w:sz w:val="19"/>
                <w:szCs w:val="19"/>
              </w:rPr>
              <w:t>Dice stratified by native z-spacing</w:t>
            </w:r>
          </w:p>
        </w:tc>
        <w:tc>
          <w:tcPr>
            <w:tcW w:w="2476" w:type="dxa"/>
            <w:shd w:val="clear" w:color="auto" w:fill="F6F8FA"/>
            <w:tcMar>
              <w:top w:w="70" w:type="dxa"/>
              <w:left w:w="110" w:type="dxa"/>
              <w:bottom w:w="70" w:type="dxa"/>
              <w:right w:w="110" w:type="dxa"/>
            </w:tcMar>
          </w:tcPr>
          <w:p w14:paraId="7C97A9E1" w14:textId="77777777" w:rsidR="005A61A7" w:rsidRDefault="00000000">
            <w:pPr>
              <w:spacing w:line="250" w:lineRule="auto"/>
              <w:jc w:val="center"/>
            </w:pPr>
            <w:r>
              <w:rPr>
                <w:sz w:val="19"/>
                <w:szCs w:val="19"/>
              </w:rPr>
              <w:t>Inverse of expectation — ≥ 5 mm scores 0.757, 2–3 mm scores 0.727</w:t>
            </w:r>
          </w:p>
        </w:tc>
      </w:tr>
    </w:tbl>
    <w:p w14:paraId="4C03DD1C" w14:textId="77777777" w:rsidR="005A61A7" w:rsidRDefault="00000000">
      <w:pPr>
        <w:spacing w:before="60" w:after="160"/>
      </w:pPr>
      <w:r>
        <w:rPr>
          <w:i/>
          <w:iCs/>
          <w:color w:val="5A6B7A"/>
          <w:sz w:val="17"/>
          <w:szCs w:val="17"/>
        </w:rPr>
        <w:t xml:space="preserve">Table 2. Four factors </w:t>
      </w:r>
      <w:proofErr w:type="gramStart"/>
      <w:r>
        <w:rPr>
          <w:i/>
          <w:iCs/>
          <w:color w:val="5A6B7A"/>
          <w:sz w:val="17"/>
          <w:szCs w:val="17"/>
        </w:rPr>
        <w:t>tested</w:t>
      </w:r>
      <w:proofErr w:type="gramEnd"/>
      <w:r>
        <w:rPr>
          <w:i/>
          <w:iCs/>
          <w:color w:val="5A6B7A"/>
          <w:sz w:val="17"/>
          <w:szCs w:val="17"/>
        </w:rPr>
        <w:t xml:space="preserve"> and eliminated. The slice-thickness result is the reverse of the usual </w:t>
      </w:r>
      <w:proofErr w:type="gramStart"/>
      <w:r>
        <w:rPr>
          <w:i/>
          <w:iCs/>
          <w:color w:val="5A6B7A"/>
          <w:sz w:val="17"/>
          <w:szCs w:val="17"/>
        </w:rPr>
        <w:t>assumption, and</w:t>
      </w:r>
      <w:proofErr w:type="gramEnd"/>
      <w:r>
        <w:rPr>
          <w:i/>
          <w:iCs/>
          <w:color w:val="5A6B7A"/>
          <w:sz w:val="17"/>
          <w:szCs w:val="17"/>
        </w:rPr>
        <w:t xml:space="preserve"> argues against pursuing finer through-plane resolution.</w:t>
      </w:r>
    </w:p>
    <w:p w14:paraId="4B46487F" w14:textId="77777777" w:rsidR="005A61A7" w:rsidRDefault="00000000">
      <w:pPr>
        <w:spacing w:after="100" w:line="276" w:lineRule="auto"/>
      </w:pPr>
      <w:r>
        <w:t>One factor does predict performance, clearly and monotonically up to the median: gland size.</w:t>
      </w:r>
    </w:p>
    <w:tbl>
      <w:tblPr>
        <w:tblW w:w="9026" w:type="dxa"/>
        <w:tblBorders>
          <w:top w:val="single" w:sz="2" w:space="0" w:color="B7C4D0"/>
          <w:left w:val="single" w:sz="2" w:space="0" w:color="B7C4D0"/>
          <w:bottom w:val="single" w:sz="2" w:space="0" w:color="B7C4D0"/>
          <w:right w:val="single" w:sz="2" w:space="0" w:color="B7C4D0"/>
          <w:insideH w:val="single" w:sz="1" w:space="0" w:color="D4DDE5"/>
          <w:insideV w:val="single" w:sz="1" w:space="0" w:color="D4DDE5"/>
        </w:tblBorders>
        <w:tblCellMar>
          <w:left w:w="10" w:type="dxa"/>
          <w:right w:w="10" w:type="dxa"/>
        </w:tblCellMar>
        <w:tblLook w:val="0000" w:firstRow="0" w:lastRow="0" w:firstColumn="0" w:lastColumn="0" w:noHBand="0" w:noVBand="0"/>
      </w:tblPr>
      <w:tblGrid>
        <w:gridCol w:w="2800"/>
        <w:gridCol w:w="1300"/>
        <w:gridCol w:w="1900"/>
        <w:gridCol w:w="3026"/>
      </w:tblGrid>
      <w:tr w:rsidR="005A61A7" w14:paraId="043B3769" w14:textId="77777777">
        <w:tblPrEx>
          <w:tblCellMar>
            <w:top w:w="0" w:type="dxa"/>
            <w:bottom w:w="0" w:type="dxa"/>
          </w:tblCellMar>
        </w:tblPrEx>
        <w:trPr>
          <w:tblHeader/>
        </w:trPr>
        <w:tc>
          <w:tcPr>
            <w:tcW w:w="2800" w:type="dxa"/>
            <w:shd w:val="clear" w:color="auto" w:fill="E8EDF2"/>
            <w:tcMar>
              <w:top w:w="70" w:type="dxa"/>
              <w:left w:w="110" w:type="dxa"/>
              <w:bottom w:w="70" w:type="dxa"/>
              <w:right w:w="110" w:type="dxa"/>
            </w:tcMar>
          </w:tcPr>
          <w:p w14:paraId="62581B5B" w14:textId="77777777" w:rsidR="005A61A7" w:rsidRDefault="00000000">
            <w:pPr>
              <w:spacing w:line="250" w:lineRule="auto"/>
            </w:pPr>
            <w:r>
              <w:rPr>
                <w:b/>
                <w:bCs/>
                <w:sz w:val="19"/>
                <w:szCs w:val="19"/>
              </w:rPr>
              <w:t>Gland volume</w:t>
            </w:r>
          </w:p>
        </w:tc>
        <w:tc>
          <w:tcPr>
            <w:tcW w:w="1300" w:type="dxa"/>
            <w:shd w:val="clear" w:color="auto" w:fill="E8EDF2"/>
            <w:tcMar>
              <w:top w:w="70" w:type="dxa"/>
              <w:left w:w="110" w:type="dxa"/>
              <w:bottom w:w="70" w:type="dxa"/>
              <w:right w:w="110" w:type="dxa"/>
            </w:tcMar>
          </w:tcPr>
          <w:p w14:paraId="691E6F7D" w14:textId="77777777" w:rsidR="005A61A7" w:rsidRDefault="00000000">
            <w:pPr>
              <w:spacing w:line="250" w:lineRule="auto"/>
              <w:jc w:val="center"/>
            </w:pPr>
            <w:r>
              <w:rPr>
                <w:b/>
                <w:bCs/>
                <w:sz w:val="19"/>
                <w:szCs w:val="19"/>
              </w:rPr>
              <w:t>n</w:t>
            </w:r>
          </w:p>
        </w:tc>
        <w:tc>
          <w:tcPr>
            <w:tcW w:w="1900" w:type="dxa"/>
            <w:shd w:val="clear" w:color="auto" w:fill="E8EDF2"/>
            <w:tcMar>
              <w:top w:w="70" w:type="dxa"/>
              <w:left w:w="110" w:type="dxa"/>
              <w:bottom w:w="70" w:type="dxa"/>
              <w:right w:w="110" w:type="dxa"/>
            </w:tcMar>
          </w:tcPr>
          <w:p w14:paraId="4FA7EACC" w14:textId="77777777" w:rsidR="005A61A7" w:rsidRDefault="00000000">
            <w:pPr>
              <w:spacing w:line="250" w:lineRule="auto"/>
              <w:jc w:val="center"/>
            </w:pPr>
            <w:r>
              <w:rPr>
                <w:b/>
                <w:bCs/>
                <w:sz w:val="19"/>
                <w:szCs w:val="19"/>
              </w:rPr>
              <w:t>Mean Dice</w:t>
            </w:r>
          </w:p>
        </w:tc>
        <w:tc>
          <w:tcPr>
            <w:tcW w:w="3026" w:type="dxa"/>
            <w:shd w:val="clear" w:color="auto" w:fill="E8EDF2"/>
            <w:tcMar>
              <w:top w:w="70" w:type="dxa"/>
              <w:left w:w="110" w:type="dxa"/>
              <w:bottom w:w="70" w:type="dxa"/>
              <w:right w:w="110" w:type="dxa"/>
            </w:tcMar>
          </w:tcPr>
          <w:p w14:paraId="77E76C86" w14:textId="77777777" w:rsidR="005A61A7" w:rsidRDefault="00000000">
            <w:pPr>
              <w:spacing w:line="250" w:lineRule="auto"/>
              <w:jc w:val="center"/>
            </w:pPr>
            <w:r>
              <w:rPr>
                <w:b/>
                <w:bCs/>
                <w:sz w:val="19"/>
                <w:szCs w:val="19"/>
              </w:rPr>
              <w:t>Median</w:t>
            </w:r>
          </w:p>
        </w:tc>
      </w:tr>
      <w:tr w:rsidR="005A61A7" w14:paraId="6EA49D30" w14:textId="77777777">
        <w:tblPrEx>
          <w:tblCellMar>
            <w:top w:w="0" w:type="dxa"/>
            <w:bottom w:w="0" w:type="dxa"/>
          </w:tblCellMar>
        </w:tblPrEx>
        <w:trPr>
          <w:cantSplit/>
        </w:trPr>
        <w:tc>
          <w:tcPr>
            <w:tcW w:w="2800" w:type="dxa"/>
            <w:tcMar>
              <w:top w:w="70" w:type="dxa"/>
              <w:left w:w="110" w:type="dxa"/>
              <w:bottom w:w="70" w:type="dxa"/>
              <w:right w:w="110" w:type="dxa"/>
            </w:tcMar>
          </w:tcPr>
          <w:p w14:paraId="6EC96BD1" w14:textId="77777777" w:rsidR="005A61A7" w:rsidRDefault="00000000">
            <w:pPr>
              <w:spacing w:line="250" w:lineRule="auto"/>
            </w:pPr>
            <w:r>
              <w:rPr>
                <w:sz w:val="19"/>
                <w:szCs w:val="19"/>
              </w:rPr>
              <w:t>&lt; 2 630 mm³</w:t>
            </w:r>
          </w:p>
        </w:tc>
        <w:tc>
          <w:tcPr>
            <w:tcW w:w="1300" w:type="dxa"/>
            <w:tcMar>
              <w:top w:w="70" w:type="dxa"/>
              <w:left w:w="110" w:type="dxa"/>
              <w:bottom w:w="70" w:type="dxa"/>
              <w:right w:w="110" w:type="dxa"/>
            </w:tcMar>
          </w:tcPr>
          <w:p w14:paraId="403A255D" w14:textId="77777777" w:rsidR="005A61A7" w:rsidRDefault="00000000">
            <w:pPr>
              <w:spacing w:line="250" w:lineRule="auto"/>
              <w:jc w:val="center"/>
            </w:pPr>
            <w:r>
              <w:rPr>
                <w:sz w:val="19"/>
                <w:szCs w:val="19"/>
              </w:rPr>
              <w:t>49</w:t>
            </w:r>
          </w:p>
        </w:tc>
        <w:tc>
          <w:tcPr>
            <w:tcW w:w="1900" w:type="dxa"/>
            <w:tcMar>
              <w:top w:w="70" w:type="dxa"/>
              <w:left w:w="110" w:type="dxa"/>
              <w:bottom w:w="70" w:type="dxa"/>
              <w:right w:w="110" w:type="dxa"/>
            </w:tcMar>
          </w:tcPr>
          <w:p w14:paraId="11B8451E" w14:textId="77777777" w:rsidR="005A61A7" w:rsidRDefault="00000000">
            <w:pPr>
              <w:spacing w:line="250" w:lineRule="auto"/>
              <w:jc w:val="center"/>
            </w:pPr>
            <w:r>
              <w:rPr>
                <w:sz w:val="19"/>
                <w:szCs w:val="19"/>
              </w:rPr>
              <w:t>0.676</w:t>
            </w:r>
          </w:p>
        </w:tc>
        <w:tc>
          <w:tcPr>
            <w:tcW w:w="3026" w:type="dxa"/>
            <w:tcMar>
              <w:top w:w="70" w:type="dxa"/>
              <w:left w:w="110" w:type="dxa"/>
              <w:bottom w:w="70" w:type="dxa"/>
              <w:right w:w="110" w:type="dxa"/>
            </w:tcMar>
          </w:tcPr>
          <w:p w14:paraId="65404BB0" w14:textId="77777777" w:rsidR="005A61A7" w:rsidRDefault="00000000">
            <w:pPr>
              <w:spacing w:line="250" w:lineRule="auto"/>
              <w:jc w:val="center"/>
            </w:pPr>
            <w:r>
              <w:rPr>
                <w:sz w:val="19"/>
                <w:szCs w:val="19"/>
              </w:rPr>
              <w:t>0.721</w:t>
            </w:r>
          </w:p>
        </w:tc>
      </w:tr>
      <w:tr w:rsidR="005A61A7" w14:paraId="24BCAD82" w14:textId="77777777">
        <w:tblPrEx>
          <w:tblCellMar>
            <w:top w:w="0" w:type="dxa"/>
            <w:bottom w:w="0" w:type="dxa"/>
          </w:tblCellMar>
        </w:tblPrEx>
        <w:trPr>
          <w:cantSplit/>
        </w:trPr>
        <w:tc>
          <w:tcPr>
            <w:tcW w:w="2800" w:type="dxa"/>
            <w:shd w:val="clear" w:color="auto" w:fill="F6F8FA"/>
            <w:tcMar>
              <w:top w:w="70" w:type="dxa"/>
              <w:left w:w="110" w:type="dxa"/>
              <w:bottom w:w="70" w:type="dxa"/>
              <w:right w:w="110" w:type="dxa"/>
            </w:tcMar>
          </w:tcPr>
          <w:p w14:paraId="3C2F3D1D" w14:textId="77777777" w:rsidR="005A61A7" w:rsidRDefault="00000000">
            <w:pPr>
              <w:spacing w:line="250" w:lineRule="auto"/>
            </w:pPr>
            <w:r>
              <w:rPr>
                <w:sz w:val="19"/>
                <w:szCs w:val="19"/>
              </w:rPr>
              <w:t>2 630 – 3 295 mm³</w:t>
            </w:r>
          </w:p>
        </w:tc>
        <w:tc>
          <w:tcPr>
            <w:tcW w:w="1300" w:type="dxa"/>
            <w:shd w:val="clear" w:color="auto" w:fill="F6F8FA"/>
            <w:tcMar>
              <w:top w:w="70" w:type="dxa"/>
              <w:left w:w="110" w:type="dxa"/>
              <w:bottom w:w="70" w:type="dxa"/>
              <w:right w:w="110" w:type="dxa"/>
            </w:tcMar>
          </w:tcPr>
          <w:p w14:paraId="7B4852FB" w14:textId="77777777" w:rsidR="005A61A7" w:rsidRDefault="00000000">
            <w:pPr>
              <w:spacing w:line="250" w:lineRule="auto"/>
              <w:jc w:val="center"/>
            </w:pPr>
            <w:r>
              <w:rPr>
                <w:sz w:val="19"/>
                <w:szCs w:val="19"/>
              </w:rPr>
              <w:t>50</w:t>
            </w:r>
          </w:p>
        </w:tc>
        <w:tc>
          <w:tcPr>
            <w:tcW w:w="1900" w:type="dxa"/>
            <w:shd w:val="clear" w:color="auto" w:fill="F6F8FA"/>
            <w:tcMar>
              <w:top w:w="70" w:type="dxa"/>
              <w:left w:w="110" w:type="dxa"/>
              <w:bottom w:w="70" w:type="dxa"/>
              <w:right w:w="110" w:type="dxa"/>
            </w:tcMar>
          </w:tcPr>
          <w:p w14:paraId="20A45209" w14:textId="77777777" w:rsidR="005A61A7" w:rsidRDefault="00000000">
            <w:pPr>
              <w:spacing w:line="250" w:lineRule="auto"/>
              <w:jc w:val="center"/>
            </w:pPr>
            <w:r>
              <w:rPr>
                <w:sz w:val="19"/>
                <w:szCs w:val="19"/>
              </w:rPr>
              <w:t>0.755</w:t>
            </w:r>
          </w:p>
        </w:tc>
        <w:tc>
          <w:tcPr>
            <w:tcW w:w="3026" w:type="dxa"/>
            <w:shd w:val="clear" w:color="auto" w:fill="F6F8FA"/>
            <w:tcMar>
              <w:top w:w="70" w:type="dxa"/>
              <w:left w:w="110" w:type="dxa"/>
              <w:bottom w:w="70" w:type="dxa"/>
              <w:right w:w="110" w:type="dxa"/>
            </w:tcMar>
          </w:tcPr>
          <w:p w14:paraId="5AEBD7A5" w14:textId="77777777" w:rsidR="005A61A7" w:rsidRDefault="00000000">
            <w:pPr>
              <w:spacing w:line="250" w:lineRule="auto"/>
              <w:jc w:val="center"/>
            </w:pPr>
            <w:r>
              <w:rPr>
                <w:sz w:val="19"/>
                <w:szCs w:val="19"/>
              </w:rPr>
              <w:t>0.772</w:t>
            </w:r>
          </w:p>
        </w:tc>
      </w:tr>
      <w:tr w:rsidR="005A61A7" w14:paraId="358D129F" w14:textId="77777777">
        <w:tblPrEx>
          <w:tblCellMar>
            <w:top w:w="0" w:type="dxa"/>
            <w:bottom w:w="0" w:type="dxa"/>
          </w:tblCellMar>
        </w:tblPrEx>
        <w:trPr>
          <w:cantSplit/>
        </w:trPr>
        <w:tc>
          <w:tcPr>
            <w:tcW w:w="2800" w:type="dxa"/>
            <w:tcMar>
              <w:top w:w="70" w:type="dxa"/>
              <w:left w:w="110" w:type="dxa"/>
              <w:bottom w:w="70" w:type="dxa"/>
              <w:right w:w="110" w:type="dxa"/>
            </w:tcMar>
          </w:tcPr>
          <w:p w14:paraId="75592286" w14:textId="77777777" w:rsidR="005A61A7" w:rsidRDefault="00000000">
            <w:pPr>
              <w:spacing w:line="250" w:lineRule="auto"/>
            </w:pPr>
            <w:r>
              <w:rPr>
                <w:sz w:val="19"/>
                <w:szCs w:val="19"/>
              </w:rPr>
              <w:t>3 295 – 4 150 mm³</w:t>
            </w:r>
          </w:p>
        </w:tc>
        <w:tc>
          <w:tcPr>
            <w:tcW w:w="1300" w:type="dxa"/>
            <w:tcMar>
              <w:top w:w="70" w:type="dxa"/>
              <w:left w:w="110" w:type="dxa"/>
              <w:bottom w:w="70" w:type="dxa"/>
              <w:right w:w="110" w:type="dxa"/>
            </w:tcMar>
          </w:tcPr>
          <w:p w14:paraId="778E67C3" w14:textId="77777777" w:rsidR="005A61A7" w:rsidRDefault="00000000">
            <w:pPr>
              <w:spacing w:line="250" w:lineRule="auto"/>
              <w:jc w:val="center"/>
            </w:pPr>
            <w:r>
              <w:rPr>
                <w:sz w:val="19"/>
                <w:szCs w:val="19"/>
              </w:rPr>
              <w:t>50</w:t>
            </w:r>
          </w:p>
        </w:tc>
        <w:tc>
          <w:tcPr>
            <w:tcW w:w="1900" w:type="dxa"/>
            <w:tcMar>
              <w:top w:w="70" w:type="dxa"/>
              <w:left w:w="110" w:type="dxa"/>
              <w:bottom w:w="70" w:type="dxa"/>
              <w:right w:w="110" w:type="dxa"/>
            </w:tcMar>
          </w:tcPr>
          <w:p w14:paraId="2D2F9210" w14:textId="77777777" w:rsidR="005A61A7" w:rsidRDefault="00000000">
            <w:pPr>
              <w:spacing w:line="250" w:lineRule="auto"/>
              <w:jc w:val="center"/>
            </w:pPr>
            <w:r>
              <w:rPr>
                <w:sz w:val="19"/>
                <w:szCs w:val="19"/>
              </w:rPr>
              <w:t>0.776</w:t>
            </w:r>
          </w:p>
        </w:tc>
        <w:tc>
          <w:tcPr>
            <w:tcW w:w="3026" w:type="dxa"/>
            <w:tcMar>
              <w:top w:w="70" w:type="dxa"/>
              <w:left w:w="110" w:type="dxa"/>
              <w:bottom w:w="70" w:type="dxa"/>
              <w:right w:w="110" w:type="dxa"/>
            </w:tcMar>
          </w:tcPr>
          <w:p w14:paraId="15032AC9" w14:textId="77777777" w:rsidR="005A61A7" w:rsidRDefault="00000000">
            <w:pPr>
              <w:spacing w:line="250" w:lineRule="auto"/>
              <w:jc w:val="center"/>
            </w:pPr>
            <w:r>
              <w:rPr>
                <w:sz w:val="19"/>
                <w:szCs w:val="19"/>
              </w:rPr>
              <w:t>0.799</w:t>
            </w:r>
          </w:p>
        </w:tc>
      </w:tr>
      <w:tr w:rsidR="005A61A7" w14:paraId="29668A55" w14:textId="77777777">
        <w:tblPrEx>
          <w:tblCellMar>
            <w:top w:w="0" w:type="dxa"/>
            <w:bottom w:w="0" w:type="dxa"/>
          </w:tblCellMar>
        </w:tblPrEx>
        <w:trPr>
          <w:cantSplit/>
        </w:trPr>
        <w:tc>
          <w:tcPr>
            <w:tcW w:w="2800" w:type="dxa"/>
            <w:shd w:val="clear" w:color="auto" w:fill="F6F8FA"/>
            <w:tcMar>
              <w:top w:w="70" w:type="dxa"/>
              <w:left w:w="110" w:type="dxa"/>
              <w:bottom w:w="70" w:type="dxa"/>
              <w:right w:w="110" w:type="dxa"/>
            </w:tcMar>
          </w:tcPr>
          <w:p w14:paraId="0010410C" w14:textId="77777777" w:rsidR="005A61A7" w:rsidRDefault="00000000">
            <w:pPr>
              <w:spacing w:line="250" w:lineRule="auto"/>
            </w:pPr>
            <w:r>
              <w:rPr>
                <w:sz w:val="19"/>
                <w:szCs w:val="19"/>
              </w:rPr>
              <w:t>&gt; 4 150 mm³</w:t>
            </w:r>
          </w:p>
        </w:tc>
        <w:tc>
          <w:tcPr>
            <w:tcW w:w="1300" w:type="dxa"/>
            <w:shd w:val="clear" w:color="auto" w:fill="F6F8FA"/>
            <w:tcMar>
              <w:top w:w="70" w:type="dxa"/>
              <w:left w:w="110" w:type="dxa"/>
              <w:bottom w:w="70" w:type="dxa"/>
              <w:right w:w="110" w:type="dxa"/>
            </w:tcMar>
          </w:tcPr>
          <w:p w14:paraId="0A9C1053" w14:textId="77777777" w:rsidR="005A61A7" w:rsidRDefault="00000000">
            <w:pPr>
              <w:spacing w:line="250" w:lineRule="auto"/>
              <w:jc w:val="center"/>
            </w:pPr>
            <w:r>
              <w:rPr>
                <w:sz w:val="19"/>
                <w:szCs w:val="19"/>
              </w:rPr>
              <w:t>51</w:t>
            </w:r>
          </w:p>
        </w:tc>
        <w:tc>
          <w:tcPr>
            <w:tcW w:w="1900" w:type="dxa"/>
            <w:shd w:val="clear" w:color="auto" w:fill="F6F8FA"/>
            <w:tcMar>
              <w:top w:w="70" w:type="dxa"/>
              <w:left w:w="110" w:type="dxa"/>
              <w:bottom w:w="70" w:type="dxa"/>
              <w:right w:w="110" w:type="dxa"/>
            </w:tcMar>
          </w:tcPr>
          <w:p w14:paraId="202B0504" w14:textId="77777777" w:rsidR="005A61A7" w:rsidRDefault="00000000">
            <w:pPr>
              <w:spacing w:line="250" w:lineRule="auto"/>
              <w:jc w:val="center"/>
            </w:pPr>
            <w:r>
              <w:rPr>
                <w:sz w:val="19"/>
                <w:szCs w:val="19"/>
              </w:rPr>
              <w:t>0.773</w:t>
            </w:r>
          </w:p>
        </w:tc>
        <w:tc>
          <w:tcPr>
            <w:tcW w:w="3026" w:type="dxa"/>
            <w:shd w:val="clear" w:color="auto" w:fill="F6F8FA"/>
            <w:tcMar>
              <w:top w:w="70" w:type="dxa"/>
              <w:left w:w="110" w:type="dxa"/>
              <w:bottom w:w="70" w:type="dxa"/>
              <w:right w:w="110" w:type="dxa"/>
            </w:tcMar>
          </w:tcPr>
          <w:p w14:paraId="2D6C28D0" w14:textId="77777777" w:rsidR="005A61A7" w:rsidRDefault="00000000">
            <w:pPr>
              <w:spacing w:line="250" w:lineRule="auto"/>
              <w:jc w:val="center"/>
            </w:pPr>
            <w:r>
              <w:rPr>
                <w:sz w:val="19"/>
                <w:szCs w:val="19"/>
              </w:rPr>
              <w:t>0.801</w:t>
            </w:r>
          </w:p>
        </w:tc>
      </w:tr>
    </w:tbl>
    <w:p w14:paraId="5DD59F64" w14:textId="77777777" w:rsidR="005A61A7" w:rsidRDefault="00000000">
      <w:pPr>
        <w:spacing w:before="60" w:after="160"/>
      </w:pPr>
      <w:r>
        <w:rPr>
          <w:i/>
          <w:iCs/>
          <w:color w:val="5A6B7A"/>
          <w:sz w:val="17"/>
          <w:szCs w:val="17"/>
        </w:rPr>
        <w:t>Table 3. The top three quartiles are flat; the smallest sits 0.10 below and contains every severe failure.</w:t>
      </w:r>
    </w:p>
    <w:p w14:paraId="6750A83A" w14:textId="77777777" w:rsidR="005A61A7" w:rsidRDefault="00000000">
      <w:pPr>
        <w:spacing w:after="100" w:line="276" w:lineRule="auto"/>
      </w:pPr>
      <w:r>
        <w:t xml:space="preserve">Lifting the smallest quartile to the level of the second would put the overall mean at 0.765. The gland occupies roughly 0.3% of a 384 × 384 field, so an in-plane region-of-interest cascade — </w:t>
      </w:r>
      <w:proofErr w:type="spellStart"/>
      <w:r>
        <w:t>localise</w:t>
      </w:r>
      <w:proofErr w:type="spellEnd"/>
      <w:r>
        <w:t xml:space="preserve">, crop to 128–192 </w:t>
      </w:r>
      <w:proofErr w:type="spellStart"/>
      <w:r>
        <w:t>px</w:t>
      </w:r>
      <w:proofErr w:type="spellEnd"/>
      <w:r>
        <w:t>, segment at full resolution — targets precisely the regime where performance falls away. This is the single change with direct evidence behind it.</w:t>
      </w:r>
    </w:p>
    <w:p w14:paraId="1C529E4D" w14:textId="77777777" w:rsidR="005A61A7" w:rsidRDefault="00000000">
      <w:pPr>
        <w:pStyle w:val="Heading1"/>
        <w:spacing w:before="260" w:after="110"/>
      </w:pPr>
      <w:r>
        <w:rPr>
          <w:b/>
          <w:bCs/>
          <w:color w:val="1F3A54"/>
          <w:sz w:val="26"/>
          <w:szCs w:val="26"/>
        </w:rPr>
        <w:t>4</w:t>
      </w:r>
      <w:proofErr w:type="gramStart"/>
      <w:r>
        <w:rPr>
          <w:b/>
          <w:bCs/>
          <w:color w:val="1F3A54"/>
          <w:sz w:val="26"/>
          <w:szCs w:val="26"/>
        </w:rPr>
        <w:t>.  Post</w:t>
      </w:r>
      <w:proofErr w:type="gramEnd"/>
      <w:r>
        <w:rPr>
          <w:b/>
          <w:bCs/>
          <w:color w:val="1F3A54"/>
          <w:sz w:val="26"/>
          <w:szCs w:val="26"/>
        </w:rPr>
        <w:t>-processing: a result worth reporting in its own right</w:t>
      </w:r>
    </w:p>
    <w:p w14:paraId="288FB2A9" w14:textId="77777777" w:rsidR="005A61A7" w:rsidRDefault="00000000">
      <w:pPr>
        <w:spacing w:after="100" w:line="276" w:lineRule="auto"/>
      </w:pPr>
      <w:r>
        <w:t>Connected-component post-processing contributes +0.002 Dice to this pipeline. In the 2025 pipeline the same operation contributes between +0.04 and +0.26. That difference is large enough to demand an explanation, and the explanation is measurable.</w:t>
      </w:r>
    </w:p>
    <w:p w14:paraId="2BC5CA33" w14:textId="77777777" w:rsidR="005A61A7" w:rsidRDefault="00000000">
      <w:pPr>
        <w:spacing w:after="100" w:line="276" w:lineRule="auto"/>
      </w:pPr>
      <w:r>
        <w:t xml:space="preserve">All six architectures in the 2025 paper operate per slice in 2D. Across its twenty-four model-by-gland-by-dataset entries, the post-processing gain correlates with raw Dice at r = −0.898: the weaker the raw model, the more pruning recovers. Extrapolating that relationship to a raw score of 0.746 predicts a gain of +0.130. This pipeline measures +0.002 — on the same dataset, the same organ and the same metric — and predicts only 2.2 to 2.7 connected components per </w:t>
      </w:r>
      <w:proofErr w:type="gramStart"/>
      <w:r>
        <w:t>gland</w:t>
      </w:r>
      <w:proofErr w:type="gramEnd"/>
      <w:r>
        <w:t>, of which roughly one is removable.</w:t>
      </w:r>
    </w:p>
    <w:p w14:paraId="5DEAC0F8" w14:textId="77777777" w:rsidR="005A61A7" w:rsidRDefault="00000000">
      <w:pPr>
        <w:spacing w:after="100" w:line="276" w:lineRule="auto"/>
      </w:pPr>
      <w:r>
        <w:rPr>
          <w:b/>
          <w:bCs/>
        </w:rPr>
        <w:t xml:space="preserve">Interpretation. </w:t>
      </w:r>
      <w:r>
        <w:t xml:space="preserve">The benefit widely attributed to connected-component pruning in these pipelines is largely the repair of inter-slice incoherence produced by per-slice 2D inference. A 2.5D formulation, which sees </w:t>
      </w:r>
      <w:proofErr w:type="spellStart"/>
      <w:r>
        <w:t>neighbouring</w:t>
      </w:r>
      <w:proofErr w:type="spellEnd"/>
      <w:r>
        <w:t xml:space="preserve"> slices, does not produce that incoherence and therefore has nothing for pruning to remove. A reported improvement is better described as the correction of an architectural defect.</w:t>
      </w:r>
    </w:p>
    <w:p w14:paraId="11F9DE03" w14:textId="77777777" w:rsidR="005A61A7" w:rsidRDefault="00000000">
      <w:pPr>
        <w:spacing w:after="100" w:line="276" w:lineRule="auto"/>
      </w:pPr>
      <w:r>
        <w:t xml:space="preserve">A practical consequence follows. Selecting only the single largest connected component per gland can delete a correct prediction in </w:t>
      </w:r>
      <w:proofErr w:type="spellStart"/>
      <w:r>
        <w:t>favour</w:t>
      </w:r>
      <w:proofErr w:type="spellEnd"/>
      <w:r>
        <w:t xml:space="preserve"> of a larger incorrect one, producing Dice scores of exactly zero on cases the model had partly found. Retaining the two largest components removes that </w:t>
      </w:r>
      <w:proofErr w:type="spellStart"/>
      <w:r>
        <w:t>behaviour</w:t>
      </w:r>
      <w:proofErr w:type="spellEnd"/>
      <w:r>
        <w:t xml:space="preserve"> at a cost below the measurement resolution, and is the setting used here.</w:t>
      </w:r>
    </w:p>
    <w:p w14:paraId="39C6CC7E" w14:textId="77777777" w:rsidR="005A61A7" w:rsidRDefault="00000000">
      <w:pPr>
        <w:pStyle w:val="Heading1"/>
        <w:spacing w:before="260" w:after="110"/>
      </w:pPr>
      <w:r>
        <w:rPr>
          <w:b/>
          <w:bCs/>
          <w:color w:val="1F3A54"/>
          <w:sz w:val="26"/>
          <w:szCs w:val="26"/>
        </w:rPr>
        <w:t>5</w:t>
      </w:r>
      <w:proofErr w:type="gramStart"/>
      <w:r>
        <w:rPr>
          <w:b/>
          <w:bCs/>
          <w:color w:val="1F3A54"/>
          <w:sz w:val="26"/>
          <w:szCs w:val="26"/>
        </w:rPr>
        <w:t>.  Stage</w:t>
      </w:r>
      <w:proofErr w:type="gramEnd"/>
      <w:r>
        <w:rPr>
          <w:b/>
          <w:bCs/>
          <w:color w:val="1F3A54"/>
          <w:sz w:val="26"/>
          <w:szCs w:val="26"/>
        </w:rPr>
        <w:t xml:space="preserve"> A: does slice gating work?</w:t>
      </w:r>
    </w:p>
    <w:p w14:paraId="1A9FC87B" w14:textId="77777777" w:rsidR="005A61A7" w:rsidRDefault="00000000">
      <w:pPr>
        <w:spacing w:after="100" w:line="276" w:lineRule="auto"/>
      </w:pPr>
      <w:r>
        <w:t xml:space="preserve">Yes, and this is the clearest positive result of the work. The best gate removes 63% of slices while retaining 99% of gland-bearing ones — a direct reduction in the segmentation workload with almost no loss of the tissue Stage B needs. Because a missed positive slice removes adrenal tissue permanently while a false positive costs only one wasted segmentation, the operating threshold is </w:t>
      </w:r>
      <w:proofErr w:type="gramStart"/>
      <w:r>
        <w:t>chosen</w:t>
      </w:r>
      <w:proofErr w:type="gramEnd"/>
      <w:r>
        <w:t xml:space="preserve"> post hoc as the highest threshold that still retains 99% of gland-bearing slices, and models are selected on PR-AUC, which is threshold-free.</w:t>
      </w:r>
    </w:p>
    <w:p w14:paraId="7EDACDD4" w14:textId="77777777" w:rsidR="005A61A7" w:rsidRDefault="00000000">
      <w:pPr>
        <w:spacing w:after="100" w:line="276" w:lineRule="auto"/>
      </w:pPr>
      <w:r>
        <w:t xml:space="preserve">Two controls make the architectural comparison interpretable. All arms share one sampler, augmentation scheme, schedule, seed, loss and metric, differing by a single flag. And parameter counts are matched: the </w:t>
      </w:r>
      <w:r>
        <w:lastRenderedPageBreak/>
        <w:t>recurrent baseline is configured to 281,826 parameters against the spiking gate's 285,666, within 2%. Both models also received the same tuning budget of nine configurations.</w:t>
      </w:r>
    </w:p>
    <w:p w14:paraId="2B17323B" w14:textId="77777777" w:rsidR="005A61A7" w:rsidRDefault="00000000">
      <w:pPr>
        <w:pStyle w:val="Heading1"/>
        <w:spacing w:before="260" w:after="110"/>
      </w:pPr>
      <w:r>
        <w:rPr>
          <w:b/>
          <w:bCs/>
          <w:color w:val="1F3A54"/>
          <w:sz w:val="26"/>
          <w:szCs w:val="26"/>
        </w:rPr>
        <w:t>6</w:t>
      </w:r>
      <w:proofErr w:type="gramStart"/>
      <w:r>
        <w:rPr>
          <w:b/>
          <w:bCs/>
          <w:color w:val="1F3A54"/>
          <w:sz w:val="26"/>
          <w:szCs w:val="26"/>
        </w:rPr>
        <w:t>.  Spiking</w:t>
      </w:r>
      <w:proofErr w:type="gramEnd"/>
      <w:r>
        <w:rPr>
          <w:b/>
          <w:bCs/>
          <w:color w:val="1F3A54"/>
          <w:sz w:val="26"/>
          <w:szCs w:val="26"/>
        </w:rPr>
        <w:t xml:space="preserve"> versus recurrent: what </w:t>
      </w:r>
      <w:proofErr w:type="gramStart"/>
      <w:r>
        <w:rPr>
          <w:b/>
          <w:bCs/>
          <w:color w:val="1F3A54"/>
          <w:sz w:val="26"/>
          <w:szCs w:val="26"/>
        </w:rPr>
        <w:t>the evidence</w:t>
      </w:r>
      <w:proofErr w:type="gramEnd"/>
      <w:r>
        <w:rPr>
          <w:b/>
          <w:bCs/>
          <w:color w:val="1F3A54"/>
          <w:sz w:val="26"/>
          <w:szCs w:val="26"/>
        </w:rPr>
        <w:t xml:space="preserve"> shows</w:t>
      </w:r>
    </w:p>
    <w:p w14:paraId="33EED0C9" w14:textId="77777777" w:rsidR="005A61A7" w:rsidRDefault="00000000">
      <w:pPr>
        <w:spacing w:after="100" w:line="276" w:lineRule="auto"/>
      </w:pPr>
      <w:r>
        <w:t>Two distinct questions were tested: whether the spiking gate outperforms the recurrent baseline, and whether the craniocaudal sequence contributes anything at all.</w:t>
      </w:r>
    </w:p>
    <w:p w14:paraId="6BCC7034" w14:textId="77777777" w:rsidR="005A61A7" w:rsidRDefault="00000000">
      <w:pPr>
        <w:pStyle w:val="Heading2"/>
        <w:spacing w:before="180" w:after="80"/>
      </w:pPr>
      <w:r>
        <w:rPr>
          <w:b/>
          <w:bCs/>
          <w:color w:val="33566F"/>
          <w:sz w:val="22"/>
          <w:szCs w:val="22"/>
        </w:rPr>
        <w:t>The architectural comparison</w:t>
      </w:r>
    </w:p>
    <w:tbl>
      <w:tblPr>
        <w:tblW w:w="9060" w:type="dxa"/>
        <w:tblBorders>
          <w:top w:val="single" w:sz="2" w:space="0" w:color="B7C4D0"/>
          <w:left w:val="single" w:sz="2" w:space="0" w:color="B7C4D0"/>
          <w:bottom w:val="single" w:sz="2" w:space="0" w:color="B7C4D0"/>
          <w:right w:val="single" w:sz="2" w:space="0" w:color="B7C4D0"/>
          <w:insideH w:val="single" w:sz="1" w:space="0" w:color="D4DDE5"/>
          <w:insideV w:val="single" w:sz="1" w:space="0" w:color="D4DDE5"/>
        </w:tblBorders>
        <w:tblCellMar>
          <w:left w:w="10" w:type="dxa"/>
          <w:right w:w="10" w:type="dxa"/>
        </w:tblCellMar>
        <w:tblLook w:val="0000" w:firstRow="0" w:lastRow="0" w:firstColumn="0" w:lastColumn="0" w:noHBand="0" w:noVBand="0"/>
      </w:tblPr>
      <w:tblGrid>
        <w:gridCol w:w="2211"/>
        <w:gridCol w:w="1512"/>
        <w:gridCol w:w="1470"/>
        <w:gridCol w:w="1144"/>
        <w:gridCol w:w="1342"/>
        <w:gridCol w:w="1381"/>
      </w:tblGrid>
      <w:tr w:rsidR="00286709" w14:paraId="25410A49" w14:textId="77777777" w:rsidTr="00286709">
        <w:tblPrEx>
          <w:tblCellMar>
            <w:top w:w="0" w:type="dxa"/>
            <w:bottom w:w="0" w:type="dxa"/>
          </w:tblCellMar>
        </w:tblPrEx>
        <w:trPr>
          <w:tblHeader/>
        </w:trPr>
        <w:tc>
          <w:tcPr>
            <w:tcW w:w="2211" w:type="dxa"/>
            <w:shd w:val="clear" w:color="auto" w:fill="E8EDF2"/>
            <w:tcMar>
              <w:top w:w="70" w:type="dxa"/>
              <w:left w:w="110" w:type="dxa"/>
              <w:bottom w:w="70" w:type="dxa"/>
              <w:right w:w="110" w:type="dxa"/>
            </w:tcMar>
          </w:tcPr>
          <w:p w14:paraId="1CF97C25" w14:textId="77777777" w:rsidR="00286709" w:rsidRDefault="00286709">
            <w:pPr>
              <w:spacing w:line="250" w:lineRule="auto"/>
            </w:pPr>
          </w:p>
        </w:tc>
        <w:tc>
          <w:tcPr>
            <w:tcW w:w="1512" w:type="dxa"/>
            <w:shd w:val="clear" w:color="auto" w:fill="E8EDF2"/>
            <w:tcMar>
              <w:top w:w="70" w:type="dxa"/>
              <w:left w:w="110" w:type="dxa"/>
              <w:bottom w:w="70" w:type="dxa"/>
              <w:right w:w="110" w:type="dxa"/>
            </w:tcMar>
          </w:tcPr>
          <w:p w14:paraId="2A1C57A8" w14:textId="77777777" w:rsidR="00286709" w:rsidRDefault="00286709">
            <w:pPr>
              <w:spacing w:line="250" w:lineRule="auto"/>
              <w:jc w:val="center"/>
            </w:pPr>
            <w:r>
              <w:rPr>
                <w:b/>
                <w:bCs/>
                <w:sz w:val="19"/>
                <w:szCs w:val="19"/>
              </w:rPr>
              <w:t>as specified</w:t>
            </w:r>
          </w:p>
        </w:tc>
        <w:tc>
          <w:tcPr>
            <w:tcW w:w="1470" w:type="dxa"/>
            <w:shd w:val="clear" w:color="auto" w:fill="E8EDF2"/>
            <w:tcMar>
              <w:top w:w="70" w:type="dxa"/>
              <w:left w:w="110" w:type="dxa"/>
              <w:bottom w:w="70" w:type="dxa"/>
              <w:right w:w="110" w:type="dxa"/>
            </w:tcMar>
          </w:tcPr>
          <w:p w14:paraId="1C5B950F" w14:textId="77777777" w:rsidR="00286709" w:rsidRDefault="00286709">
            <w:pPr>
              <w:spacing w:line="250" w:lineRule="auto"/>
              <w:jc w:val="center"/>
            </w:pPr>
            <w:r>
              <w:rPr>
                <w:b/>
                <w:bCs/>
                <w:sz w:val="19"/>
                <w:szCs w:val="19"/>
              </w:rPr>
              <w:t>best of nine</w:t>
            </w:r>
          </w:p>
        </w:tc>
        <w:tc>
          <w:tcPr>
            <w:tcW w:w="1144" w:type="dxa"/>
            <w:shd w:val="clear" w:color="auto" w:fill="E8EDF2"/>
          </w:tcPr>
          <w:p w14:paraId="7EE272F0" w14:textId="77777777" w:rsidR="00286709" w:rsidRDefault="00286709">
            <w:pPr>
              <w:spacing w:line="250" w:lineRule="auto"/>
              <w:jc w:val="center"/>
              <w:rPr>
                <w:b/>
                <w:bCs/>
                <w:sz w:val="19"/>
                <w:szCs w:val="19"/>
              </w:rPr>
            </w:pPr>
          </w:p>
        </w:tc>
        <w:tc>
          <w:tcPr>
            <w:tcW w:w="1342" w:type="dxa"/>
            <w:shd w:val="clear" w:color="auto" w:fill="E8EDF2"/>
            <w:tcMar>
              <w:top w:w="70" w:type="dxa"/>
              <w:left w:w="110" w:type="dxa"/>
              <w:bottom w:w="70" w:type="dxa"/>
              <w:right w:w="110" w:type="dxa"/>
            </w:tcMar>
          </w:tcPr>
          <w:p w14:paraId="00722FCD" w14:textId="5D72242B" w:rsidR="00286709" w:rsidRDefault="00286709">
            <w:pPr>
              <w:spacing w:line="250" w:lineRule="auto"/>
              <w:jc w:val="center"/>
            </w:pPr>
            <w:r>
              <w:rPr>
                <w:b/>
                <w:bCs/>
                <w:sz w:val="19"/>
                <w:szCs w:val="19"/>
              </w:rPr>
              <w:t>gain from tuning</w:t>
            </w:r>
          </w:p>
        </w:tc>
        <w:tc>
          <w:tcPr>
            <w:tcW w:w="1381" w:type="dxa"/>
            <w:shd w:val="clear" w:color="auto" w:fill="E8EDF2"/>
            <w:tcMar>
              <w:top w:w="70" w:type="dxa"/>
              <w:left w:w="110" w:type="dxa"/>
              <w:bottom w:w="70" w:type="dxa"/>
              <w:right w:w="110" w:type="dxa"/>
            </w:tcMar>
          </w:tcPr>
          <w:p w14:paraId="37A08CA9" w14:textId="77777777" w:rsidR="00286709" w:rsidRDefault="00286709">
            <w:pPr>
              <w:spacing w:line="250" w:lineRule="auto"/>
              <w:jc w:val="center"/>
            </w:pPr>
            <w:r>
              <w:rPr>
                <w:b/>
                <w:bCs/>
                <w:sz w:val="19"/>
                <w:szCs w:val="19"/>
              </w:rPr>
              <w:t>slices removed</w:t>
            </w:r>
          </w:p>
        </w:tc>
      </w:tr>
      <w:tr w:rsidR="00286709" w14:paraId="431A2E07" w14:textId="77777777" w:rsidTr="00286709">
        <w:tblPrEx>
          <w:tblCellMar>
            <w:top w:w="0" w:type="dxa"/>
            <w:bottom w:w="0" w:type="dxa"/>
          </w:tblCellMar>
        </w:tblPrEx>
        <w:trPr>
          <w:cantSplit/>
        </w:trPr>
        <w:tc>
          <w:tcPr>
            <w:tcW w:w="2211" w:type="dxa"/>
            <w:tcMar>
              <w:top w:w="70" w:type="dxa"/>
              <w:left w:w="110" w:type="dxa"/>
              <w:bottom w:w="70" w:type="dxa"/>
              <w:right w:w="110" w:type="dxa"/>
            </w:tcMar>
          </w:tcPr>
          <w:p w14:paraId="4B345E1F" w14:textId="77777777" w:rsidR="00286709" w:rsidRDefault="00286709">
            <w:pPr>
              <w:spacing w:line="250" w:lineRule="auto"/>
            </w:pPr>
            <w:r>
              <w:rPr>
                <w:sz w:val="19"/>
                <w:szCs w:val="19"/>
              </w:rPr>
              <w:t>Spiking gate</w:t>
            </w:r>
          </w:p>
        </w:tc>
        <w:tc>
          <w:tcPr>
            <w:tcW w:w="1512" w:type="dxa"/>
            <w:tcMar>
              <w:top w:w="70" w:type="dxa"/>
              <w:left w:w="110" w:type="dxa"/>
              <w:bottom w:w="70" w:type="dxa"/>
              <w:right w:w="110" w:type="dxa"/>
            </w:tcMar>
          </w:tcPr>
          <w:p w14:paraId="330BAFAB" w14:textId="77777777" w:rsidR="00286709" w:rsidRDefault="00286709">
            <w:pPr>
              <w:spacing w:line="250" w:lineRule="auto"/>
              <w:jc w:val="center"/>
            </w:pPr>
            <w:r>
              <w:rPr>
                <w:sz w:val="19"/>
                <w:szCs w:val="19"/>
              </w:rPr>
              <w:t>0.7607</w:t>
            </w:r>
          </w:p>
        </w:tc>
        <w:tc>
          <w:tcPr>
            <w:tcW w:w="1470" w:type="dxa"/>
            <w:tcMar>
              <w:top w:w="70" w:type="dxa"/>
              <w:left w:w="110" w:type="dxa"/>
              <w:bottom w:w="70" w:type="dxa"/>
              <w:right w:w="110" w:type="dxa"/>
            </w:tcMar>
          </w:tcPr>
          <w:p w14:paraId="625EF5E1" w14:textId="77777777" w:rsidR="00286709" w:rsidRDefault="00286709">
            <w:pPr>
              <w:spacing w:line="250" w:lineRule="auto"/>
              <w:jc w:val="center"/>
            </w:pPr>
            <w:r>
              <w:rPr>
                <w:sz w:val="19"/>
                <w:szCs w:val="19"/>
              </w:rPr>
              <w:t>0.8407</w:t>
            </w:r>
          </w:p>
        </w:tc>
        <w:tc>
          <w:tcPr>
            <w:tcW w:w="1144" w:type="dxa"/>
          </w:tcPr>
          <w:p w14:paraId="1C992A3F" w14:textId="77777777" w:rsidR="00286709" w:rsidRDefault="00286709">
            <w:pPr>
              <w:spacing w:line="250" w:lineRule="auto"/>
              <w:jc w:val="center"/>
              <w:rPr>
                <w:sz w:val="19"/>
                <w:szCs w:val="19"/>
              </w:rPr>
            </w:pPr>
          </w:p>
        </w:tc>
        <w:tc>
          <w:tcPr>
            <w:tcW w:w="1342" w:type="dxa"/>
            <w:tcMar>
              <w:top w:w="70" w:type="dxa"/>
              <w:left w:w="110" w:type="dxa"/>
              <w:bottom w:w="70" w:type="dxa"/>
              <w:right w:w="110" w:type="dxa"/>
            </w:tcMar>
          </w:tcPr>
          <w:p w14:paraId="700BB2DE" w14:textId="506061EA" w:rsidR="00286709" w:rsidRDefault="00286709">
            <w:pPr>
              <w:spacing w:line="250" w:lineRule="auto"/>
              <w:jc w:val="center"/>
            </w:pPr>
            <w:r>
              <w:rPr>
                <w:sz w:val="19"/>
                <w:szCs w:val="19"/>
              </w:rPr>
              <w:t>+0.0800</w:t>
            </w:r>
          </w:p>
        </w:tc>
        <w:tc>
          <w:tcPr>
            <w:tcW w:w="1381" w:type="dxa"/>
            <w:tcMar>
              <w:top w:w="70" w:type="dxa"/>
              <w:left w:w="110" w:type="dxa"/>
              <w:bottom w:w="70" w:type="dxa"/>
              <w:right w:w="110" w:type="dxa"/>
            </w:tcMar>
          </w:tcPr>
          <w:p w14:paraId="0BD9F1B4" w14:textId="77777777" w:rsidR="00286709" w:rsidRDefault="00286709">
            <w:pPr>
              <w:spacing w:line="250" w:lineRule="auto"/>
              <w:jc w:val="center"/>
            </w:pPr>
            <w:r>
              <w:rPr>
                <w:sz w:val="19"/>
                <w:szCs w:val="19"/>
              </w:rPr>
              <w:t>54.3%</w:t>
            </w:r>
          </w:p>
        </w:tc>
      </w:tr>
      <w:tr w:rsidR="00286709" w14:paraId="09EE7686" w14:textId="77777777" w:rsidTr="00286709">
        <w:tblPrEx>
          <w:tblCellMar>
            <w:top w:w="0" w:type="dxa"/>
            <w:bottom w:w="0" w:type="dxa"/>
          </w:tblCellMar>
        </w:tblPrEx>
        <w:trPr>
          <w:cantSplit/>
        </w:trPr>
        <w:tc>
          <w:tcPr>
            <w:tcW w:w="2211" w:type="dxa"/>
            <w:shd w:val="clear" w:color="auto" w:fill="F6F8FA"/>
            <w:tcMar>
              <w:top w:w="70" w:type="dxa"/>
              <w:left w:w="110" w:type="dxa"/>
              <w:bottom w:w="70" w:type="dxa"/>
              <w:right w:w="110" w:type="dxa"/>
            </w:tcMar>
          </w:tcPr>
          <w:p w14:paraId="5E649FC1" w14:textId="77777777" w:rsidR="00286709" w:rsidRDefault="00286709">
            <w:pPr>
              <w:spacing w:line="250" w:lineRule="auto"/>
            </w:pPr>
            <w:r>
              <w:rPr>
                <w:sz w:val="19"/>
                <w:szCs w:val="19"/>
              </w:rPr>
              <w:t>Recurrent baseline</w:t>
            </w:r>
          </w:p>
        </w:tc>
        <w:tc>
          <w:tcPr>
            <w:tcW w:w="1512" w:type="dxa"/>
            <w:shd w:val="clear" w:color="auto" w:fill="F6F8FA"/>
            <w:tcMar>
              <w:top w:w="70" w:type="dxa"/>
              <w:left w:w="110" w:type="dxa"/>
              <w:bottom w:w="70" w:type="dxa"/>
              <w:right w:w="110" w:type="dxa"/>
            </w:tcMar>
          </w:tcPr>
          <w:p w14:paraId="55518774" w14:textId="77777777" w:rsidR="00286709" w:rsidRDefault="00286709">
            <w:pPr>
              <w:spacing w:line="250" w:lineRule="auto"/>
              <w:jc w:val="center"/>
            </w:pPr>
            <w:r>
              <w:rPr>
                <w:sz w:val="19"/>
                <w:szCs w:val="19"/>
              </w:rPr>
              <w:t>0.8821</w:t>
            </w:r>
          </w:p>
        </w:tc>
        <w:tc>
          <w:tcPr>
            <w:tcW w:w="1470" w:type="dxa"/>
            <w:shd w:val="clear" w:color="auto" w:fill="F6F8FA"/>
            <w:tcMar>
              <w:top w:w="70" w:type="dxa"/>
              <w:left w:w="110" w:type="dxa"/>
              <w:bottom w:w="70" w:type="dxa"/>
              <w:right w:w="110" w:type="dxa"/>
            </w:tcMar>
          </w:tcPr>
          <w:p w14:paraId="33C64CE6" w14:textId="77777777" w:rsidR="00286709" w:rsidRDefault="00286709">
            <w:pPr>
              <w:spacing w:line="250" w:lineRule="auto"/>
              <w:jc w:val="center"/>
            </w:pPr>
            <w:r>
              <w:rPr>
                <w:sz w:val="19"/>
                <w:szCs w:val="19"/>
              </w:rPr>
              <w:t>0.8827</w:t>
            </w:r>
          </w:p>
        </w:tc>
        <w:tc>
          <w:tcPr>
            <w:tcW w:w="1144" w:type="dxa"/>
            <w:shd w:val="clear" w:color="auto" w:fill="F6F8FA"/>
          </w:tcPr>
          <w:p w14:paraId="1D3447C2" w14:textId="77777777" w:rsidR="00286709" w:rsidRDefault="00286709">
            <w:pPr>
              <w:spacing w:line="250" w:lineRule="auto"/>
              <w:jc w:val="center"/>
              <w:rPr>
                <w:sz w:val="19"/>
                <w:szCs w:val="19"/>
              </w:rPr>
            </w:pPr>
          </w:p>
        </w:tc>
        <w:tc>
          <w:tcPr>
            <w:tcW w:w="1342" w:type="dxa"/>
            <w:shd w:val="clear" w:color="auto" w:fill="F6F8FA"/>
            <w:tcMar>
              <w:top w:w="70" w:type="dxa"/>
              <w:left w:w="110" w:type="dxa"/>
              <w:bottom w:w="70" w:type="dxa"/>
              <w:right w:w="110" w:type="dxa"/>
            </w:tcMar>
          </w:tcPr>
          <w:p w14:paraId="5980F2A3" w14:textId="3AF67D5E" w:rsidR="00286709" w:rsidRDefault="00286709">
            <w:pPr>
              <w:spacing w:line="250" w:lineRule="auto"/>
              <w:jc w:val="center"/>
            </w:pPr>
            <w:r>
              <w:rPr>
                <w:sz w:val="19"/>
                <w:szCs w:val="19"/>
              </w:rPr>
              <w:t>+0.0006</w:t>
            </w:r>
          </w:p>
        </w:tc>
        <w:tc>
          <w:tcPr>
            <w:tcW w:w="1381" w:type="dxa"/>
            <w:shd w:val="clear" w:color="auto" w:fill="F6F8FA"/>
            <w:tcMar>
              <w:top w:w="70" w:type="dxa"/>
              <w:left w:w="110" w:type="dxa"/>
              <w:bottom w:w="70" w:type="dxa"/>
              <w:right w:w="110" w:type="dxa"/>
            </w:tcMar>
          </w:tcPr>
          <w:p w14:paraId="42E94450" w14:textId="77777777" w:rsidR="00286709" w:rsidRDefault="00286709">
            <w:pPr>
              <w:spacing w:line="250" w:lineRule="auto"/>
              <w:jc w:val="center"/>
            </w:pPr>
            <w:r>
              <w:rPr>
                <w:sz w:val="19"/>
                <w:szCs w:val="19"/>
              </w:rPr>
              <w:t>62.8%</w:t>
            </w:r>
          </w:p>
        </w:tc>
      </w:tr>
    </w:tbl>
    <w:p w14:paraId="1C45B4C5" w14:textId="77777777" w:rsidR="005A61A7" w:rsidRDefault="00000000">
      <w:pPr>
        <w:spacing w:before="60" w:after="160"/>
      </w:pPr>
      <w:r>
        <w:rPr>
          <w:i/>
          <w:iCs/>
          <w:color w:val="5A6B7A"/>
          <w:sz w:val="17"/>
          <w:szCs w:val="17"/>
        </w:rPr>
        <w:t>Table 4. PR-AUC, with retention held at 99% throughout.</w:t>
      </w:r>
    </w:p>
    <w:p w14:paraId="3934A4FC" w14:textId="77777777" w:rsidR="005A61A7" w:rsidRDefault="00000000">
      <w:pPr>
        <w:spacing w:after="100" w:line="276" w:lineRule="auto"/>
      </w:pPr>
      <w:r>
        <w:t xml:space="preserve">The baseline leads by 0.042 PR-AUC and 8.5 percentage points of slice reduction after equal tuning effort. It also reached its ceiling immediately — nine configurations </w:t>
      </w:r>
      <w:proofErr w:type="gramStart"/>
      <w:r>
        <w:t>improved it</w:t>
      </w:r>
      <w:proofErr w:type="gramEnd"/>
      <w:r>
        <w:t xml:space="preserve"> by 0.0006 — while the spiking gate required the full budget to come within striking distance and still fell short. One mechanism is identified: replacing </w:t>
      </w:r>
      <w:proofErr w:type="spellStart"/>
      <w:r>
        <w:t>BatchNorm</w:t>
      </w:r>
      <w:proofErr w:type="spellEnd"/>
      <w:r>
        <w:t xml:space="preserve"> with </w:t>
      </w:r>
      <w:proofErr w:type="spellStart"/>
      <w:r>
        <w:t>GroupNorm</w:t>
      </w:r>
      <w:proofErr w:type="spellEnd"/>
      <w:r>
        <w:t xml:space="preserve"> was worth +0.051 to the spiking gate and +0.0001 to the baseline, on identical data and code paths, indicating that the train/eval mismatch created by </w:t>
      </w:r>
      <w:proofErr w:type="spellStart"/>
      <w:r>
        <w:t>normalising</w:t>
      </w:r>
      <w:proofErr w:type="spellEnd"/>
      <w:r>
        <w:t xml:space="preserve"> once per time step damages LIF dynamics in a way it does not damage </w:t>
      </w:r>
      <w:proofErr w:type="spellStart"/>
      <w:r>
        <w:t>ReLU</w:t>
      </w:r>
      <w:proofErr w:type="spellEnd"/>
      <w:r>
        <w:t>.</w:t>
      </w:r>
    </w:p>
    <w:p w14:paraId="33AA32F6" w14:textId="77777777" w:rsidR="005A61A7" w:rsidRDefault="00000000">
      <w:pPr>
        <w:pStyle w:val="Heading2"/>
        <w:spacing w:before="180" w:after="80"/>
      </w:pPr>
      <w:r>
        <w:rPr>
          <w:b/>
          <w:bCs/>
          <w:color w:val="33566F"/>
          <w:sz w:val="22"/>
          <w:szCs w:val="22"/>
        </w:rPr>
        <w:t>The sequence hypothesis</w:t>
      </w:r>
    </w:p>
    <w:p w14:paraId="2371D1EC" w14:textId="77777777" w:rsidR="005A61A7" w:rsidRDefault="00000000">
      <w:pPr>
        <w:spacing w:after="100" w:line="276" w:lineRule="auto"/>
      </w:pPr>
      <w:r>
        <w:t>Three independent tests, all negative:</w:t>
      </w:r>
    </w:p>
    <w:p w14:paraId="608F1A4E" w14:textId="77777777" w:rsidR="005A61A7" w:rsidRDefault="00000000">
      <w:pPr>
        <w:pStyle w:val="ListParagraph"/>
        <w:numPr>
          <w:ilvl w:val="0"/>
          <w:numId w:val="1"/>
        </w:numPr>
        <w:spacing w:after="60" w:line="276" w:lineRule="auto"/>
      </w:pPr>
      <w:r>
        <w:rPr>
          <w:b/>
          <w:bCs/>
        </w:rPr>
        <w:t xml:space="preserve">At k = 5, </w:t>
      </w:r>
      <w:r>
        <w:t xml:space="preserve">five consecutive slices scored 0.7607 against 0.7572 for the same </w:t>
      </w:r>
      <w:proofErr w:type="gramStart"/>
      <w:r>
        <w:t>five time</w:t>
      </w:r>
      <w:proofErr w:type="gramEnd"/>
      <w:r>
        <w:t xml:space="preserve"> steps filled with the </w:t>
      </w:r>
      <w:proofErr w:type="spellStart"/>
      <w:r>
        <w:t>centre</w:t>
      </w:r>
      <w:proofErr w:type="spellEnd"/>
      <w:r>
        <w:t xml:space="preserve"> slice repeated — a difference of 0.0035.</w:t>
      </w:r>
    </w:p>
    <w:p w14:paraId="6CF11ECA" w14:textId="77777777" w:rsidR="005A61A7" w:rsidRDefault="00000000">
      <w:pPr>
        <w:pStyle w:val="ListParagraph"/>
        <w:numPr>
          <w:ilvl w:val="0"/>
          <w:numId w:val="1"/>
        </w:numPr>
        <w:spacing w:after="60" w:line="276" w:lineRule="auto"/>
      </w:pPr>
      <w:r>
        <w:rPr>
          <w:b/>
          <w:bCs/>
        </w:rPr>
        <w:t xml:space="preserve">At k = 9, </w:t>
      </w:r>
      <w:r>
        <w:t>0.8042 against 0.8086, with the repeated-slice control marginally ahead. Notably the control gains +0.051 from the longer window despite receiving no additional anatomy, indicating that extra time steps help computationally while extra anatomical context does not.</w:t>
      </w:r>
    </w:p>
    <w:p w14:paraId="79372045" w14:textId="77777777" w:rsidR="005A61A7" w:rsidRDefault="00000000">
      <w:pPr>
        <w:pStyle w:val="ListParagraph"/>
        <w:numPr>
          <w:ilvl w:val="0"/>
          <w:numId w:val="1"/>
        </w:numPr>
        <w:spacing w:after="60" w:line="276" w:lineRule="auto"/>
      </w:pPr>
      <w:r>
        <w:rPr>
          <w:b/>
          <w:bCs/>
        </w:rPr>
        <w:t xml:space="preserve">On the baseline, </w:t>
      </w:r>
      <w:r>
        <w:t>averaging outputs across time steps — which discards most ordering information — costs 0.004.</w:t>
      </w:r>
    </w:p>
    <w:p w14:paraId="52DDDEB1" w14:textId="77777777" w:rsidR="005A61A7" w:rsidRDefault="00000000">
      <w:pPr>
        <w:spacing w:after="100" w:line="276" w:lineRule="auto"/>
      </w:pPr>
      <w:r>
        <w:rPr>
          <w:b/>
          <w:bCs/>
        </w:rPr>
        <w:t xml:space="preserve">A control experiment establishes that this is a property of the data, not of the models. </w:t>
      </w:r>
      <w:r>
        <w:t xml:space="preserve">In a synthetic task where a structure translates through the slice stack and the two classes contain identical slices in reversed order, so that ordering is the only available signal, every configuration tested reaches 100% accuracy. The </w:t>
      </w:r>
      <w:proofErr w:type="gramStart"/>
      <w:r>
        <w:t>architectures</w:t>
      </w:r>
      <w:proofErr w:type="gramEnd"/>
      <w:r>
        <w:t xml:space="preserve"> can represent slice order without difficulty. It follows that the ordering of adjacent slices carries little information about gland presence beyond the set of slices itself.</w:t>
      </w:r>
    </w:p>
    <w:p w14:paraId="24B50E3C" w14:textId="77777777" w:rsidR="005A61A7" w:rsidRDefault="00000000">
      <w:pPr>
        <w:pStyle w:val="Heading1"/>
        <w:spacing w:before="260" w:after="110"/>
      </w:pPr>
      <w:r>
        <w:rPr>
          <w:b/>
          <w:bCs/>
          <w:color w:val="1F3A54"/>
          <w:sz w:val="26"/>
          <w:szCs w:val="26"/>
        </w:rPr>
        <w:t>7</w:t>
      </w:r>
      <w:proofErr w:type="gramStart"/>
      <w:r>
        <w:rPr>
          <w:b/>
          <w:bCs/>
          <w:color w:val="1F3A54"/>
          <w:sz w:val="26"/>
          <w:szCs w:val="26"/>
        </w:rPr>
        <w:t>.  Status</w:t>
      </w:r>
      <w:proofErr w:type="gramEnd"/>
      <w:r>
        <w:rPr>
          <w:b/>
          <w:bCs/>
          <w:color w:val="1F3A54"/>
          <w:sz w:val="26"/>
          <w:szCs w:val="26"/>
        </w:rPr>
        <w:t xml:space="preserve"> of the evidence</w:t>
      </w:r>
    </w:p>
    <w:p w14:paraId="50EFD6C8" w14:textId="77777777" w:rsidR="005A61A7" w:rsidRDefault="00000000">
      <w:pPr>
        <w:spacing w:after="100" w:line="276" w:lineRule="auto"/>
      </w:pPr>
      <w:r>
        <w:t>Two qualifications apply to Section 6 and should be stated when these results are discussed. Every figure is from a single training run; seed replication across five seeds per configuration is in progress and will attach error bars and significance tests to each comparison. And both “best of nine” figures were selected on validation data, so each is optimistic by an unknown amount — symmetrically, which preserves the comparison between them, but the selection procedure needs describing alongside the numbers.</w:t>
      </w:r>
    </w:p>
    <w:p w14:paraId="1C0F9F55" w14:textId="77777777" w:rsidR="005A61A7" w:rsidRDefault="00000000">
      <w:pPr>
        <w:pStyle w:val="Heading1"/>
        <w:spacing w:before="260" w:after="110"/>
      </w:pPr>
      <w:r>
        <w:rPr>
          <w:b/>
          <w:bCs/>
          <w:color w:val="1F3A54"/>
          <w:sz w:val="26"/>
          <w:szCs w:val="26"/>
        </w:rPr>
        <w:t>8</w:t>
      </w:r>
      <w:proofErr w:type="gramStart"/>
      <w:r>
        <w:rPr>
          <w:b/>
          <w:bCs/>
          <w:color w:val="1F3A54"/>
          <w:sz w:val="26"/>
          <w:szCs w:val="26"/>
        </w:rPr>
        <w:t>.  What</w:t>
      </w:r>
      <w:proofErr w:type="gramEnd"/>
      <w:r>
        <w:rPr>
          <w:b/>
          <w:bCs/>
          <w:color w:val="1F3A54"/>
          <w:sz w:val="26"/>
          <w:szCs w:val="26"/>
        </w:rPr>
        <w:t xml:space="preserve"> worked and what did not</w:t>
      </w:r>
    </w:p>
    <w:p w14:paraId="1E605034" w14:textId="77777777" w:rsidR="005A61A7" w:rsidRDefault="00000000">
      <w:pPr>
        <w:pStyle w:val="Heading2"/>
        <w:spacing w:before="180" w:after="80"/>
      </w:pPr>
      <w:r>
        <w:rPr>
          <w:b/>
          <w:bCs/>
          <w:color w:val="33566F"/>
          <w:sz w:val="22"/>
          <w:szCs w:val="22"/>
        </w:rPr>
        <w:t>Worked</w:t>
      </w:r>
    </w:p>
    <w:p w14:paraId="6FF1A9F0" w14:textId="77777777" w:rsidR="005A61A7" w:rsidRDefault="00000000">
      <w:pPr>
        <w:pStyle w:val="ListParagraph"/>
        <w:numPr>
          <w:ilvl w:val="0"/>
          <w:numId w:val="1"/>
        </w:numPr>
        <w:spacing w:after="60" w:line="276" w:lineRule="auto"/>
      </w:pPr>
      <w:r>
        <w:t>Slice gating. A 63% reduction in slices at 99% retention of gland-bearing slices is a substantial and directly useful result.</w:t>
      </w:r>
    </w:p>
    <w:p w14:paraId="25114E3B" w14:textId="77777777" w:rsidR="005A61A7" w:rsidRDefault="00000000">
      <w:pPr>
        <w:pStyle w:val="ListParagraph"/>
        <w:numPr>
          <w:ilvl w:val="0"/>
          <w:numId w:val="1"/>
        </w:numPr>
        <w:spacing w:after="60" w:line="276" w:lineRule="auto"/>
      </w:pPr>
      <w:r>
        <w:lastRenderedPageBreak/>
        <w:t>The 2.5D formulation, on measured evidence: 2.2–2.7 predicted components per gland against the fragmentation implied by 2D pipelines' post-processing gains.</w:t>
      </w:r>
    </w:p>
    <w:p w14:paraId="23F2F298" w14:textId="77777777" w:rsidR="005A61A7" w:rsidRDefault="00000000">
      <w:pPr>
        <w:pStyle w:val="ListParagraph"/>
        <w:numPr>
          <w:ilvl w:val="0"/>
          <w:numId w:val="1"/>
        </w:numPr>
        <w:spacing w:after="60" w:line="276" w:lineRule="auto"/>
      </w:pPr>
      <w:r>
        <w:t>Batch-pooled Dice loss. With left and right as separate channels, many slices leave one channel's target empty; pooling numerator and denominator across the batch is necessary for the model to train at all.</w:t>
      </w:r>
    </w:p>
    <w:p w14:paraId="3A517DCC" w14:textId="77777777" w:rsidR="005A61A7" w:rsidRDefault="00000000">
      <w:pPr>
        <w:pStyle w:val="ListParagraph"/>
        <w:numPr>
          <w:ilvl w:val="0"/>
          <w:numId w:val="1"/>
        </w:numPr>
        <w:spacing w:after="60" w:line="276" w:lineRule="auto"/>
      </w:pPr>
      <w:r>
        <w:t xml:space="preserve">Matching capacity and tuning budget across </w:t>
      </w:r>
      <w:proofErr w:type="gramStart"/>
      <w:r>
        <w:t>arms, and</w:t>
      </w:r>
      <w:proofErr w:type="gramEnd"/>
      <w:r>
        <w:t xml:space="preserve"> holding the protocol otherwise fixed. This is what makes the Section 6 conclusion defensible rather than arguable.</w:t>
      </w:r>
    </w:p>
    <w:p w14:paraId="6353C703" w14:textId="77777777" w:rsidR="005A61A7" w:rsidRDefault="00000000">
      <w:pPr>
        <w:pStyle w:val="Heading2"/>
        <w:spacing w:before="180" w:after="80"/>
      </w:pPr>
      <w:r>
        <w:rPr>
          <w:b/>
          <w:bCs/>
          <w:color w:val="33566F"/>
          <w:sz w:val="22"/>
          <w:szCs w:val="22"/>
        </w:rPr>
        <w:t>Did not work</w:t>
      </w:r>
    </w:p>
    <w:p w14:paraId="20069802" w14:textId="77777777" w:rsidR="005A61A7" w:rsidRDefault="00000000">
      <w:pPr>
        <w:pStyle w:val="ListParagraph"/>
        <w:numPr>
          <w:ilvl w:val="0"/>
          <w:numId w:val="1"/>
        </w:numPr>
        <w:spacing w:after="60" w:line="276" w:lineRule="auto"/>
      </w:pPr>
      <w:r>
        <w:t>The spiking gate as a replacement for a recurrent baseline: behind by 0.042 PR-AUC after equal effort.</w:t>
      </w:r>
    </w:p>
    <w:p w14:paraId="38023701" w14:textId="77777777" w:rsidR="005A61A7" w:rsidRDefault="00000000">
      <w:pPr>
        <w:pStyle w:val="ListParagraph"/>
        <w:numPr>
          <w:ilvl w:val="0"/>
          <w:numId w:val="1"/>
        </w:numPr>
        <w:spacing w:after="60" w:line="276" w:lineRule="auto"/>
      </w:pPr>
      <w:r>
        <w:t>The craniocaudal sequence encoding, on all three tests, with the architecture's capability ruled out as the cause.</w:t>
      </w:r>
    </w:p>
    <w:p w14:paraId="4804F6A2" w14:textId="77777777" w:rsidR="005A61A7" w:rsidRDefault="00000000">
      <w:pPr>
        <w:pStyle w:val="ListParagraph"/>
        <w:numPr>
          <w:ilvl w:val="0"/>
          <w:numId w:val="1"/>
        </w:numPr>
        <w:spacing w:after="60" w:line="276" w:lineRule="auto"/>
      </w:pPr>
      <w:r>
        <w:t>Threshold calibration as an explanation for the segmentation failure tail: worth +0.010.</w:t>
      </w:r>
    </w:p>
    <w:p w14:paraId="01767375" w14:textId="77777777" w:rsidR="005A61A7" w:rsidRDefault="00000000">
      <w:pPr>
        <w:pStyle w:val="ListParagraph"/>
        <w:numPr>
          <w:ilvl w:val="0"/>
          <w:numId w:val="1"/>
        </w:numPr>
        <w:spacing w:after="60" w:line="276" w:lineRule="auto"/>
      </w:pPr>
      <w:r>
        <w:t>Finer through-plane resolution, which the slice-thickness stratification argues against before it was attempted.</w:t>
      </w:r>
    </w:p>
    <w:p w14:paraId="3837F15F" w14:textId="77777777" w:rsidR="005A61A7" w:rsidRDefault="00000000">
      <w:pPr>
        <w:pStyle w:val="ListParagraph"/>
        <w:numPr>
          <w:ilvl w:val="0"/>
          <w:numId w:val="1"/>
        </w:numPr>
        <w:spacing w:after="60" w:line="276" w:lineRule="auto"/>
      </w:pPr>
      <w:r>
        <w:t>Single-largest-component post-processing, which can delete correct predictions.</w:t>
      </w:r>
    </w:p>
    <w:p w14:paraId="150A4C9F" w14:textId="738870A2" w:rsidR="005A61A7" w:rsidRDefault="005A61A7">
      <w:pPr>
        <w:spacing w:before="60" w:after="160"/>
      </w:pPr>
    </w:p>
    <w:sectPr w:rsidR="005A61A7">
      <w:pgSz w:w="11906" w:h="16838"/>
      <w:pgMar w:top="1080" w:right="1420" w:bottom="1080" w:left="14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C3085"/>
    <w:multiLevelType w:val="hybridMultilevel"/>
    <w:tmpl w:val="4C98E09E"/>
    <w:lvl w:ilvl="0" w:tplc="D240580C">
      <w:start w:val="1"/>
      <w:numFmt w:val="bullet"/>
      <w:lvlText w:val="●"/>
      <w:lvlJc w:val="left"/>
      <w:pPr>
        <w:ind w:left="720" w:hanging="360"/>
      </w:pPr>
    </w:lvl>
    <w:lvl w:ilvl="1" w:tplc="35A2FC6E">
      <w:start w:val="1"/>
      <w:numFmt w:val="bullet"/>
      <w:lvlText w:val="○"/>
      <w:lvlJc w:val="left"/>
      <w:pPr>
        <w:ind w:left="1440" w:hanging="360"/>
      </w:pPr>
    </w:lvl>
    <w:lvl w:ilvl="2" w:tplc="BC2A2C9A">
      <w:start w:val="1"/>
      <w:numFmt w:val="bullet"/>
      <w:lvlText w:val="■"/>
      <w:lvlJc w:val="left"/>
      <w:pPr>
        <w:ind w:left="2160" w:hanging="360"/>
      </w:pPr>
    </w:lvl>
    <w:lvl w:ilvl="3" w:tplc="96F838FE">
      <w:start w:val="1"/>
      <w:numFmt w:val="bullet"/>
      <w:lvlText w:val="●"/>
      <w:lvlJc w:val="left"/>
      <w:pPr>
        <w:ind w:left="2880" w:hanging="360"/>
      </w:pPr>
    </w:lvl>
    <w:lvl w:ilvl="4" w:tplc="B822878E">
      <w:start w:val="1"/>
      <w:numFmt w:val="bullet"/>
      <w:lvlText w:val="○"/>
      <w:lvlJc w:val="left"/>
      <w:pPr>
        <w:ind w:left="3600" w:hanging="360"/>
      </w:pPr>
    </w:lvl>
    <w:lvl w:ilvl="5" w:tplc="E480B74E">
      <w:start w:val="1"/>
      <w:numFmt w:val="bullet"/>
      <w:lvlText w:val="■"/>
      <w:lvlJc w:val="left"/>
      <w:pPr>
        <w:ind w:left="4320" w:hanging="360"/>
      </w:pPr>
    </w:lvl>
    <w:lvl w:ilvl="6" w:tplc="AD6ED4D4">
      <w:start w:val="1"/>
      <w:numFmt w:val="bullet"/>
      <w:lvlText w:val="●"/>
      <w:lvlJc w:val="left"/>
      <w:pPr>
        <w:ind w:left="5040" w:hanging="360"/>
      </w:pPr>
    </w:lvl>
    <w:lvl w:ilvl="7" w:tplc="47C4871A">
      <w:start w:val="1"/>
      <w:numFmt w:val="bullet"/>
      <w:lvlText w:val="●"/>
      <w:lvlJc w:val="left"/>
      <w:pPr>
        <w:ind w:left="5760" w:hanging="360"/>
      </w:pPr>
    </w:lvl>
    <w:lvl w:ilvl="8" w:tplc="83561880">
      <w:start w:val="1"/>
      <w:numFmt w:val="bullet"/>
      <w:lvlText w:val="●"/>
      <w:lvlJc w:val="left"/>
      <w:pPr>
        <w:ind w:left="6480" w:hanging="360"/>
      </w:pPr>
    </w:lvl>
  </w:abstractNum>
  <w:num w:numId="1" w16cid:durableId="544827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1A7"/>
    <w:rsid w:val="00286709"/>
    <w:rsid w:val="00510F48"/>
    <w:rsid w:val="005A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C2F3"/>
  <w15:docId w15:val="{590FDD41-7AC9-4F54-9ECE-ACDD3E1D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1538</Words>
  <Characters>8771</Characters>
  <Application>Microsoft Office Word</Application>
  <DocSecurity>0</DocSecurity>
  <Lines>73</Lines>
  <Paragraphs>20</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Adrenal Gland Segmentation — Experimental Results</dc:title>
  <dc:creator>M. Fayemiwo</dc:creator>
  <cp:lastModifiedBy>Michael Fayemiwo</cp:lastModifiedBy>
  <cp:revision>2</cp:revision>
  <dcterms:created xsi:type="dcterms:W3CDTF">2026-08-31T11:42:00Z</dcterms:created>
  <dcterms:modified xsi:type="dcterms:W3CDTF">2026-08-31T13:06:00Z</dcterms:modified>
</cp:coreProperties>
</file>