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AMENDMENT TO COMMERCIAL LEASE AGREEMENT</w:t>
      </w:r>
    </w:p>
    <w:p>
      <w:r>
        <w:t>This First Amendment to Commercial Lease Agreement (this “Amendment”) is made as of March 2, 2024 by and between Halstead Property Holdings LLC (“Landlord”) and Acme Manufacturing LLC (“Tenant”), and amends that certain Commercial Lease Agreement dated as of May 14, 2021 (the “Lease”). Capitalized terms used but not defined herein have the meanings given in the Lease.</w:t>
      </w:r>
    </w:p>
    <w:p>
      <w:r>
        <w:t>1. Section 3 (Base Rent) of the Lease is amended to provide that base rent shall be $61,250.00 per month effective April 1, 2024.</w:t>
      </w:r>
    </w:p>
    <w:p>
      <w:r>
        <w:t>2. Section 4 (Assignment and Subletting) of the Lease is amended by adding the following sentence at the end thereof: “Landlord's consent shall not be required in connection with an assignment to a successor by merger, consolidation, or sale of all or substantially all of Tenant's assets, provided the successor's tangible net worth immediately following such transaction is not less than that of Tenant immediately prior thereto.”</w:t>
      </w:r>
    </w:p>
    <w:p>
      <w:r>
        <w:t>3. Except as expressly amended hereby, the Lease remains in full force and effect.</w:t>
      </w:r>
    </w:p>
    <w:p>
      <w:r>
        <w:t>HALSTEAD PROPERTY HOLDINGS LLC</w:t>
        <w:br/>
        <w:t>By: /s/ Priya Raman</w:t>
      </w:r>
    </w:p>
    <w:p>
      <w:r>
        <w:t>ACME MANUFACTURING LLC</w:t>
        <w:br/>
        <w:t>By: /s/ Morgan Feld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