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curriculum-vitae-michael-f-bergmann"/>
    <w:p>
      <w:pPr>
        <w:pStyle w:val="Heading1"/>
      </w:pPr>
      <w:r>
        <w:t xml:space="preserve">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20" w:name="employment"/>
    <w:p>
      <w:pPr>
        <w:pStyle w:val="Heading2"/>
      </w:pPr>
      <w:r>
        <w:t xml:space="preserve">Employment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0"/>
    <w:bookmarkStart w:id="21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teaching-training-and-certifications"/>
    <w:p>
      <w:pPr>
        <w:pStyle w:val="Heading2"/>
      </w:pPr>
      <w:r>
        <w:t xml:space="preserve">Teaching, Training, and Certifications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Adult Learners Online, Chang School of Continuing Education,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 Recognised Teacher, University Teaching Development Programme (SEDA, UK and Ireland)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Certified Teacher, Apple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Watchout Certified User and Operator, Dataton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Pandoras Box Media Server Training (Basic, Advanced, Expert Warping &amp; Particles, Widget Designer), coolux</w:t>
            </w:r>
          </w:p>
        </w:tc>
      </w:tr>
    </w:tbl>
    <w:bookmarkEnd w:id="22"/>
    <w:bookmarkStart w:id="23" w:name="awards-and-distinctions"/>
    <w:p>
      <w:pPr>
        <w:pStyle w:val="Heading2"/>
      </w:pPr>
      <w:r>
        <w:t xml:space="preserve">Awards and Distinctions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residencies-and-invited-positions"/>
    <w:p>
      <w:pPr>
        <w:pStyle w:val="Heading2"/>
      </w:pPr>
      <w:r>
        <w:t xml:space="preserve">Residencies and Invited Positions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2025-12 – 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 – 2022-10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</w:tbl>
    <w:bookmarkEnd w:id="24"/>
    <w:bookmarkStart w:id="25" w:name="publications"/>
    <w:p>
      <w:pPr>
        <w:pStyle w:val="Heading2"/>
      </w:pPr>
      <w:r>
        <w:t xml:space="preserve">Publications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25"/>
    <w:bookmarkStart w:id="26" w:name="forthcoming"/>
    <w:p>
      <w:pPr>
        <w:pStyle w:val="Heading2"/>
      </w:pPr>
      <w:r>
        <w:t xml:space="preserve">Forthcoming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26"/>
    <w:bookmarkStart w:id="27" w:name="conference-presentations"/>
    <w:p>
      <w:pPr>
        <w:pStyle w:val="Heading2"/>
      </w:pPr>
      <w:r>
        <w:t xml:space="preserve">Conference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</w:tbl>
    <w:bookmarkEnd w:id="27"/>
    <w:bookmarkStart w:id="28" w:name="poster-presentations"/>
    <w:p>
      <w:pPr>
        <w:pStyle w:val="Heading2"/>
      </w:pPr>
      <w:r>
        <w:t xml:space="preserve">Poster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28"/>
    <w:bookmarkStart w:id="29" w:name="invited-talks-and-public-lectures"/>
    <w:p>
      <w:pPr>
        <w:pStyle w:val="Heading2"/>
      </w:pPr>
      <w:r>
        <w:t xml:space="preserve">Invited Talks and Public Lectures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lecture on AI in visual generation, open-source models, and ethical usage, Advanced Professional Projection Design (graduate), Yale University, February 14,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Host:</w:t>
            </w:r>
            <w:r>
              <w:t xml:space="preserve"> </w:t>
            </w:r>
            <w:r>
              <w:t xml:space="preserve">“</w:t>
            </w:r>
            <w:r>
              <w:t xml:space="preserve">Beyond the Screen: Exploring AI Personhood and Their Representation in Media.</w:t>
            </w:r>
            <w:r>
              <w:t xml:space="preserve">”</w:t>
            </w:r>
            <w:r>
              <w:t xml:space="preserve"> </w:t>
            </w:r>
            <w:r>
              <w:t xml:space="preserve">The Creative School Catalyst, Toronto, December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keynote:</w:t>
            </w:r>
            <w:r>
              <w:t xml:space="preserve"> </w:t>
            </w:r>
            <w:r>
              <w:t xml:space="preserve">“</w:t>
            </w:r>
            <w:r>
              <w:t xml:space="preserve">Wellness for who? An examination of wellness through a research-creation student project.</w:t>
            </w:r>
            <w:r>
              <w:t xml:space="preserve">”</w:t>
            </w:r>
            <w:r>
              <w:t xml:space="preserve"> </w:t>
            </w:r>
            <w:r>
              <w:t xml:space="preserve">AVARA 2024, OAMK, Oulu, Finland, November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on projection design, Peterborough Theatre Guild, Peterborough, ON, November 2–3,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Provocation:</w:t>
            </w:r>
            <w:r>
              <w:t xml:space="preserve"> </w:t>
            </w:r>
            <w:r>
              <w:t xml:space="preserve">“</w:t>
            </w:r>
            <w:r>
              <w:t xml:space="preserve">Personhood // AI.</w:t>
            </w:r>
            <w:r>
              <w:t xml:space="preserve">”</w:t>
            </w:r>
            <w:r>
              <w:t xml:space="preserve"> </w:t>
            </w:r>
            <w:r>
              <w:t xml:space="preserve">UKAI Carnival of Shipwreck, Toronto, October 23,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Invited talk on the future of AI in the creative industries. TechTO: AI, Toronto, July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Improvnetics: Post-anthropocentric performance and improvisational modes for human-AI play.</w:t>
            </w:r>
            <w:r>
              <w:t xml:space="preserve">”</w:t>
            </w:r>
            <w:r>
              <w:t xml:space="preserve"> </w:t>
            </w:r>
            <w:r>
              <w:t xml:space="preserve">IICSI Research Studio Session, ImprovLab, University of Guelph, April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Panelist on the future of AI in creativity and education, 1st Creative AI Symposium, Creative AI Hub, TMU, April 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Roundtable:</w:t>
            </w:r>
            <w:r>
              <w:t xml:space="preserve"> </w:t>
            </w:r>
            <w:r>
              <w:t xml:space="preserve">“</w:t>
            </w:r>
            <w:r>
              <w:t xml:space="preserve">What is the future of creativity and AI?</w:t>
            </w:r>
            <w:r>
              <w:t xml:space="preserve">”</w:t>
            </w:r>
            <w:r>
              <w:t xml:space="preserve"> </w:t>
            </w:r>
            <w:r>
              <w:t xml:space="preserve">with Debashis Sinha, Robert Clapperton, and Richard Lachman, RUBIX, TMU, January 27,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Research Creation with Michael Bergmann: The Uncanny Robots Project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Connecting through live performance</w:t>
            </w:r>
            <w:r>
              <w:t xml:space="preserve">”</w:t>
            </w:r>
            <w:r>
              <w:t xml:space="preserve"> </w:t>
            </w:r>
            <w:r>
              <w:t xml:space="preserve">(with Eugènie Pastor, LSBU). The Catalyst @ FCAD, TMU, November 2019.</w:t>
            </w:r>
          </w:p>
        </w:tc>
      </w:tr>
    </w:tbl>
    <w:bookmarkEnd w:id="29"/>
    <w:bookmarkStart w:id="30" w:name="creative-research-output"/>
    <w:p>
      <w:pPr>
        <w:pStyle w:val="Heading2"/>
      </w:pPr>
      <w:r>
        <w:t xml:space="preserve">Creative Research Output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0"/>
    <w:bookmarkStart w:id="31" w:name="external-research-funding"/>
    <w:p>
      <w:pPr>
        <w:pStyle w:val="Heading2"/>
      </w:pPr>
      <w:r>
        <w:t xml:space="preserve">External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31"/>
    <w:bookmarkStart w:id="32" w:name="internal-research-funding"/>
    <w:p>
      <w:pPr>
        <w:pStyle w:val="Heading2"/>
      </w:pPr>
      <w:r>
        <w:t xml:space="preserve">Internal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32"/>
    <w:bookmarkStart w:id="33" w:name="scholarships"/>
    <w:p>
      <w:pPr>
        <w:pStyle w:val="Heading2"/>
      </w:pPr>
      <w:r>
        <w:t xml:space="preserve">Scholarships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Graduate Tuition Scholarship. $8,000/yr.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University Graduate Scholarship. $7,500/yr.</w:t>
            </w:r>
          </w:p>
        </w:tc>
      </w:tr>
    </w:tbl>
    <w:bookmarkEnd w:id="33"/>
    <w:bookmarkStart w:id="34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34"/>
    <w:bookmarkStart w:id="35" w:name="courses-taught"/>
    <w:p>
      <w:pPr>
        <w:pStyle w:val="Heading2"/>
      </w:pPr>
      <w:r>
        <w:t xml:space="preserve">Courses Taught</w:t>
      </w:r>
    </w:p>
    <w:p>
      <w:pPr>
        <w:numPr>
          <w:ilvl w:val="0"/>
          <w:numId w:val="1001"/>
        </w:numPr>
        <w:pStyle w:val="Compact"/>
      </w:pPr>
      <w:r>
        <w:t xml:space="preserve">PFZ 100 — Performance Foundation (F 2025) (created course)</w:t>
      </w:r>
    </w:p>
    <w:p>
      <w:pPr>
        <w:numPr>
          <w:ilvl w:val="0"/>
          <w:numId w:val="1001"/>
        </w:numPr>
        <w:pStyle w:val="Compact"/>
      </w:pPr>
      <w:r>
        <w:t xml:space="preserve">THP 400 — Creative Performance Studies VII: The Frankenstein Project (F 2025) (created course, with Debashis Sinha)</w:t>
      </w:r>
    </w:p>
    <w:p>
      <w:pPr>
        <w:numPr>
          <w:ilvl w:val="0"/>
          <w:numId w:val="1001"/>
        </w:numPr>
        <w:pStyle w:val="Compact"/>
      </w:pPr>
      <w:r>
        <w:t xml:space="preserve">FCD 816 — Global Campus Studio (F 2025)</w:t>
      </w:r>
    </w:p>
    <w:p>
      <w:pPr>
        <w:numPr>
          <w:ilvl w:val="0"/>
          <w:numId w:val="1001"/>
        </w:numPr>
        <w:pStyle w:val="Compact"/>
      </w:pPr>
      <w:r>
        <w:t xml:space="preserve">FCD 230 — New York City Experience: Creative Enterprise (S 2025, S 2026) (created travel intensive; taught as overload)</w:t>
      </w:r>
    </w:p>
    <w:p>
      <w:pPr>
        <w:numPr>
          <w:ilvl w:val="0"/>
          <w:numId w:val="1001"/>
        </w:numPr>
        <w:pStyle w:val="Compact"/>
      </w:pPr>
      <w:r>
        <w:t xml:space="preserve">THP 403 — Travel Intensive to Oulu, Finland (F 2024)</w:t>
      </w:r>
    </w:p>
    <w:p>
      <w:pPr>
        <w:numPr>
          <w:ilvl w:val="0"/>
          <w:numId w:val="1001"/>
        </w:numPr>
        <w:pStyle w:val="Compact"/>
      </w:pPr>
      <w:r>
        <w:t xml:space="preserve">THP 350 — Projection Design (F 2019–24) (created course)</w:t>
      </w:r>
    </w:p>
    <w:p>
      <w:pPr>
        <w:numPr>
          <w:ilvl w:val="0"/>
          <w:numId w:val="1001"/>
        </w:numPr>
        <w:pStyle w:val="Compact"/>
      </w:pPr>
      <w:r>
        <w:t xml:space="preserve">THP 301–403 — Production Technique (W 2017 – F 2022)</w:t>
      </w:r>
    </w:p>
    <w:p>
      <w:pPr>
        <w:numPr>
          <w:ilvl w:val="0"/>
          <w:numId w:val="1001"/>
        </w:numPr>
        <w:pStyle w:val="Compact"/>
      </w:pPr>
      <w:r>
        <w:t xml:space="preserve">THP 800 — Independent Study (W 2017–20, F 2020, W 2022, W 2024)</w:t>
      </w:r>
    </w:p>
    <w:p>
      <w:pPr>
        <w:numPr>
          <w:ilvl w:val="0"/>
          <w:numId w:val="1001"/>
        </w:numPr>
        <w:pStyle w:val="Compact"/>
      </w:pPr>
      <w:r>
        <w:t xml:space="preserve">THT 582 — Show Systems Engineering (W 2020, F 2021, F 2023) (redesigned course)</w:t>
      </w:r>
    </w:p>
    <w:p>
      <w:pPr>
        <w:numPr>
          <w:ilvl w:val="0"/>
          <w:numId w:val="1001"/>
        </w:numPr>
        <w:pStyle w:val="Compact"/>
      </w:pPr>
      <w:r>
        <w:t xml:space="preserve">THT 582 — Scenic Automation (F 2017)</w:t>
      </w:r>
    </w:p>
    <w:p>
      <w:pPr>
        <w:numPr>
          <w:ilvl w:val="0"/>
          <w:numId w:val="1001"/>
        </w:numPr>
        <w:pStyle w:val="Compact"/>
      </w:pPr>
      <w:r>
        <w:t xml:space="preserve">THP 500 — Conceiving the Production (F 2018)</w:t>
      </w:r>
    </w:p>
    <w:p>
      <w:pPr>
        <w:numPr>
          <w:ilvl w:val="0"/>
          <w:numId w:val="1001"/>
        </w:numPr>
        <w:pStyle w:val="Compact"/>
      </w:pPr>
      <w:r>
        <w:t xml:space="preserve">THF 501 — Research Methods (W 2018–19)</w:t>
      </w:r>
    </w:p>
    <w:p>
      <w:pPr>
        <w:numPr>
          <w:ilvl w:val="0"/>
          <w:numId w:val="1001"/>
        </w:numPr>
        <w:pStyle w:val="Compact"/>
      </w:pPr>
      <w:r>
        <w:t xml:space="preserve">THP 102 — Production Technique II (W 2017, 2021–24) (lighting section 2017; projection design section 2022–24)</w:t>
      </w:r>
    </w:p>
    <w:p>
      <w:pPr>
        <w:numPr>
          <w:ilvl w:val="0"/>
          <w:numId w:val="1001"/>
        </w:numPr>
        <w:pStyle w:val="Compact"/>
      </w:pPr>
      <w:r>
        <w:t xml:space="preserve">THP 202 — Production Technique IV (W 2018–24) (projection design section)</w:t>
      </w:r>
    </w:p>
    <w:p>
      <w:pPr>
        <w:numPr>
          <w:ilvl w:val="0"/>
          <w:numId w:val="1001"/>
        </w:numPr>
        <w:pStyle w:val="Compact"/>
      </w:pPr>
      <w:r>
        <w:t xml:space="preserve">THP 660 — Projection Design: Special Topics (W 2022) (created course)</w:t>
      </w:r>
    </w:p>
    <w:p>
      <w:pPr>
        <w:numPr>
          <w:ilvl w:val="0"/>
          <w:numId w:val="1001"/>
        </w:numPr>
        <w:pStyle w:val="Compact"/>
      </w:pPr>
      <w:r>
        <w:t xml:space="preserve">THF 101 — Elements of Production (F 2016, 2019, 2020)</w:t>
      </w:r>
    </w:p>
    <w:p>
      <w:pPr>
        <w:numPr>
          <w:ilvl w:val="0"/>
          <w:numId w:val="1001"/>
        </w:numPr>
        <w:pStyle w:val="Compact"/>
      </w:pPr>
      <w:r>
        <w:t xml:space="preserve">THM 301 — Technical Direction (F 2016)</w:t>
      </w:r>
    </w:p>
    <w:p>
      <w:pPr>
        <w:numPr>
          <w:ilvl w:val="0"/>
          <w:numId w:val="1001"/>
        </w:numPr>
        <w:pStyle w:val="Compact"/>
      </w:pPr>
      <w:r>
        <w:t xml:space="preserve">CRI 815 — Creative Impact Supercourse I, Creative Industries (F 2018)</w:t>
      </w:r>
    </w:p>
    <w:bookmarkEnd w:id="35"/>
    <w:bookmarkStart w:id="36" w:name="service"/>
    <w:p>
      <w:pPr>
        <w:pStyle w:val="Heading2"/>
      </w:pPr>
      <w:r>
        <w:t xml:space="preserve">Service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36"/>
    <w:bookmarkStart w:id="37" w:name="memberships-and-collectives"/>
    <w:p>
      <w:pPr>
        <w:pStyle w:val="Heading2"/>
      </w:pPr>
      <w:r>
        <w:t xml:space="preserve">Memberships and Collectives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37"/>
    <w:bookmarkStart w:id="38" w:name="interviews-and-media"/>
    <w:p>
      <w:pPr>
        <w:pStyle w:val="Heading2"/>
      </w:pPr>
      <w:r>
        <w:t xml:space="preserve">Interviews and Media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the inside scoop on game-changing innovations in augmented reality with the new VisionPro.</w:t>
            </w:r>
            <w:r>
              <w:t xml:space="preserve">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Students Are Excited And Hopeful For What The Metaverse May Bring.</w:t>
            </w:r>
            <w:r>
              <w:t xml:space="preserve">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Michael F. Bergmann On The Merging of Live Arts and Technology.</w:t>
            </w:r>
            <w:r>
              <w:t xml:space="preserve">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Emerging technology that’s here to stay.</w:t>
            </w:r>
            <w:r>
              <w:t xml:space="preserve">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 you feel empathy for a dancing robot?</w:t>
            </w:r>
            <w:r>
              <w:t xml:space="preserve">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FCAD students embrace opportunity to redefine performance.</w:t>
            </w:r>
            <w:r>
              <w:t xml:space="preserve">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Premiere of robot dance performance launches Creative Technology Lab.</w:t>
            </w:r>
            <w:r>
              <w:t xml:space="preserve">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2026-08-19T18:25:51Z</dcterms:created>
  <dcterms:modified xsi:type="dcterms:W3CDTF">2026-08-19T18:25:51Z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