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 Generated 2026-07-22; prose sections (significance, training narrative, relevant experience) live in prose/sshrc-prose.md and are appended below.</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p>
      <w:pPr>
        <w:numPr>
          <w:ilvl w:val="0"/>
          <w:numId w:val="1001"/>
        </w:numPr>
        <w:pStyle w:val="Compact"/>
      </w:pPr>
      <w:r>
        <w:t xml:space="preserve">*</w:t>
      </w:r>
      <w:r>
        <w:t xml:space="preserve"> </w:t>
      </w:r>
      <w:r>
        <w:rPr>
          <w:bCs/>
          <w:b/>
        </w:rPr>
        <w:t xml:space="preserve">2022-07</w:t>
      </w:r>
      <w:r>
        <w:t xml:space="preserve"> </w:t>
      </w:r>
      <w:r>
        <w:t xml:space="preserve">— Bouchard, D., Cristiá, C., Bergmann, M., and Robert, D.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DOI: 10.14236/ewic/EVA2022.39.</w:t>
      </w:r>
    </w:p>
    <w:bookmarkEnd w:id="21"/>
    <w:bookmarkStart w:id="22" w:name="other-refereed-contributions"/>
    <w:p>
      <w:pPr>
        <w:pStyle w:val="Heading2"/>
      </w:pPr>
      <w:r>
        <w:t xml:space="preserve">Other refereed contributions</w:t>
      </w:r>
    </w:p>
    <w:p>
      <w:pPr>
        <w:numPr>
          <w:ilvl w:val="0"/>
          <w:numId w:val="1002"/>
        </w:numPr>
        <w:pStyle w:val="Compact"/>
      </w:pPr>
      <w:r>
        <w:rPr>
          <w:bCs/>
          <w:b/>
        </w:rPr>
        <w:t xml:space="preserve">2025-09</w:t>
      </w:r>
      <w:r>
        <w:t xml:space="preserve"> </w:t>
      </w:r>
      <w:r>
        <w:t xml:space="preserve">— 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p>
      <w:pPr>
        <w:numPr>
          <w:ilvl w:val="0"/>
          <w:numId w:val="1002"/>
        </w:numPr>
        <w:pStyle w:val="Compact"/>
      </w:pPr>
      <w:r>
        <w:rPr>
          <w:bCs/>
          <w:b/>
        </w:rPr>
        <w:t xml:space="preserve">2024-10</w:t>
      </w:r>
      <w:r>
        <w:t xml:space="preserve"> </w:t>
      </w:r>
      <w:r>
        <w:t xml:space="preserve">— 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p>
      <w:pPr>
        <w:numPr>
          <w:ilvl w:val="0"/>
          <w:numId w:val="1002"/>
        </w:numPr>
        <w:pStyle w:val="Compact"/>
      </w:pPr>
      <w:r>
        <w:rPr>
          <w:bCs/>
          <w:b/>
        </w:rPr>
        <w:t xml:space="preserve">2024-03</w:t>
      </w:r>
      <w:r>
        <w:t xml:space="preserve"> </w:t>
      </w:r>
      <w:r>
        <w:t xml:space="preserve">— 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p>
      <w:pPr>
        <w:numPr>
          <w:ilvl w:val="0"/>
          <w:numId w:val="1002"/>
        </w:numPr>
        <w:pStyle w:val="Compact"/>
      </w:pPr>
      <w:r>
        <w:rPr>
          <w:bCs/>
          <w:b/>
        </w:rPr>
        <w:t xml:space="preserve">2023-06</w:t>
      </w:r>
      <w:r>
        <w:t xml:space="preserve"> </w:t>
      </w:r>
      <w:r>
        <w:t xml:space="preserve">— 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p>
      <w:pPr>
        <w:numPr>
          <w:ilvl w:val="0"/>
          <w:numId w:val="1002"/>
        </w:numPr>
        <w:pStyle w:val="Compact"/>
      </w:pPr>
      <w:r>
        <w:rPr>
          <w:bCs/>
          <w:b/>
        </w:rPr>
        <w:t xml:space="preserve">2023-06</w:t>
      </w:r>
      <w:r>
        <w:t xml:space="preserve"> </w:t>
      </w:r>
      <w:r>
        <w:t xml:space="preserve">— 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p>
      <w:pPr>
        <w:numPr>
          <w:ilvl w:val="0"/>
          <w:numId w:val="1002"/>
        </w:numPr>
        <w:pStyle w:val="Compact"/>
      </w:pPr>
      <w:r>
        <w:rPr>
          <w:bCs/>
          <w:b/>
        </w:rPr>
        <w:t xml:space="preserve">2022-05</w:t>
      </w:r>
      <w:r>
        <w:t xml:space="preserve"> </w:t>
      </w:r>
      <w:r>
        <w:t xml:space="preserve">— 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p>
      <w:pPr>
        <w:numPr>
          <w:ilvl w:val="0"/>
          <w:numId w:val="1002"/>
        </w:numPr>
        <w:pStyle w:val="Compact"/>
      </w:pPr>
      <w:r>
        <w:rPr>
          <w:bCs/>
          <w:b/>
        </w:rPr>
        <w:t xml:space="preserve">2022-05</w:t>
      </w:r>
      <w:r>
        <w:t xml:space="preserve"> </w:t>
      </w:r>
      <w:r>
        <w:t xml:space="preserve">— 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p>
      <w:pPr>
        <w:numPr>
          <w:ilvl w:val="0"/>
          <w:numId w:val="1002"/>
        </w:numPr>
        <w:pStyle w:val="Compact"/>
      </w:pPr>
      <w:r>
        <w:rPr>
          <w:bCs/>
          <w:b/>
        </w:rPr>
        <w:t xml:space="preserve">2021-10</w:t>
      </w:r>
      <w:r>
        <w:t xml:space="preserve"> </w:t>
      </w:r>
      <w:r>
        <w:t xml:space="preserve">— 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p>
      <w:pPr>
        <w:numPr>
          <w:ilvl w:val="0"/>
          <w:numId w:val="1002"/>
        </w:numPr>
        <w:pStyle w:val="Compact"/>
      </w:pPr>
      <w:r>
        <w:rPr>
          <w:bCs/>
          <w:b/>
        </w:rPr>
        <w:t xml:space="preserve">2021-06</w:t>
      </w:r>
      <w:r>
        <w:t xml:space="preserve"> </w:t>
      </w:r>
      <w:r>
        <w:t xml:space="preserve">— 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p>
      <w:pPr>
        <w:numPr>
          <w:ilvl w:val="0"/>
          <w:numId w:val="1002"/>
        </w:numPr>
        <w:pStyle w:val="Compact"/>
      </w:pPr>
      <w:r>
        <w:rPr>
          <w:bCs/>
          <w:b/>
        </w:rPr>
        <w:t xml:space="preserve">2021-05</w:t>
      </w:r>
      <w:r>
        <w:t xml:space="preserve"> </w:t>
      </w:r>
      <w:r>
        <w:t xml:space="preserve">— 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p>
      <w:pPr>
        <w:numPr>
          <w:ilvl w:val="0"/>
          <w:numId w:val="1002"/>
        </w:numPr>
        <w:pStyle w:val="Compact"/>
      </w:pPr>
      <w:r>
        <w:rPr>
          <w:bCs/>
          <w:b/>
        </w:rPr>
        <w:t xml:space="preserve">2024-01</w:t>
      </w:r>
      <w:r>
        <w:t xml:space="preserve"> </w:t>
      </w:r>
      <w:r>
        <w:t xml:space="preserve">— 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p>
      <w:pPr>
        <w:numPr>
          <w:ilvl w:val="0"/>
          <w:numId w:val="1002"/>
        </w:numPr>
        <w:pStyle w:val="Compact"/>
      </w:pPr>
      <w:r>
        <w:rPr>
          <w:bCs/>
          <w:b/>
        </w:rPr>
        <w:t xml:space="preserve">2020-11</w:t>
      </w:r>
      <w:r>
        <w:t xml:space="preserve"> </w:t>
      </w:r>
      <w:r>
        <w:t xml:space="preserve">— 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bookmarkEnd w:id="22"/>
    <w:bookmarkStart w:id="23" w:name="non-refereed-contributions"/>
    <w:p>
      <w:pPr>
        <w:pStyle w:val="Heading2"/>
      </w:pPr>
      <w:r>
        <w:t xml:space="preserve">Non-refereed contributions</w:t>
      </w:r>
    </w:p>
    <w:p>
      <w:pPr>
        <w:numPr>
          <w:ilvl w:val="0"/>
          <w:numId w:val="1003"/>
        </w:numPr>
        <w:pStyle w:val="Compact"/>
      </w:pPr>
      <w:r>
        <w:t xml:space="preserve">*</w:t>
      </w:r>
      <w:r>
        <w:t xml:space="preserve"> </w:t>
      </w:r>
      <w:r>
        <w:rPr>
          <w:bCs/>
          <w:b/>
        </w:rPr>
        <w:t xml:space="preserve">2022-05</w:t>
      </w:r>
      <w:r>
        <w:t xml:space="preserve"> </w:t>
      </w:r>
      <w:r>
        <w:t xml:space="preserve">— Cristiá, C., Bouchard, D., Bergmann, M., et al. (2022). Orchestra Remote Delivery during COVID-19 Database. Open data set, Open Science Framework, May 5, 2022. DOI: 10.17605/OSF.IO/WCDU2.</w:t>
      </w:r>
    </w:p>
    <w:p>
      <w:pPr>
        <w:numPr>
          <w:ilvl w:val="0"/>
          <w:numId w:val="1003"/>
        </w:numPr>
        <w:pStyle w:val="Compact"/>
      </w:pPr>
      <w:r>
        <w:rPr>
          <w:bCs/>
          <w:b/>
        </w:rPr>
        <w:t xml:space="preserve">2021</w:t>
      </w:r>
      <w:r>
        <w:t xml:space="preserve"> </w:t>
      </w:r>
      <w:r>
        <w:t xml:space="preserve">— 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p>
      <w:pPr>
        <w:numPr>
          <w:ilvl w:val="0"/>
          <w:numId w:val="1003"/>
        </w:numPr>
        <w:pStyle w:val="Compact"/>
      </w:pPr>
      <w:r>
        <w:rPr>
          <w:bCs/>
          <w:b/>
        </w:rPr>
        <w:t xml:space="preserve">2025-02</w:t>
      </w:r>
      <w:r>
        <w:t xml:space="preserve"> </w:t>
      </w:r>
      <w:r>
        <w:t xml:space="preserve">— Guest lecture on AI in visual generation, open-source models, and ethical usage, Advanced Professional Projection Design (graduate), Yale University, February 14, 2025.</w:t>
      </w:r>
    </w:p>
    <w:p>
      <w:pPr>
        <w:numPr>
          <w:ilvl w:val="0"/>
          <w:numId w:val="1003"/>
        </w:numPr>
        <w:pStyle w:val="Compact"/>
      </w:pPr>
      <w:r>
        <w:rPr>
          <w:bCs/>
          <w:b/>
        </w:rPr>
        <w:t xml:space="preserve">2024-12</w:t>
      </w:r>
      <w:r>
        <w:t xml:space="preserve"> </w:t>
      </w:r>
      <w:r>
        <w:t xml:space="preserve">— 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p>
      <w:pPr>
        <w:numPr>
          <w:ilvl w:val="0"/>
          <w:numId w:val="1003"/>
        </w:numPr>
        <w:pStyle w:val="Compact"/>
      </w:pPr>
      <w:r>
        <w:rPr>
          <w:bCs/>
          <w:b/>
        </w:rPr>
        <w:t xml:space="preserve">2024-11</w:t>
      </w:r>
      <w:r>
        <w:t xml:space="preserve"> </w:t>
      </w:r>
      <w:r>
        <w:t xml:space="preserve">— 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p>
      <w:pPr>
        <w:numPr>
          <w:ilvl w:val="0"/>
          <w:numId w:val="1003"/>
        </w:numPr>
        <w:pStyle w:val="Compact"/>
      </w:pPr>
      <w:r>
        <w:rPr>
          <w:bCs/>
          <w:b/>
        </w:rPr>
        <w:t xml:space="preserve">2024-11</w:t>
      </w:r>
      <w:r>
        <w:t xml:space="preserve"> </w:t>
      </w:r>
      <w:r>
        <w:t xml:space="preserve">— Workshop on projection design, Peterborough Theatre Guild, Peterborough, ON, November 2–3, 2024.</w:t>
      </w:r>
    </w:p>
    <w:p>
      <w:pPr>
        <w:numPr>
          <w:ilvl w:val="0"/>
          <w:numId w:val="1003"/>
        </w:numPr>
        <w:pStyle w:val="Compact"/>
      </w:pPr>
      <w:r>
        <w:rPr>
          <w:bCs/>
          <w:b/>
        </w:rPr>
        <w:t xml:space="preserve">2024-10</w:t>
      </w:r>
      <w:r>
        <w:t xml:space="preserve"> </w:t>
      </w:r>
      <w:r>
        <w:t xml:space="preserve">— Provocation:</w:t>
      </w:r>
      <w:r>
        <w:t xml:space="preserve"> </w:t>
      </w:r>
      <w:r>
        <w:t xml:space="preserve">“</w:t>
      </w:r>
      <w:r>
        <w:t xml:space="preserve">Personhood // AI.</w:t>
      </w:r>
      <w:r>
        <w:t xml:space="preserve">”</w:t>
      </w:r>
      <w:r>
        <w:t xml:space="preserve"> </w:t>
      </w:r>
      <w:r>
        <w:t xml:space="preserve">UKAI Carnival of Shipwreck, Toronto, October 23, 2024.</w:t>
      </w:r>
    </w:p>
    <w:p>
      <w:pPr>
        <w:numPr>
          <w:ilvl w:val="0"/>
          <w:numId w:val="1003"/>
        </w:numPr>
        <w:pStyle w:val="Compact"/>
      </w:pPr>
      <w:r>
        <w:rPr>
          <w:bCs/>
          <w:b/>
        </w:rPr>
        <w:t xml:space="preserve">2024-07</w:t>
      </w:r>
      <w:r>
        <w:t xml:space="preserve"> </w:t>
      </w:r>
      <w:r>
        <w:t xml:space="preserve">— Invited talk on the future of AI in the creative industries. TechTO: AI, Toronto, July 22, 2024.</w:t>
      </w:r>
    </w:p>
    <w:p>
      <w:pPr>
        <w:numPr>
          <w:ilvl w:val="0"/>
          <w:numId w:val="1003"/>
        </w:numPr>
        <w:pStyle w:val="Compact"/>
      </w:pPr>
      <w:r>
        <w:rPr>
          <w:bCs/>
          <w:b/>
        </w:rPr>
        <w:t xml:space="preserve">2024-04</w:t>
      </w:r>
      <w:r>
        <w:t xml:space="preserve"> </w:t>
      </w:r>
      <w:r>
        <w:t xml:space="preserve">—</w:t>
      </w:r>
      <w:r>
        <w:t xml:space="preserve"> </w:t>
      </w: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p>
      <w:pPr>
        <w:numPr>
          <w:ilvl w:val="0"/>
          <w:numId w:val="1003"/>
        </w:numPr>
        <w:pStyle w:val="Compact"/>
      </w:pPr>
      <w:r>
        <w:rPr>
          <w:bCs/>
          <w:b/>
        </w:rPr>
        <w:t xml:space="preserve">2024-04</w:t>
      </w:r>
      <w:r>
        <w:t xml:space="preserve"> </w:t>
      </w:r>
      <w:r>
        <w:t xml:space="preserve">— Panelist on the future of AI in creativity and education, 1st Creative AI Symposium, Creative AI Hub, TMU, April 2, 2024.</w:t>
      </w:r>
    </w:p>
    <w:p>
      <w:pPr>
        <w:numPr>
          <w:ilvl w:val="0"/>
          <w:numId w:val="1003"/>
        </w:numPr>
        <w:pStyle w:val="Compact"/>
      </w:pPr>
      <w:r>
        <w:rPr>
          <w:bCs/>
          <w:b/>
        </w:rPr>
        <w:t xml:space="preserve">2022-01</w:t>
      </w:r>
      <w:r>
        <w:t xml:space="preserve"> </w:t>
      </w:r>
      <w:r>
        <w:t xml:space="preserve">— 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bookmarkEnd w:id="23"/>
    <w:bookmarkStart w:id="24" w:name="forthcoming-contributions"/>
    <w:p>
      <w:pPr>
        <w:pStyle w:val="Heading2"/>
      </w:pPr>
      <w:r>
        <w:t xml:space="preserve">Forthcoming contributions</w:t>
      </w:r>
    </w:p>
    <w:p>
      <w:pPr>
        <w:numPr>
          <w:ilvl w:val="0"/>
          <w:numId w:val="1004"/>
        </w:numPr>
        <w:pStyle w:val="Compact"/>
      </w:pPr>
      <w:r>
        <w:rPr>
          <w:bCs/>
          <w:b/>
        </w:rPr>
        <w:t xml:space="preserve">2026</w:t>
      </w:r>
      <w:r>
        <w:t xml:space="preserve"> </w:t>
      </w:r>
      <w:r>
        <w:t xml:space="preserve">— 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[pages TODO] Status: in press — confirm with editors</w:t>
      </w:r>
    </w:p>
    <w:p>
      <w:pPr>
        <w:numPr>
          <w:ilvl w:val="0"/>
          <w:numId w:val="1004"/>
        </w:numPr>
        <w:pStyle w:val="Compact"/>
      </w:pPr>
      <w:r>
        <w:rPr>
          <w:bCs/>
          <w:b/>
        </w:rPr>
        <w:t xml:space="preserve">2026</w:t>
      </w:r>
      <w:r>
        <w:t xml:space="preserve"> </w:t>
      </w:r>
      <w:r>
        <w:t xml:space="preserve">— Bergmann, M., and McLeod, K.</w:t>
      </w:r>
      <w:r>
        <w:t xml:space="preserve"> </w:t>
      </w:r>
      <w:r>
        <w:t xml:space="preserve">“</w:t>
      </w:r>
      <w:r>
        <w:t xml:space="preserve">Improvising with Commercial AI: Questions of Care and Ethics.</w:t>
      </w:r>
      <w:r>
        <w:t xml:space="preserve">”</w:t>
      </w:r>
      <w:r>
        <w:t xml:space="preserve"> </w:t>
      </w:r>
      <w:r>
        <w:t xml:space="preserve">Status: in draft — do not list on SSHRC docs until submitted</w:t>
      </w:r>
    </w:p>
    <w:bookmarkEnd w:id="24"/>
    <w:bookmarkStart w:id="25" w:name="creative-outputs"/>
    <w:p>
      <w:pPr>
        <w:pStyle w:val="Heading2"/>
      </w:pPr>
      <w:r>
        <w:t xml:space="preserve">Creative outputs</w:t>
      </w:r>
    </w:p>
    <w:p>
      <w:pPr>
        <w:numPr>
          <w:ilvl w:val="0"/>
          <w:numId w:val="1005"/>
        </w:numPr>
        <w:pStyle w:val="Compact"/>
      </w:pPr>
      <w:r>
        <w:rPr>
          <w:bCs/>
          <w:b/>
        </w:rPr>
        <w:t xml:space="preserve">2026-04 – 2026-05</w:t>
      </w:r>
      <w:r>
        <w:t xml:space="preserve"> </w:t>
      </w:r>
      <w:r>
        <w:t xml:space="preserve">—</w:t>
      </w:r>
      <w:r>
        <w:t xml:space="preserve"> </w:t>
      </w: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p>
      <w:pPr>
        <w:numPr>
          <w:ilvl w:val="0"/>
          <w:numId w:val="1005"/>
        </w:numPr>
        <w:pStyle w:val="Compact"/>
      </w:pPr>
      <w:r>
        <w:rPr>
          <w:bCs/>
          <w:b/>
        </w:rPr>
        <w:t xml:space="preserve">2026-02</w:t>
      </w:r>
      <w:r>
        <w:t xml:space="preserve"> </w:t>
      </w:r>
      <w:r>
        <w:t xml:space="preserve">— Nuptials (feature film). Producer, projection design, and live in-camera VFX. Directed by Sean Braune, Para-sight Productions. Official release February 13, 2026 (Freestyle Digital Media). Best World Feature Film, Austin Revolution Film Festival, 2022.</w:t>
      </w:r>
    </w:p>
    <w:p>
      <w:pPr>
        <w:numPr>
          <w:ilvl w:val="0"/>
          <w:numId w:val="1005"/>
        </w:numPr>
        <w:pStyle w:val="Compact"/>
      </w:pPr>
      <w:r>
        <w:rPr>
          <w:bCs/>
          <w:b/>
        </w:rPr>
        <w:t xml:space="preserve">2025-11 – 2025-11</w:t>
      </w:r>
      <w:r>
        <w:t xml:space="preserve"> </w:t>
      </w:r>
      <w:r>
        <w:t xml:space="preserve">— The Frankenstein Project. Producer, with Debashis Sinha. Performance Studio Theatre, TMU, November 18–22, 2025.</w:t>
      </w:r>
    </w:p>
    <w:p>
      <w:pPr>
        <w:numPr>
          <w:ilvl w:val="0"/>
          <w:numId w:val="1005"/>
        </w:numPr>
        <w:pStyle w:val="Compact"/>
      </w:pPr>
      <w:r>
        <w:rPr>
          <w:bCs/>
          <w:b/>
        </w:rPr>
        <w:t xml:space="preserve">2025-11 – 2025-11</w:t>
      </w:r>
      <w:r>
        <w:t xml:space="preserve"> </w:t>
      </w:r>
      <w:r>
        <w:t xml:space="preserve">— 291 by Jade O’Keeffe. Projection co-design with Kristen Ferguson; directed by Lisa Dixon. Peterborough Theatre Guild, November 1–15, 2025.</w:t>
      </w:r>
    </w:p>
    <w:p>
      <w:pPr>
        <w:numPr>
          <w:ilvl w:val="0"/>
          <w:numId w:val="1005"/>
        </w:numPr>
        <w:pStyle w:val="Compact"/>
      </w:pPr>
      <w:r>
        <w:rPr>
          <w:bCs/>
          <w:b/>
        </w:rPr>
        <w:t xml:space="preserve">2025-04</w:t>
      </w:r>
      <w:r>
        <w:t xml:space="preserve"> </w:t>
      </w:r>
      <w:r>
        <w:t xml:space="preserve">—</w:t>
      </w:r>
      <w:r>
        <w:t xml:space="preserve"> </w:t>
      </w:r>
      <w:r>
        <w:t xml:space="preserve">“</w:t>
      </w:r>
      <w:r>
        <w:t xml:space="preserve">To my creators…</w:t>
      </w:r>
      <w:r>
        <w:t xml:space="preserve">”</w:t>
      </w:r>
      <w:r>
        <w:t xml:space="preserve"> </w:t>
      </w:r>
      <w:r>
        <w:t xml:space="preserve">Solo work exhibited at the Creative AI Symposium, TMU, April 2, 2025; created during the SÍM residency, Reykjavík.</w:t>
      </w:r>
    </w:p>
    <w:p>
      <w:pPr>
        <w:numPr>
          <w:ilvl w:val="0"/>
          <w:numId w:val="1005"/>
        </w:numPr>
        <w:pStyle w:val="Compact"/>
      </w:pPr>
      <w:r>
        <w:rPr>
          <w:bCs/>
          <w:b/>
        </w:rPr>
        <w:t xml:space="preserve">2024-11 – 2024-11</w:t>
      </w:r>
      <w:r>
        <w:t xml:space="preserve"> </w:t>
      </w:r>
      <w:r>
        <w:t xml:space="preserve">— AVARA 2024 installation. Led eight students in a semester-long research-creation installation presented at AVARA 2024, OAMK, Oulu, Finland.</w:t>
      </w:r>
    </w:p>
    <w:p>
      <w:pPr>
        <w:numPr>
          <w:ilvl w:val="0"/>
          <w:numId w:val="1005"/>
        </w:numPr>
        <w:pStyle w:val="Compact"/>
      </w:pPr>
      <w:r>
        <w:rPr>
          <w:bCs/>
          <w:b/>
        </w:rPr>
        <w:t xml:space="preserve">2024-06 – 2024-06</w:t>
      </w:r>
      <w:r>
        <w:t xml:space="preserve"> </w:t>
      </w:r>
      <w:r>
        <w:t xml:space="preserve">— 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p>
      <w:pPr>
        <w:numPr>
          <w:ilvl w:val="0"/>
          <w:numId w:val="1005"/>
        </w:numPr>
        <w:pStyle w:val="Compact"/>
      </w:pPr>
      <w:r>
        <w:rPr>
          <w:bCs/>
          <w:b/>
        </w:rPr>
        <w:t xml:space="preserve">2024-04</w:t>
      </w:r>
      <w:r>
        <w:t xml:space="preserve"> </w:t>
      </w:r>
      <w:r>
        <w:t xml:space="preserve">— 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p>
      <w:pPr>
        <w:numPr>
          <w:ilvl w:val="0"/>
          <w:numId w:val="1005"/>
        </w:numPr>
        <w:pStyle w:val="Compact"/>
      </w:pPr>
      <w:r>
        <w:rPr>
          <w:bCs/>
          <w:b/>
        </w:rPr>
        <w:t xml:space="preserve">2024-01</w:t>
      </w:r>
      <w:r>
        <w:t xml:space="preserve"> </w:t>
      </w:r>
      <w:r>
        <w:t xml:space="preserve">— Almost Alchemy. Two 360° video experiences of improvised research-creation performance. RUBIX, TMU, January 25, 2024.</w:t>
      </w:r>
    </w:p>
    <w:p>
      <w:pPr>
        <w:numPr>
          <w:ilvl w:val="0"/>
          <w:numId w:val="1005"/>
        </w:numPr>
        <w:pStyle w:val="Compact"/>
      </w:pPr>
      <w:r>
        <w:rPr>
          <w:bCs/>
          <w:b/>
        </w:rPr>
        <w:t xml:space="preserve">2023-10</w:t>
      </w:r>
      <w:r>
        <w:t xml:space="preserve"> </w:t>
      </w:r>
      <w:r>
        <w:t xml:space="preserve">—</w:t>
      </w:r>
      <w:r>
        <w:t xml:space="preserve"> </w:t>
      </w:r>
      <w:r>
        <w:t xml:space="preserve">“</w:t>
      </w:r>
      <w:r>
        <w:t xml:space="preserve">rocketmanperson.</w:t>
      </w:r>
      <w:r>
        <w:t xml:space="preserve">”</w:t>
      </w:r>
      <w:r>
        <w:t xml:space="preserve"> </w:t>
      </w:r>
      <w:r>
        <w:t xml:space="preserve">Improvised performance with Lucas Carravetta, Matt Endahl, and Aimée Dawn Robinson. Silence, Guelph, October 1, 2023.</w:t>
      </w:r>
    </w:p>
    <w:p>
      <w:pPr>
        <w:numPr>
          <w:ilvl w:val="0"/>
          <w:numId w:val="1005"/>
        </w:numPr>
        <w:pStyle w:val="Compact"/>
      </w:pPr>
      <w:r>
        <w:rPr>
          <w:bCs/>
          <w:b/>
        </w:rPr>
        <w:t xml:space="preserve">2023-04</w:t>
      </w:r>
      <w:r>
        <w:t xml:space="preserve"> </w:t>
      </w:r>
      <w:r>
        <w:t xml:space="preserve">—</w:t>
      </w:r>
      <w:r>
        <w:t xml:space="preserve"> </w:t>
      </w:r>
      <w:r>
        <w:t xml:space="preserve">“</w:t>
      </w:r>
      <w:r>
        <w:t xml:space="preserve">Who’s There?</w:t>
      </w:r>
      <w:r>
        <w:t xml:space="preserve">”</w:t>
      </w:r>
      <w:r>
        <w:t xml:space="preserve"> </w:t>
      </w:r>
      <w:r>
        <w:t xml:space="preserve">Improvised performance with Lucas Carravetta, Matt Endahl, and Aimée Dawn Robinson. Silence, Guelph, April 1, 2023.</w:t>
      </w:r>
    </w:p>
    <w:p>
      <w:pPr>
        <w:numPr>
          <w:ilvl w:val="0"/>
          <w:numId w:val="1005"/>
        </w:numPr>
        <w:pStyle w:val="Compact"/>
      </w:pPr>
      <w:r>
        <w:rPr>
          <w:bCs/>
          <w:b/>
        </w:rPr>
        <w:t xml:space="preserve">2023</w:t>
      </w:r>
      <w:r>
        <w:t xml:space="preserve"> </w:t>
      </w:r>
      <w:r>
        <w:t xml:space="preserve">— Living Newspaper 2.0. Projection design; directed by Julie Labagnara. George Luscombe Theatre, Toronto.</w:t>
      </w:r>
    </w:p>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rooms.(2025–present). I serve on the board of UKAI Projects (2024–present; Technical Advisory Board, 2023–24), an arts organization working at the intersection of culture and emerging technology, and mentored artists of the Setsubun Digital Media Residency at the Japanese Canadian Cultural Centre (December 2025 – February 2026). Peer review work includes the EVA London Conference on Electronic Visualisation and the Arts (2023–present), the International Journal of Performance Arts and Digital Media (2024–present), the Canada Foundation for Innovation (2023), the USITT Research and Creative Endeavours Committee (2025–present), the CATR scholarship and grant juries (2023–present), and judging for the Global Undergraduate Awards (2026). Public-facing talks, including TechTO: AI (2024), bring this research to industry and general audiences.</w:t>
      </w:r>
    </w:p>
    <w:bookmarkEnd w:id="27"/>
    <w:bookmarkStart w:id="28" w:name="Xb47c6e7a1e5962516994fd31899c546c08f148e"/>
    <w:p>
      <w:pPr>
        <w:pStyle w:val="Heading1"/>
      </w:pPr>
      <w:r>
        <w:t xml:space="preserve">3. Most Significant Career Research Contributions</w:t>
      </w:r>
    </w:p>
    <w:p>
      <w:pPr>
        <w:numPr>
          <w:ilvl w:val="0"/>
          <w:numId w:val="1006"/>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 including the activities proposed in this application.</w:t>
      </w:r>
    </w:p>
    <w:p>
      <w:pPr>
        <w:numPr>
          <w:ilvl w:val="0"/>
          <w:numId w:val="1006"/>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6"/>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6"/>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6"/>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 That experience maps directly onto the 4th Annual Creative AI Symposium proposed here.</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project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2026-07-22T00:56:19Z</dcterms:created>
  <dcterms:modified xsi:type="dcterms:W3CDTF">2026-07-22T00:56:19Z</dcterms:modified>
</cp:coreProperties>
</file>

<file path=docProps/custom.xml><?xml version="1.0" encoding="utf-8"?>
<Properties xmlns="http://schemas.openxmlformats.org/officeDocument/2006/custom-properties" xmlns:vt="http://schemas.openxmlformats.org/officeDocument/2006/docPropsVTypes"/>
</file>